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70"/>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w w:val="98"/>
              </w:rPr>
              <w:t>UNITED STATES</w:t>
            </w:r>
          </w:p>
        </w:tc>
        <w:tc>
          <w:tcPr>
            <w:tcW w:w="1800" w:type="dxa"/>
            <w:vAlign w:val="bottom"/>
          </w:tcPr>
          <w:p>
            <w:pPr>
              <w:spacing w:after="0"/>
              <w:rPr>
                <w:sz w:val="14"/>
                <w:szCs w:val="14"/>
                <w:color w:val="auto"/>
              </w:rPr>
            </w:pPr>
          </w:p>
        </w:tc>
      </w:tr>
      <w:tr>
        <w:trPr>
          <w:trHeight w:val="170"/>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tc>
        <w:tc>
          <w:tcPr>
            <w:tcW w:w="1800" w:type="dxa"/>
            <w:vAlign w:val="bottom"/>
          </w:tcPr>
          <w:p>
            <w:pPr>
              <w:spacing w:after="0"/>
              <w:rPr>
                <w:sz w:val="14"/>
                <w:szCs w:val="14"/>
                <w:color w:val="auto"/>
              </w:rPr>
            </w:pPr>
          </w:p>
        </w:tc>
      </w:tr>
      <w:tr>
        <w:trPr>
          <w:trHeight w:val="186"/>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1800" w:type="dxa"/>
            <w:vAlign w:val="bottom"/>
          </w:tcPr>
          <w:p>
            <w:pPr>
              <w:spacing w:after="0"/>
              <w:rPr>
                <w:sz w:val="16"/>
                <w:szCs w:val="16"/>
                <w:color w:val="auto"/>
              </w:rPr>
            </w:pPr>
          </w:p>
        </w:tc>
      </w:tr>
      <w:tr>
        <w:trPr>
          <w:trHeight w:val="340"/>
        </w:trPr>
        <w:tc>
          <w:tcPr>
            <w:tcW w:w="5200" w:type="dxa"/>
            <w:vAlign w:val="bottom"/>
          </w:tcPr>
          <w:p>
            <w:pPr>
              <w:spacing w:after="0"/>
              <w:rPr>
                <w:sz w:val="24"/>
                <w:szCs w:val="24"/>
                <w:color w:val="auto"/>
              </w:rPr>
            </w:pPr>
          </w:p>
        </w:tc>
        <w:tc>
          <w:tcPr>
            <w:tcW w:w="23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1800" w:type="dxa"/>
            <w:vAlign w:val="bottom"/>
          </w:tcPr>
          <w:p>
            <w:pPr>
              <w:spacing w:after="0"/>
              <w:rPr>
                <w:sz w:val="24"/>
                <w:szCs w:val="24"/>
                <w:color w:val="auto"/>
              </w:rPr>
            </w:pPr>
          </w:p>
        </w:tc>
      </w:tr>
      <w:tr>
        <w:trPr>
          <w:trHeight w:val="362"/>
        </w:trPr>
        <w:tc>
          <w:tcPr>
            <w:tcW w:w="7500" w:type="dxa"/>
            <w:vAlign w:val="bottom"/>
            <w:gridSpan w:val="3"/>
          </w:tcPr>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QUARTERLY REPORT PURSUANT TO SECTION 13 OR 15(d) OF THE SECURITIES EXCHANGE ACT OF 1934</w:t>
            </w:r>
          </w:p>
        </w:tc>
        <w:tc>
          <w:tcPr>
            <w:tcW w:w="1800" w:type="dxa"/>
            <w:vAlign w:val="bottom"/>
          </w:tcPr>
          <w:p>
            <w:pPr>
              <w:spacing w:after="0"/>
              <w:rPr>
                <w:sz w:val="24"/>
                <w:szCs w:val="24"/>
                <w:color w:val="auto"/>
              </w:rPr>
            </w:pPr>
          </w:p>
        </w:tc>
      </w:tr>
      <w:tr>
        <w:trPr>
          <w:trHeight w:val="339"/>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the quarterly period ended March 31, 2024</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OR</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the transition period from _____to____</w:t>
            </w:r>
            <w:r>
              <w:rPr>
                <w:rFonts w:ascii="Times New Roman" w:cs="Times New Roman" w:eastAsia="Times New Roman" w:hAnsi="Times New Roman"/>
                <w:sz w:val="14"/>
                <w:szCs w:val="14"/>
                <w:b w:val="1"/>
                <w:bCs w:val="1"/>
                <w:color w:val="auto"/>
              </w:rPr>
              <w:t>_</w:t>
            </w:r>
          </w:p>
        </w:tc>
        <w:tc>
          <w:tcPr>
            <w:tcW w:w="1800" w:type="dxa"/>
            <w:vAlign w:val="bottom"/>
          </w:tcPr>
          <w:p>
            <w:pPr>
              <w:spacing w:after="0"/>
              <w:rPr>
                <w:sz w:val="24"/>
                <w:szCs w:val="24"/>
                <w:color w:val="auto"/>
              </w:rPr>
            </w:pPr>
          </w:p>
        </w:tc>
      </w:tr>
      <w:tr>
        <w:trPr>
          <w:trHeight w:val="312"/>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rPr>
              <w:t>Commission file number: 814-01035</w:t>
            </w:r>
          </w:p>
        </w:tc>
        <w:tc>
          <w:tcPr>
            <w:tcW w:w="1800" w:type="dxa"/>
            <w:vAlign w:val="bottom"/>
          </w:tcPr>
          <w:p>
            <w:pPr>
              <w:spacing w:after="0"/>
              <w:rPr>
                <w:sz w:val="24"/>
                <w:szCs w:val="24"/>
                <w:color w:val="auto"/>
              </w:rPr>
            </w:pPr>
          </w:p>
        </w:tc>
      </w:tr>
      <w:tr>
        <w:trPr>
          <w:trHeight w:val="417"/>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34"/>
                <w:szCs w:val="34"/>
                <w:b w:val="1"/>
                <w:bCs w:val="1"/>
                <w:color w:val="auto"/>
                <w:w w:val="99"/>
              </w:rPr>
              <w:t>NEWTEKONE, INC.</w:t>
            </w:r>
          </w:p>
        </w:tc>
        <w:tc>
          <w:tcPr>
            <w:tcW w:w="1800" w:type="dxa"/>
            <w:vAlign w:val="bottom"/>
          </w:tcPr>
          <w:p>
            <w:pPr>
              <w:spacing w:after="0"/>
              <w:rPr>
                <w:sz w:val="24"/>
                <w:szCs w:val="24"/>
                <w:color w:val="auto"/>
              </w:rPr>
            </w:pPr>
          </w:p>
        </w:tc>
      </w:tr>
      <w:tr>
        <w:trPr>
          <w:trHeight w:val="184"/>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800" w:type="dxa"/>
            <w:vAlign w:val="bottom"/>
          </w:tcPr>
          <w:p>
            <w:pPr>
              <w:spacing w:after="0"/>
              <w:rPr>
                <w:sz w:val="16"/>
                <w:szCs w:val="16"/>
                <w:color w:val="auto"/>
              </w:rPr>
            </w:pPr>
          </w:p>
        </w:tc>
      </w:tr>
      <w:tr>
        <w:trPr>
          <w:trHeight w:val="439"/>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18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46-3755188</w:t>
            </w:r>
          </w:p>
        </w:tc>
      </w:tr>
      <w:tr>
        <w:trPr>
          <w:trHeight w:val="147"/>
        </w:trPr>
        <w:tc>
          <w:tcPr>
            <w:tcW w:w="7500" w:type="dxa"/>
            <w:vAlign w:val="bottom"/>
            <w:gridSpan w:val="3"/>
          </w:tcPr>
          <w:p>
            <w:pPr>
              <w:jc w:val="center"/>
              <w:ind w:right="192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800" w:type="dxa"/>
            <w:vAlign w:val="bottom"/>
          </w:tcPr>
          <w:p>
            <w:pPr>
              <w:jc w:val="center"/>
              <w:ind w:left="96"/>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5"/>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4800 T Rex Avenue, Suite 120, Boca Raton, Florida</w:t>
            </w:r>
          </w:p>
        </w:tc>
        <w:tc>
          <w:tcPr>
            <w:tcW w:w="180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33431</w:t>
            </w:r>
          </w:p>
        </w:tc>
      </w:tr>
      <w:tr>
        <w:trPr>
          <w:trHeight w:val="147"/>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800" w:type="dxa"/>
            <w:vAlign w:val="bottom"/>
          </w:tcPr>
          <w:p>
            <w:pPr>
              <w:jc w:val="center"/>
              <w:ind w:left="76"/>
              <w:spacing w:after="0"/>
              <w:rPr>
                <w:sz w:val="20"/>
                <w:szCs w:val="20"/>
                <w:color w:val="auto"/>
              </w:rPr>
            </w:pPr>
            <w:r>
              <w:rPr>
                <w:rFonts w:ascii="Times New Roman" w:cs="Times New Roman" w:eastAsia="Times New Roman" w:hAnsi="Times New Roman"/>
                <w:sz w:val="11"/>
                <w:szCs w:val="11"/>
                <w:color w:val="auto"/>
              </w:rPr>
              <w:t>(Zip Code)</w:t>
            </w:r>
          </w:p>
        </w:tc>
      </w:tr>
      <w:tr>
        <w:trPr>
          <w:trHeight w:val="221"/>
        </w:trPr>
        <w:tc>
          <w:tcPr>
            <w:tcW w:w="52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(212) 356-9500</w:t>
            </w:r>
          </w:p>
        </w:tc>
        <w:tc>
          <w:tcPr>
            <w:tcW w:w="14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181"/>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800" w:type="dxa"/>
            <w:vAlign w:val="bottom"/>
          </w:tcPr>
          <w:p>
            <w:pPr>
              <w:spacing w:after="0"/>
              <w:rPr>
                <w:sz w:val="15"/>
                <w:szCs w:val="15"/>
                <w:color w:val="auto"/>
              </w:rPr>
            </w:pPr>
          </w:p>
        </w:tc>
      </w:tr>
    </w:tbl>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24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67"/>
        </w:trPr>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Common Stock, par value $0.02 per share</w:t>
            </w:r>
          </w:p>
        </w:tc>
        <w:tc>
          <w:tcPr>
            <w:tcW w:w="80" w:type="dxa"/>
            <w:vAlign w:val="bottom"/>
          </w:tcPr>
          <w:p>
            <w:pPr>
              <w:spacing w:after="0"/>
              <w:rPr>
                <w:sz w:val="14"/>
                <w:szCs w:val="14"/>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NEWT</w:t>
            </w:r>
          </w:p>
        </w:tc>
        <w:tc>
          <w:tcPr>
            <w:tcW w:w="80" w:type="dxa"/>
            <w:vAlign w:val="bottom"/>
          </w:tcPr>
          <w:p>
            <w:pPr>
              <w:spacing w:after="0"/>
              <w:rPr>
                <w:sz w:val="14"/>
                <w:szCs w:val="14"/>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5.75% Notes due 2024</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NEWTL</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5.50% Notes due 2026</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NEWTZ</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4"/>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 Notes due 2028</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NEWTI</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bl>
    <w:p>
      <w:pPr>
        <w:spacing w:after="0" w:line="251"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4" w:lineRule="exact"/>
        <w:rPr>
          <w:sz w:val="24"/>
          <w:szCs w:val="24"/>
          <w:color w:val="auto"/>
        </w:rPr>
      </w:pPr>
    </w:p>
    <w:p>
      <w:pPr>
        <w:ind w:right="4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and post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4" w:lineRule="exact"/>
        <w:rPr>
          <w:sz w:val="24"/>
          <w:szCs w:val="24"/>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184"/>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40" w:type="dxa"/>
            <w:vAlign w:val="bottom"/>
          </w:tcPr>
          <w:p>
            <w:pPr>
              <w:ind w:left="19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80"/>
              </w:rPr>
              <w:t>x</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40" w:type="dxa"/>
            <w:vAlign w:val="bottom"/>
          </w:tcPr>
          <w:p>
            <w:pPr>
              <w:ind w:left="19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95"/>
              </w:rPr>
              <w:t>o</w:t>
            </w:r>
          </w:p>
        </w:tc>
      </w:tr>
      <w:tr>
        <w:trPr>
          <w:trHeight w:val="223"/>
        </w:trPr>
        <w:tc>
          <w:tcPr>
            <w:tcW w:w="3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or accounting standards provided pursuant to Section 13(a) of the Exchange Act. </w:t>
      </w:r>
      <w:r>
        <w:rPr>
          <w:rFonts w:ascii="Wingdings" w:cs="Wingdings" w:eastAsia="Wingdings" w:hAnsi="Wingdings"/>
          <w:sz w:val="14"/>
          <w:szCs w:val="14"/>
          <w:b w:val="1"/>
          <w:bCs w:val="1"/>
          <w:color w:val="auto"/>
        </w:rPr>
        <w:t>o</w:t>
      </w:r>
    </w:p>
    <w:p>
      <w:pPr>
        <w:spacing w:after="0" w:line="284" w:lineRule="exact"/>
        <w:rPr>
          <w:sz w:val="20"/>
          <w:szCs w:val="20"/>
          <w:color w:val="auto"/>
        </w:rPr>
      </w:pPr>
    </w:p>
    <w:p>
      <w:pPr>
        <w:spacing w:after="0" w:line="161" w:lineRule="exact"/>
        <w:tabs>
          <w:tab w:leader="none" w:pos="6540" w:val="left"/>
          <w:tab w:leader="none" w:pos="71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May 8, 2024, there were 24,733,816 shares outstanding of the registrant’s Common Stock, par value $0.02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561340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36"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13"/>
        </w:trPr>
        <w:tc>
          <w:tcPr>
            <w:tcW w:w="1280" w:type="dxa"/>
            <w:vAlign w:val="bottom"/>
          </w:tcPr>
          <w:p>
            <w:pPr>
              <w:spacing w:after="0"/>
              <w:rPr>
                <w:sz w:val="18"/>
                <w:szCs w:val="18"/>
                <w:color w:val="auto"/>
              </w:rPr>
            </w:pPr>
          </w:p>
        </w:tc>
        <w:tc>
          <w:tcPr>
            <w:tcW w:w="8660" w:type="dxa"/>
            <w:vAlign w:val="bottom"/>
            <w:gridSpan w:val="27"/>
          </w:tcPr>
          <w:p>
            <w:pPr>
              <w:spacing w:after="0"/>
              <w:rPr>
                <w:sz w:val="20"/>
                <w:szCs w:val="20"/>
                <w:color w:val="auto"/>
              </w:rPr>
            </w:pPr>
            <w:r>
              <w:rPr>
                <w:rFonts w:ascii="Times New Roman" w:cs="Times New Roman" w:eastAsia="Times New Roman" w:hAnsi="Times New Roman"/>
                <w:sz w:val="14"/>
                <w:szCs w:val="14"/>
                <w:color w:val="3051F2"/>
              </w:rPr>
              <w:t>Defined Terms</w:t>
            </w:r>
          </w:p>
        </w:tc>
        <w:tc>
          <w:tcPr>
            <w:tcW w:w="9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w:t>
            </w:r>
          </w:p>
        </w:tc>
      </w:tr>
      <w:tr>
        <w:trPr>
          <w:trHeight w:val="160"/>
        </w:trPr>
        <w:tc>
          <w:tcPr>
            <w:tcW w:w="1280" w:type="dxa"/>
            <w:vAlign w:val="bottom"/>
          </w:tcPr>
          <w:p>
            <w:pPr>
              <w:spacing w:after="0"/>
              <w:rPr>
                <w:sz w:val="13"/>
                <w:szCs w:val="13"/>
                <w:color w:val="auto"/>
              </w:rPr>
            </w:pPr>
          </w:p>
        </w:tc>
        <w:tc>
          <w:tcPr>
            <w:tcW w:w="480" w:type="dxa"/>
            <w:vAlign w:val="bottom"/>
            <w:tcBorders>
              <w:top w:val="single" w:sz="8" w:color="3051F2"/>
            </w:tcBorders>
          </w:tcPr>
          <w:p>
            <w:pPr>
              <w:spacing w:after="0"/>
              <w:rPr>
                <w:sz w:val="13"/>
                <w:szCs w:val="13"/>
                <w:color w:val="auto"/>
              </w:rPr>
            </w:pPr>
          </w:p>
        </w:tc>
        <w:tc>
          <w:tcPr>
            <w:tcW w:w="120" w:type="dxa"/>
            <w:vAlign w:val="bottom"/>
            <w:tcBorders>
              <w:top w:val="single" w:sz="8" w:color="3051F2"/>
            </w:tcBorders>
          </w:tcPr>
          <w:p>
            <w:pPr>
              <w:spacing w:after="0"/>
              <w:rPr>
                <w:sz w:val="13"/>
                <w:szCs w:val="13"/>
                <w:color w:val="auto"/>
              </w:rPr>
            </w:pPr>
          </w:p>
        </w:tc>
        <w:tc>
          <w:tcPr>
            <w:tcW w:w="120" w:type="dxa"/>
            <w:vAlign w:val="bottom"/>
            <w:tcBorders>
              <w:top w:val="single" w:sz="8" w:color="3051F2"/>
            </w:tcBorders>
          </w:tcPr>
          <w:p>
            <w:pPr>
              <w:spacing w:after="0"/>
              <w:rPr>
                <w:sz w:val="13"/>
                <w:szCs w:val="13"/>
                <w:color w:val="auto"/>
              </w:rPr>
            </w:pPr>
          </w:p>
        </w:tc>
        <w:tc>
          <w:tcPr>
            <w:tcW w:w="120" w:type="dxa"/>
            <w:vAlign w:val="bottom"/>
            <w:tcBorders>
              <w:top w:val="single" w:sz="8" w:color="3051F2"/>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60" w:type="dxa"/>
            <w:vAlign w:val="bottom"/>
            <w:tcBorders>
              <w:bottom w:val="single" w:sz="8" w:color="0000FF"/>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0000FF"/>
              </w:rPr>
              <w:t>PART I - FINANCIAL INFORMATION</w:t>
            </w:r>
          </w:p>
        </w:tc>
        <w:tc>
          <w:tcPr>
            <w:tcW w:w="3080" w:type="dxa"/>
            <w:vAlign w:val="bottom"/>
            <w:gridSpan w:val="8"/>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86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Financial Statements: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86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Consolidated Statements of Financial Condition as of March 31, 2024 (Unaudited) and December 31, 2023</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86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Consolidated Statements of Income for the three and nine months ended March 31, 2024 and 2023 (Unaudited)</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w:t>
            </w: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86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three months ended March 31, 2024 and 2023 (Unaudited)</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10</w:t>
            </w: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86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 xml:space="preserve">Consolidated Statements of Changes in Stockholders’ Equity for the three and nine months ended March 31, 2024 and 2023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Unaudited)</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9</w:t>
            </w:r>
          </w:p>
        </w:tc>
      </w:tr>
      <w:tr>
        <w:trPr>
          <w:trHeight w:val="203"/>
        </w:trPr>
        <w:tc>
          <w:tcPr>
            <w:tcW w:w="1280" w:type="dxa"/>
            <w:vAlign w:val="bottom"/>
          </w:tcPr>
          <w:p>
            <w:pPr>
              <w:spacing w:after="0"/>
              <w:rPr>
                <w:sz w:val="17"/>
                <w:szCs w:val="17"/>
                <w:color w:val="auto"/>
              </w:rPr>
            </w:pPr>
          </w:p>
        </w:tc>
        <w:tc>
          <w:tcPr>
            <w:tcW w:w="702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three months ended March 31, 2024 and 2023 (Unaudited)</w:t>
            </w:r>
          </w:p>
        </w:tc>
        <w:tc>
          <w:tcPr>
            <w:tcW w:w="8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11</w:t>
            </w:r>
          </w:p>
        </w:tc>
      </w:tr>
      <w:tr>
        <w:trPr>
          <w:trHeight w:val="203"/>
        </w:trPr>
        <w:tc>
          <w:tcPr>
            <w:tcW w:w="128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 (Unaudited)</w:t>
            </w:r>
          </w:p>
        </w:tc>
        <w:tc>
          <w:tcPr>
            <w:tcW w:w="2100" w:type="dxa"/>
            <w:vAlign w:val="bottom"/>
            <w:tcBorders>
              <w:top w:val="single" w:sz="8" w:color="0000FF"/>
            </w:tcBorders>
            <w:gridSpan w:val="5"/>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0000FF"/>
            </w:tcBorders>
            <w:gridSpan w:val="4"/>
          </w:tcPr>
          <w:p>
            <w:pPr>
              <w:spacing w:after="0"/>
              <w:rPr>
                <w:sz w:val="17"/>
                <w:szCs w:val="17"/>
                <w:color w:val="auto"/>
              </w:rPr>
            </w:pPr>
          </w:p>
        </w:tc>
        <w:tc>
          <w:tcPr>
            <w:tcW w:w="2600" w:type="dxa"/>
            <w:vAlign w:val="bottom"/>
            <w:gridSpan w:val="6"/>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12</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50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580" w:type="dxa"/>
            <w:vAlign w:val="bottom"/>
            <w:gridSpan w:val="12"/>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51</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34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220" w:type="dxa"/>
            <w:vAlign w:val="bottom"/>
            <w:gridSpan w:val="13"/>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76</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86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77</w:t>
            </w:r>
          </w:p>
        </w:tc>
      </w:tr>
      <w:tr>
        <w:trPr>
          <w:trHeight w:val="203"/>
        </w:trPr>
        <w:tc>
          <w:tcPr>
            <w:tcW w:w="128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gridSpan w:val="16"/>
          </w:tcPr>
          <w:p>
            <w:pPr>
              <w:jc w:val="center"/>
              <w:ind w:right="3160"/>
              <w:spacing w:after="0"/>
              <w:rPr>
                <w:sz w:val="20"/>
                <w:szCs w:val="20"/>
                <w:color w:val="auto"/>
              </w:rPr>
            </w:pPr>
            <w:r>
              <w:rPr>
                <w:rFonts w:ascii="Times New Roman" w:cs="Times New Roman" w:eastAsia="Times New Roman" w:hAnsi="Times New Roman"/>
                <w:sz w:val="14"/>
                <w:szCs w:val="14"/>
                <w:b w:val="1"/>
                <w:bCs w:val="1"/>
                <w:color w:val="0000FF"/>
                <w:w w:val="99"/>
              </w:rPr>
              <w:t>PART II - OTHER INFORMATION</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2180" w:type="dxa"/>
            <w:vAlign w:val="bottom"/>
            <w:gridSpan w:val="6"/>
          </w:tcPr>
          <w:p>
            <w:pPr>
              <w:spacing w:after="0"/>
              <w:rPr>
                <w:sz w:val="17"/>
                <w:szCs w:val="17"/>
                <w:color w:val="auto"/>
              </w:rPr>
            </w:pPr>
          </w:p>
        </w:tc>
        <w:tc>
          <w:tcPr>
            <w:tcW w:w="2220" w:type="dxa"/>
            <w:vAlign w:val="bottom"/>
            <w:tcBorders>
              <w:top w:val="single" w:sz="8" w:color="0000FF"/>
            </w:tcBorders>
            <w:gridSpan w:val="6"/>
          </w:tcPr>
          <w:p>
            <w:pPr>
              <w:spacing w:after="0"/>
              <w:rPr>
                <w:sz w:val="17"/>
                <w:szCs w:val="17"/>
                <w:color w:val="auto"/>
              </w:rPr>
            </w:pPr>
          </w:p>
        </w:tc>
        <w:tc>
          <w:tcPr>
            <w:tcW w:w="3200" w:type="dxa"/>
            <w:vAlign w:val="bottom"/>
            <w:gridSpan w:val="9"/>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79</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7940" w:type="dxa"/>
            <w:vAlign w:val="bottom"/>
            <w:gridSpan w:val="24"/>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79</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34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240" w:type="dxa"/>
            <w:vAlign w:val="bottom"/>
            <w:gridSpan w:val="14"/>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79</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86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79</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420" w:type="dxa"/>
            <w:vAlign w:val="bottom"/>
            <w:tcBorders>
              <w:top w:val="single" w:sz="8" w:color="0000FF"/>
            </w:tcBorders>
          </w:tcPr>
          <w:p>
            <w:pPr>
              <w:spacing w:after="0"/>
              <w:rPr>
                <w:sz w:val="17"/>
                <w:szCs w:val="17"/>
                <w:color w:val="auto"/>
              </w:rPr>
            </w:pPr>
          </w:p>
        </w:tc>
        <w:tc>
          <w:tcPr>
            <w:tcW w:w="6840" w:type="dxa"/>
            <w:vAlign w:val="bottom"/>
            <w:gridSpan w:val="18"/>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79</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7620" w:type="dxa"/>
            <w:vAlign w:val="bottom"/>
            <w:gridSpan w:val="22"/>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79</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Exhibits</w:t>
            </w:r>
          </w:p>
        </w:tc>
        <w:tc>
          <w:tcPr>
            <w:tcW w:w="8180" w:type="dxa"/>
            <w:vAlign w:val="bottom"/>
            <w:gridSpan w:val="26"/>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80</w:t>
            </w:r>
          </w:p>
        </w:tc>
      </w:tr>
      <w:tr>
        <w:trPr>
          <w:trHeight w:val="203"/>
        </w:trPr>
        <w:tc>
          <w:tcPr>
            <w:tcW w:w="1280" w:type="dxa"/>
            <w:vAlign w:val="bottom"/>
          </w:tcPr>
          <w:p>
            <w:pPr>
              <w:spacing w:after="0"/>
              <w:rPr>
                <w:sz w:val="17"/>
                <w:szCs w:val="17"/>
                <w:color w:val="auto"/>
              </w:rPr>
            </w:pPr>
          </w:p>
        </w:tc>
        <w:tc>
          <w:tcPr>
            <w:tcW w:w="86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81</w:t>
            </w:r>
          </w:p>
        </w:tc>
      </w:tr>
      <w:tr>
        <w:trPr>
          <w:trHeight w:val="777"/>
        </w:trPr>
        <w:tc>
          <w:tcPr>
            <w:tcW w:w="1280" w:type="dxa"/>
            <w:vAlign w:val="bottom"/>
            <w:tcBorders>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Terms</w:t>
      </w:r>
    </w:p>
    <w:p>
      <w:pPr>
        <w:spacing w:after="0" w:line="20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4"/>
          <w:szCs w:val="14"/>
          <w:color w:val="auto"/>
        </w:rPr>
        <w:t>We have used “we,” “us,” “our,” “our company,” and “the Company” to refer to NewtekOne, Inc. and its subsidiaries in this report. We also have used several other terms in this report, which are explained or defined below:</w:t>
      </w:r>
    </w:p>
    <w:tbl>
      <w:tblPr>
        <w:tblLayout w:type="fixed"/>
        <w:tblInd w:w="0" w:type="dxa"/>
        <w:tblCellMar>
          <w:top w:w="0" w:type="dxa"/>
          <w:left w:w="0" w:type="dxa"/>
          <w:bottom w:w="0" w:type="dxa"/>
          <w:right w:w="0" w:type="dxa"/>
        </w:tblCellMar>
      </w:tblPr>
      <w:tr>
        <w:trPr>
          <w:trHeight w:val="186"/>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Terms</w:t>
            </w:r>
          </w:p>
        </w:tc>
        <w:tc>
          <w:tcPr>
            <w:tcW w:w="8240" w:type="dxa"/>
            <w:vAlign w:val="bottom"/>
            <w:tcBorders>
              <w:bottom w:val="single" w:sz="8" w:color="CCEEFF"/>
            </w:tcBorders>
          </w:tcPr>
          <w:p>
            <w:pPr>
              <w:spacing w:after="0"/>
              <w:rPr>
                <w:sz w:val="16"/>
                <w:szCs w:val="16"/>
                <w:color w:val="auto"/>
              </w:rPr>
            </w:pPr>
          </w:p>
        </w:tc>
      </w:tr>
      <w:tr>
        <w:trPr>
          <w:trHeight w:val="171"/>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1940</w:t>
            </w: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Company Act of 1940, as amended</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2017-1 Trust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2017-1, terminated in February 2023</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2018-1 Trust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2018-1</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2019-1 Trust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2019-1</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2021-1 Trust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2021-1</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2022-1 Trust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2022-1</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2023-1 Trust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2023-1</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5.75% Notes due 2024</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6.85% 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6.85% Notes due 2025, redeemed in May 2022</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5.00% 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 Notes due 2025</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8.125% 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8.125% Notes due 2025</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Collectively, the 2025 6.85% Notes, the 2025 5.00% Notes and the 8.125% Notes due 2025</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5.50% Notes due 2026</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8.00% Notes due 2028</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ABL</w:t>
            </w:r>
          </w:p>
        </w:tc>
        <w:tc>
          <w:tcPr>
            <w:tcW w:w="270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based lending</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w:t>
            </w:r>
          </w:p>
        </w:tc>
        <w:tc>
          <w:tcPr>
            <w:tcW w:w="270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r>
      <w:tr>
        <w:trPr>
          <w:trHeight w:val="138"/>
        </w:trPr>
        <w:tc>
          <w:tcPr>
            <w:tcW w:w="34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rPr>
                <w:sz w:val="11"/>
                <w:szCs w:val="11"/>
                <w:color w:val="auto"/>
              </w:rPr>
            </w:pPr>
          </w:p>
        </w:tc>
        <w:tc>
          <w:tcPr>
            <w:tcW w:w="8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The Company’s Acquisition of NBNYC, pursuant to which the Company acquired from the NBNYC shareholders all of the issued and</w:t>
            </w:r>
          </w:p>
        </w:tc>
      </w:tr>
      <w:tr>
        <w:trPr>
          <w:trHeight w:val="191"/>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stock of NBNYC</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270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Alternative Lending Program</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270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Accounting Standards Codification, as issued by the FASB</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270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Accounting Standards Updates, as issued by the FASB</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ATM Equity Distribution Agreement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Distribution Agreement, dated November 17, 2023, by and among the Company and the placement agents</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BDC</w:t>
            </w:r>
          </w:p>
        </w:tc>
        <w:tc>
          <w:tcPr>
            <w:tcW w:w="270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Development Company under the 1940 Act</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Board</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Company's board of directors</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Capital One</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One Bank, National Association</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270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Conventional commercial and industrial loans</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Code</w:t>
            </w:r>
          </w:p>
        </w:tc>
        <w:tc>
          <w:tcPr>
            <w:tcW w:w="270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Internal Revenue Code of 1986, as amended</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70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Deutsche Bank</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Deutsche Bank AG</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DIF</w:t>
            </w:r>
          </w:p>
        </w:tc>
        <w:tc>
          <w:tcPr>
            <w:tcW w:w="270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 Insurance Fund of the FDIC</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DRIP</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Company's former dividend reinvestment plan</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before interest, taxes, depreciation and amortization</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2015</w:t>
            </w:r>
          </w:p>
        </w:tc>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Stock Incentive Plan</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Company's 2015 Stock Incentive Plan</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Incentive Plan</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Company’s 2023 Stock Incentive Plan</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Program</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Exchange Act of 1934, as amended</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Reserve</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Board of Governors of the Federal Reserve System</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FDIC</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Deposit Insurance Corporation</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FV</w:t>
            </w:r>
          </w:p>
        </w:tc>
        <w:tc>
          <w:tcPr>
            <w:tcW w:w="270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w:t>
            </w:r>
          </w:p>
        </w:tc>
      </w:tr>
      <w:tr>
        <w:trPr>
          <w:trHeight w:val="180"/>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HFI</w:t>
            </w:r>
          </w:p>
        </w:tc>
        <w:tc>
          <w:tcPr>
            <w:tcW w:w="270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Held for investment</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HFS</w:t>
            </w:r>
          </w:p>
        </w:tc>
        <w:tc>
          <w:tcPr>
            <w:tcW w:w="270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Held for sale</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LIBOR</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London Interbank Offered Rate</w:t>
            </w:r>
          </w:p>
        </w:tc>
      </w:tr>
      <w:tr>
        <w:trPr>
          <w:trHeight w:val="18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8"/>
              </w:rPr>
              <w:t>LCM</w:t>
            </w:r>
          </w:p>
        </w:tc>
        <w:tc>
          <w:tcPr>
            <w:tcW w:w="270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Lower of amortized cost basis or fair value</w:t>
            </w:r>
          </w:p>
        </w:tc>
      </w:tr>
      <w:tr>
        <w:trPr>
          <w:trHeight w:val="679"/>
        </w:trPr>
        <w:tc>
          <w:tcPr>
            <w:tcW w:w="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24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4</w:t>
            </w:r>
          </w:p>
        </w:tc>
      </w:tr>
      <w:tr>
        <w:trPr>
          <w:trHeight w:val="87"/>
        </w:trPr>
        <w:tc>
          <w:tcPr>
            <w:tcW w:w="34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8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LTV</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Loan-to-Value</w:t>
            </w: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NAV</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 Value</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NBNYC</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National Bank of New York City, which has been renamed Newtek Bank, National Association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OCC</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of the Comptroller of the Currency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PCD</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Financial Assets with Credit Deterioration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Lenders Program, as authorized by the SBA</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PPP</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Paycheck Protection Program</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RIC</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Regulated investment company under the Code</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Standard and Poor's</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 Small Business Administration</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SMB</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Small-and-medium sized businesses</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 LLC, a wholly-owned subsidiary of Holdco 6, and Capital One</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II, LLC, a wholly-owned subsidiary of Holdco 6, and Deutsche Bank</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III, LLC, a wholly-owned subsidiary of Holdco 6, and One Florida Bank</w:t>
            </w:r>
          </w:p>
        </w:tc>
      </w:tr>
      <w:tr>
        <w:trPr>
          <w:trHeight w:val="138"/>
        </w:trPr>
        <w:tc>
          <w:tcPr>
            <w:tcW w:w="30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Stock Purchase Agreement</w:t>
            </w:r>
          </w:p>
        </w:tc>
        <w:tc>
          <w:tcPr>
            <w:tcW w:w="8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Stock Purchase Agreement dated August 2, 2021, between the Company, NBNYC and certain NBNYC shareholders to acquire all of the issued</w:t>
            </w:r>
          </w:p>
        </w:tc>
      </w:tr>
      <w:tr>
        <w:trPr>
          <w:trHeight w:val="191"/>
        </w:trPr>
        <w:tc>
          <w:tcPr>
            <w:tcW w:w="3040" w:type="dxa"/>
            <w:vAlign w:val="bottom"/>
            <w:shd w:val="clear" w:color="auto" w:fill="CCEEFF"/>
          </w:tcPr>
          <w:p>
            <w:pPr>
              <w:spacing w:after="0"/>
              <w:rPr>
                <w:sz w:val="16"/>
                <w:szCs w:val="16"/>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outstanding stock of NBNYC, as amended through December 12, 2022</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Trustee</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Bank, National Association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TSO II</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TSO II Booster Aggregator, L.P.</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GAAP or GAAP</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Generally accepted accounting principles in the United States</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Webster</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Webster Bank, N.A.</w:t>
            </w:r>
          </w:p>
        </w:tc>
      </w:tr>
      <w:tr>
        <w:trPr>
          <w:trHeight w:val="212"/>
        </w:trPr>
        <w:tc>
          <w:tcPr>
            <w:tcW w:w="3040" w:type="dxa"/>
            <w:vAlign w:val="bottom"/>
          </w:tcPr>
          <w:p>
            <w:pPr>
              <w:spacing w:after="0"/>
              <w:rPr>
                <w:sz w:val="18"/>
                <w:szCs w:val="18"/>
                <w:color w:val="auto"/>
              </w:rPr>
            </w:pPr>
          </w:p>
        </w:tc>
        <w:tc>
          <w:tcPr>
            <w:tcW w:w="8240" w:type="dxa"/>
            <w:vAlign w:val="bottom"/>
          </w:tcPr>
          <w:p>
            <w:pPr>
              <w:spacing w:after="0"/>
              <w:rPr>
                <w:sz w:val="18"/>
                <w:szCs w:val="18"/>
                <w:color w:val="auto"/>
              </w:rPr>
            </w:pPr>
          </w:p>
        </w:tc>
      </w:tr>
      <w:tr>
        <w:trPr>
          <w:trHeight w:val="180"/>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 and Joint Ventures</w:t>
            </w:r>
          </w:p>
        </w:tc>
        <w:tc>
          <w:tcPr>
            <w:tcW w:w="8240" w:type="dxa"/>
            <w:vAlign w:val="bottom"/>
            <w:shd w:val="clear" w:color="auto" w:fill="CCEEFF"/>
          </w:tcPr>
          <w:p>
            <w:pPr>
              <w:spacing w:after="0"/>
              <w:rPr>
                <w:sz w:val="15"/>
                <w:szCs w:val="15"/>
                <w:color w:val="auto"/>
              </w:rPr>
            </w:pPr>
          </w:p>
        </w:tc>
      </w:tr>
      <w:tr>
        <w:trPr>
          <w:trHeight w:val="17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NSBF</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Finance, LLC,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NBL</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Business Lending, LLC, a former wholly-owned subsidiary of Newtek Bank merged into SBL on May 2, 2023</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NCL</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Commercial Lending, Inc,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NCL JV</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Conventional Lending, LLC, a 50% owned joint venture</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Bank</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Bank, National Association,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Holdco 6</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Business Services Holdco 6, Inc., a consolidated subsidiary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TSO JV</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Newtek-TSO II Conventional Credit Partners, LP, a 50% owned joint venture</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NMS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Merchant Solutions, LLC, a consolidated subsidiary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Mobil Money</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Mobil Money, LLC,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NTS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Technology Solutions, Inc., a consolidated subsidiary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NBC</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CDS Business Services, Inc. dba Newtek Business Credit Solutions,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SBL</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Small Business Lending, LLC, a wholly owned subsidiary of Newtek Bank</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PMT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PMTWorks Payroll, LLC dba Newtek Payroll and Benefits Solutions,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NIA</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Insurance Agency, LLC, a consolidated subsidiary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TAM</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Titanium Asset Management, LLC,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EMCAP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EMCAP Loan Holdings, LLC</w:t>
            </w:r>
          </w:p>
        </w:tc>
      </w:tr>
      <w:tr>
        <w:trPr>
          <w:trHeight w:val="184"/>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 on Cloud, LLC, dba Newtek Payment Systems, a 88.34% owned consolidated subsidiary</w:t>
            </w:r>
          </w:p>
        </w:tc>
      </w:tr>
      <w:tr>
        <w:trPr>
          <w:trHeight w:val="484"/>
        </w:trPr>
        <w:tc>
          <w:tcPr>
            <w:tcW w:w="3040" w:type="dxa"/>
            <w:vAlign w:val="bottom"/>
          </w:tcPr>
          <w:p>
            <w:pPr>
              <w:spacing w:after="0"/>
              <w:rPr>
                <w:sz w:val="24"/>
                <w:szCs w:val="24"/>
                <w:color w:val="auto"/>
              </w:rPr>
            </w:pPr>
          </w:p>
        </w:tc>
        <w:tc>
          <w:tcPr>
            <w:tcW w:w="824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5</w:t>
            </w:r>
          </w:p>
        </w:tc>
      </w:tr>
      <w:tr>
        <w:trPr>
          <w:trHeight w:val="278"/>
        </w:trPr>
        <w:tc>
          <w:tcPr>
            <w:tcW w:w="304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CONSOLIDATED STATEMENTS OF FINANCIAL CONDITION</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80" w:type="dxa"/>
            <w:vAlign w:val="bottom"/>
          </w:tcPr>
          <w:p>
            <w:pPr>
              <w:spacing w:after="0"/>
              <w:rPr>
                <w:sz w:val="13"/>
                <w:szCs w:val="13"/>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0" w:type="dxa"/>
            <w:vAlign w:val="bottom"/>
          </w:tcPr>
          <w:p>
            <w:pPr>
              <w:ind w:left="34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12,295</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115,152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3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163,206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187,104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Loans held for investment, at amortized cost, net</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381,499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323,731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Federal Home Loan Bank and Federal Reserve Bank stock</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Settlement receivable</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56,890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Joint ventures, at fair value (cost of $45,108 and $37,864), respectively</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48,247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Non-control investments (cost of $772 and $796), respectively</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Goodwill and intangibles</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Right of use assets</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tax asset, net</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Servicing assets</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58,169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1,509,577</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1,429,513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0" w:type="dxa"/>
            <w:vAlign w:val="bottom"/>
          </w:tcPr>
          <w:p>
            <w:pPr>
              <w:spacing w:after="0"/>
              <w:rPr>
                <w:sz w:val="6"/>
                <w:szCs w:val="6"/>
                <w:color w:val="auto"/>
              </w:rPr>
            </w:pPr>
          </w:p>
        </w:tc>
        <w:tc>
          <w:tcPr>
            <w:tcW w:w="74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Liabilities:</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Noninterest-bearing</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Interest-bearing</w:t>
            </w: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507,476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453,452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deposits</w:t>
            </w:r>
          </w:p>
        </w:tc>
        <w:tc>
          <w:tcPr>
            <w:tcW w:w="3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512,942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662,488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Dividends payable</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Due to participants</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41,986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1,255,445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1,180,467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Shareholders' Equity:</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Preferred stock (par value $0.02 per share; authorized 20 shares, 20 shares issued and outstanding)</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Common stock (par value $0.02 per share; authorized 199,980 shares, 24,715 and 24,680 shares issued and outstanding,</w:t>
            </w:r>
          </w:p>
        </w:tc>
        <w:tc>
          <w:tcPr>
            <w:tcW w:w="3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respectively)</w:t>
            </w:r>
          </w:p>
        </w:tc>
        <w:tc>
          <w:tcPr>
            <w:tcW w:w="32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 net of income taxes</w:t>
            </w: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254,132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1,509,577</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1,429,513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669"/>
              <w:spacing w:after="0"/>
              <w:rPr>
                <w:sz w:val="20"/>
                <w:szCs w:val="20"/>
                <w:color w:val="auto"/>
              </w:rPr>
            </w:pPr>
            <w:r>
              <w:rPr>
                <w:rFonts w:ascii="Times New Roman" w:cs="Times New Roman" w:eastAsia="Times New Roman" w:hAnsi="Times New Roman"/>
                <w:sz w:val="14"/>
                <w:szCs w:val="14"/>
                <w:color w:val="auto"/>
              </w:rPr>
              <w:t>6</w:t>
            </w: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74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0" w:type="dxa"/>
            <w:vAlign w:val="bottom"/>
          </w:tcPr>
          <w:p>
            <w:pPr>
              <w:jc w:val="center"/>
              <w:ind w:left="376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74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45"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INCOME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200" w:type="dxa"/>
            <w:vAlign w:val="bottom"/>
            <w:gridSpan w:val="6"/>
          </w:tcPr>
          <w:p>
            <w:pPr>
              <w:ind w:left="6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4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(as restated)</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338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5560" w:type="dxa"/>
            <w:vAlign w:val="bottom"/>
            <w:gridSpan w:val="2"/>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and fees on loans</w:t>
            </w:r>
          </w:p>
        </w:tc>
        <w:tc>
          <w:tcPr>
            <w:tcW w:w="4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interest earning assets</w:t>
            </w:r>
          </w:p>
        </w:tc>
        <w:tc>
          <w:tcPr>
            <w:tcW w:w="45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interest income</w:t>
            </w:r>
          </w:p>
        </w:tc>
        <w:tc>
          <w:tcPr>
            <w:tcW w:w="4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4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4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and securitizations</w:t>
            </w:r>
          </w:p>
        </w:tc>
        <w:tc>
          <w:tcPr>
            <w:tcW w:w="4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Bank and FHLB borrowings</w:t>
            </w:r>
          </w:p>
        </w:tc>
        <w:tc>
          <w:tcPr>
            <w:tcW w:w="45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interest expense</w:t>
            </w:r>
          </w:p>
        </w:tc>
        <w:tc>
          <w:tcPr>
            <w:tcW w:w="45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interest income</w:t>
            </w:r>
          </w:p>
        </w:tc>
        <w:tc>
          <w:tcPr>
            <w:tcW w:w="4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45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4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4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 income</w:t>
            </w:r>
          </w:p>
        </w:tc>
        <w:tc>
          <w:tcPr>
            <w:tcW w:w="4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 servicing asset revaluation</w:t>
            </w:r>
          </w:p>
        </w:tc>
        <w:tc>
          <w:tcPr>
            <w:tcW w:w="4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Servicing income</w:t>
            </w:r>
          </w:p>
        </w:tc>
        <w:tc>
          <w:tcPr>
            <w:tcW w:w="4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4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gain on loans under the fair value option</w:t>
            </w:r>
          </w:p>
        </w:tc>
        <w:tc>
          <w:tcPr>
            <w:tcW w:w="4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Technology and IT support income</w:t>
            </w:r>
          </w:p>
        </w:tc>
        <w:tc>
          <w:tcPr>
            <w:tcW w:w="4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Electronic payment processing income</w:t>
            </w:r>
          </w:p>
        </w:tc>
        <w:tc>
          <w:tcPr>
            <w:tcW w:w="4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noninterest income</w:t>
            </w:r>
          </w:p>
        </w:tc>
        <w:tc>
          <w:tcPr>
            <w:tcW w:w="45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45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49,367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4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4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Technology services expense</w:t>
            </w:r>
          </w:p>
        </w:tc>
        <w:tc>
          <w:tcPr>
            <w:tcW w:w="4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4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4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loan origination and maintenance expense</w:t>
            </w:r>
          </w:p>
        </w:tc>
        <w:tc>
          <w:tcPr>
            <w:tcW w:w="4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45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45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taxes</w:t>
            </w:r>
          </w:p>
        </w:tc>
        <w:tc>
          <w:tcPr>
            <w:tcW w:w="4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45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to preferred shareholders</w:t>
            </w:r>
          </w:p>
        </w:tc>
        <w:tc>
          <w:tcPr>
            <w:tcW w:w="45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4580" w:type="dxa"/>
            <w:vAlign w:val="bottom"/>
          </w:tcPr>
          <w:p>
            <w:pPr>
              <w:spacing w:after="0"/>
              <w:rPr>
                <w:sz w:val="14"/>
                <w:szCs w:val="14"/>
                <w:color w:val="auto"/>
              </w:rPr>
            </w:pPr>
          </w:p>
        </w:tc>
        <w:tc>
          <w:tcPr>
            <w:tcW w:w="980" w:type="dxa"/>
            <w:vAlign w:val="bottom"/>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9,250</w:t>
            </w:r>
          </w:p>
        </w:tc>
        <w:tc>
          <w:tcPr>
            <w:tcW w:w="10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4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5560" w:type="dxa"/>
            <w:vAlign w:val="bottom"/>
            <w:gridSpan w:val="2"/>
          </w:tcPr>
          <w:p>
            <w:pPr>
              <w:jc w:val="right"/>
              <w:ind w:right="83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5560" w:type="dxa"/>
            <w:vAlign w:val="bottom"/>
            <w:gridSpan w:val="2"/>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5"/>
        </w:trPr>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580" w:type="dxa"/>
            <w:vAlign w:val="bottom"/>
          </w:tcPr>
          <w:p>
            <w:pPr>
              <w:jc w:val="right"/>
              <w:ind w:right="2329"/>
              <w:spacing w:after="0"/>
              <w:rPr>
                <w:sz w:val="20"/>
                <w:szCs w:val="20"/>
                <w:color w:val="auto"/>
              </w:rPr>
            </w:pPr>
            <w:r>
              <w:rPr>
                <w:rFonts w:ascii="Times New Roman" w:cs="Times New Roman" w:eastAsia="Times New Roman" w:hAnsi="Times New Roman"/>
                <w:sz w:val="14"/>
                <w:szCs w:val="14"/>
                <w:color w:val="auto"/>
              </w:rPr>
              <w:t>7</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560" w:type="dxa"/>
            <w:vAlign w:val="bottom"/>
            <w:gridSpan w:val="2"/>
          </w:tcPr>
          <w:p>
            <w:pPr>
              <w:jc w:val="center"/>
              <w:ind w:right="1212"/>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120" w:type="dxa"/>
            <w:vAlign w:val="bottom"/>
            <w:tcBorders>
              <w:bottom w:val="single" w:sz="8" w:color="9A9A9A"/>
            </w:tcBorders>
          </w:tcPr>
          <w:p>
            <w:pPr>
              <w:spacing w:after="0"/>
              <w:rPr>
                <w:sz w:val="7"/>
                <w:szCs w:val="7"/>
                <w:color w:val="auto"/>
              </w:rPr>
            </w:pPr>
          </w:p>
        </w:tc>
        <w:tc>
          <w:tcPr>
            <w:tcW w:w="3380" w:type="dxa"/>
            <w:vAlign w:val="bottom"/>
            <w:tcBorders>
              <w:bottom w:val="single" w:sz="8" w:color="9A9A9A"/>
            </w:tcBorders>
          </w:tcPr>
          <w:p>
            <w:pPr>
              <w:spacing w:after="0"/>
              <w:rPr>
                <w:sz w:val="7"/>
                <w:szCs w:val="7"/>
                <w:color w:val="auto"/>
              </w:rPr>
            </w:pPr>
          </w:p>
        </w:tc>
        <w:tc>
          <w:tcPr>
            <w:tcW w:w="45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81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(as restated)</w:t>
            </w:r>
          </w:p>
        </w:tc>
        <w:tc>
          <w:tcPr>
            <w:tcW w:w="4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9,650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18,550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gain (loss) before tax:</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unrealized gain (loss) on debt securities available-for-sale during the period</w:t>
            </w:r>
          </w:p>
        </w:tc>
        <w:tc>
          <w:tcPr>
            <w:tcW w:w="10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gain (loss) before tax</w:t>
            </w:r>
          </w:p>
        </w:tc>
        <w:tc>
          <w:tcPr>
            <w:tcW w:w="1000" w:type="dxa"/>
            <w:vAlign w:val="bottom"/>
          </w:tcPr>
          <w:p>
            <w:pPr>
              <w:spacing w:after="0"/>
              <w:rPr>
                <w:sz w:val="14"/>
                <w:szCs w:val="14"/>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0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100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9,657</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18,468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8140" w:type="dxa"/>
            <w:vAlign w:val="bottom"/>
            <w:tcBorders>
              <w:top w:val="single" w:sz="8" w:color="CCEEFF"/>
              <w:bottom w:val="single" w:sz="8" w:color="CCEEFF"/>
            </w:tcBorders>
            <w:vMerge w:val="restart"/>
          </w:tcPr>
          <w:p>
            <w:pPr>
              <w:ind w:left="5560"/>
              <w:spacing w:after="0"/>
              <w:rPr>
                <w:sz w:val="20"/>
                <w:szCs w:val="20"/>
                <w:color w:val="auto"/>
              </w:rPr>
            </w:pPr>
            <w:r>
              <w:rPr>
                <w:rFonts w:ascii="Times New Roman" w:cs="Times New Roman" w:eastAsia="Times New Roman" w:hAnsi="Times New Roman"/>
                <w:sz w:val="14"/>
                <w:szCs w:val="14"/>
                <w:color w:val="auto"/>
              </w:rPr>
              <w:t>8</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0" w:type="dxa"/>
            <w:vAlign w:val="bottom"/>
            <w:vMerge w:val="continue"/>
          </w:tcPr>
          <w:p>
            <w:pPr>
              <w:spacing w:after="0"/>
              <w:rPr>
                <w:sz w:val="24"/>
                <w:szCs w:val="24"/>
                <w:color w:val="auto"/>
              </w:rPr>
            </w:pPr>
          </w:p>
        </w:tc>
        <w:tc>
          <w:tcPr>
            <w:tcW w:w="81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8140" w:type="dxa"/>
            <w:vAlign w:val="bottom"/>
          </w:tcPr>
          <w:p>
            <w:pPr>
              <w:ind w:left="386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8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84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1"/>
                <w:szCs w:val="11"/>
                <w:color w:val="auto"/>
              </w:rPr>
            </w:pPr>
          </w:p>
        </w:tc>
        <w:tc>
          <w:tcPr>
            <w:tcW w:w="1840" w:type="dxa"/>
            <w:vAlign w:val="bottom"/>
            <w:gridSpan w:val="5"/>
            <w:vMerge w:val="continue"/>
          </w:tcPr>
          <w:p>
            <w:pPr>
              <w:spacing w:after="0"/>
              <w:rPr>
                <w:sz w:val="11"/>
                <w:szCs w:val="11"/>
                <w:color w:val="auto"/>
              </w:rPr>
            </w:pPr>
          </w:p>
        </w:tc>
        <w:tc>
          <w:tcPr>
            <w:tcW w:w="184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Total equity</w:t>
            </w: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24,680</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200,913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249,046</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 net of forfeitures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144"/>
        </w:trPr>
        <w:tc>
          <w:tcPr>
            <w:tcW w:w="360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Dividends declared related to RSA, net of accrued</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forfeited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360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Purchase of vested stock for employee payroll tax</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withholding</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81"/>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ESPP issuances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offering costs</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 common shares ($0.19/share)</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declared preferred shares ($20.00/share)</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24,715</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201,431</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32,611</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254,132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380" w:type="dxa"/>
            <w:vAlign w:val="bottom"/>
          </w:tcPr>
          <w:p>
            <w:pPr>
              <w:spacing w:after="0"/>
              <w:rPr>
                <w:sz w:val="11"/>
                <w:szCs w:val="11"/>
                <w:color w:val="auto"/>
              </w:rPr>
            </w:pPr>
          </w:p>
        </w:tc>
        <w:tc>
          <w:tcPr>
            <w:tcW w:w="166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Additional paid-</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undistributed</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in-capital</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354,243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375,358</w:t>
            </w:r>
          </w:p>
        </w:tc>
        <w:tc>
          <w:tcPr>
            <w:tcW w:w="0" w:type="dxa"/>
            <w:vAlign w:val="bottom"/>
          </w:tcPr>
          <w:p>
            <w:pPr>
              <w:spacing w:after="0"/>
              <w:rPr>
                <w:sz w:val="1"/>
                <w:szCs w:val="1"/>
                <w:color w:val="auto"/>
              </w:rPr>
            </w:pPr>
          </w:p>
        </w:tc>
      </w:tr>
      <w:tr>
        <w:trPr>
          <w:trHeight w:val="138"/>
        </w:trPr>
        <w:tc>
          <w:tcPr>
            <w:tcW w:w="238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Conversion from BDC to Bank</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Holding Company Adjustments: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presentation</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Removal of fair value adjustments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left="6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(138,043)</w:t>
            </w:r>
          </w:p>
        </w:tc>
        <w:tc>
          <w:tcPr>
            <w:tcW w:w="0" w:type="dxa"/>
            <w:vAlign w:val="bottom"/>
          </w:tcPr>
          <w:p>
            <w:pPr>
              <w:spacing w:after="0"/>
              <w:rPr>
                <w:sz w:val="1"/>
                <w:szCs w:val="1"/>
                <w:color w:val="auto"/>
              </w:rPr>
            </w:pPr>
          </w:p>
        </w:tc>
      </w:tr>
      <w:tr>
        <w:trPr>
          <w:trHeight w:val="138"/>
        </w:trPr>
        <w:tc>
          <w:tcPr>
            <w:tcW w:w="238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4"/>
                <w:szCs w:val="14"/>
                <w:color w:val="auto"/>
              </w:rPr>
              <w:t>Consolidation of controlled</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investments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(57,725)</w:t>
            </w:r>
          </w:p>
        </w:tc>
        <w:tc>
          <w:tcPr>
            <w:tcW w:w="0" w:type="dxa"/>
            <w:vAlign w:val="bottom"/>
          </w:tcPr>
          <w:p>
            <w:pPr>
              <w:spacing w:after="0"/>
              <w:rPr>
                <w:sz w:val="1"/>
                <w:szCs w:val="1"/>
                <w:color w:val="auto"/>
              </w:rPr>
            </w:pPr>
          </w:p>
        </w:tc>
      </w:tr>
      <w:tr>
        <w:trPr>
          <w:trHeight w:val="138"/>
        </w:trPr>
        <w:tc>
          <w:tcPr>
            <w:tcW w:w="2380" w:type="dxa"/>
            <w:vAlign w:val="bottom"/>
          </w:tcPr>
          <w:p>
            <w:pPr>
              <w:ind w:left="280"/>
              <w:spacing w:after="0" w:line="138" w:lineRule="exact"/>
              <w:rPr>
                <w:sz w:val="20"/>
                <w:szCs w:val="20"/>
                <w:color w:val="auto"/>
              </w:rPr>
            </w:pPr>
            <w:r>
              <w:rPr>
                <w:rFonts w:ascii="Times New Roman" w:cs="Times New Roman" w:eastAsia="Times New Roman" w:hAnsi="Times New Roman"/>
                <w:sz w:val="14"/>
                <w:szCs w:val="14"/>
                <w:color w:val="auto"/>
              </w:rPr>
              <w:t>Reassessment of deferred tax assets</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and liabilities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left="6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19,266</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DRIP shares issued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38"/>
        </w:trPr>
        <w:tc>
          <w:tcPr>
            <w:tcW w:w="238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forfeitures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left="6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0" w:type="dxa"/>
            <w:vAlign w:val="bottom"/>
          </w:tcPr>
          <w:p>
            <w:pPr>
              <w:spacing w:after="0"/>
              <w:rPr>
                <w:sz w:val="1"/>
                <w:szCs w:val="1"/>
                <w:color w:val="auto"/>
              </w:rPr>
            </w:pPr>
          </w:p>
        </w:tc>
      </w:tr>
      <w:tr>
        <w:trPr>
          <w:trHeight w:val="138"/>
        </w:trPr>
        <w:tc>
          <w:tcPr>
            <w:tcW w:w="238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Dividends declared related to RSA,</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of accrued dividends forfeited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238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Purchase of vested stock for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 payroll tax withholding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left="6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Preferred stock</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80"/>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 issuance costs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center"/>
              <w:ind w:left="6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38"/>
        </w:trPr>
        <w:tc>
          <w:tcPr>
            <w:tcW w:w="238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Dividends declared common shares</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($0.18/share)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w:t>
            </w:r>
          </w:p>
        </w:tc>
        <w:tc>
          <w:tcPr>
            <w:tcW w:w="0" w:type="dxa"/>
            <w:vAlign w:val="bottom"/>
          </w:tcPr>
          <w:p>
            <w:pPr>
              <w:spacing w:after="0"/>
              <w:rPr>
                <w:sz w:val="1"/>
                <w:szCs w:val="1"/>
                <w:color w:val="auto"/>
              </w:rPr>
            </w:pPr>
          </w:p>
        </w:tc>
      </w:tr>
      <w:tr>
        <w:trPr>
          <w:trHeight w:val="138"/>
        </w:trPr>
        <w:tc>
          <w:tcPr>
            <w:tcW w:w="238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Dividends declared preferred shares</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($12.27/share)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center"/>
              <w:ind w:left="6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18,550</w:t>
            </w:r>
          </w:p>
        </w:tc>
        <w:tc>
          <w:tcPr>
            <w:tcW w:w="0" w:type="dxa"/>
            <w:vAlign w:val="bottom"/>
          </w:tcPr>
          <w:p>
            <w:pPr>
              <w:spacing w:after="0"/>
              <w:rPr>
                <w:sz w:val="1"/>
                <w:szCs w:val="1"/>
                <w:color w:val="auto"/>
              </w:rPr>
            </w:pPr>
          </w:p>
        </w:tc>
      </w:tr>
      <w:tr>
        <w:trPr>
          <w:trHeight w:val="180"/>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center"/>
              <w:ind w:left="689"/>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1"/>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198,560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232,586</w:t>
            </w:r>
          </w:p>
        </w:tc>
        <w:tc>
          <w:tcPr>
            <w:tcW w:w="0" w:type="dxa"/>
            <w:vAlign w:val="bottom"/>
          </w:tcPr>
          <w:p>
            <w:pPr>
              <w:spacing w:after="0"/>
              <w:rPr>
                <w:sz w:val="1"/>
                <w:szCs w:val="1"/>
                <w:color w:val="auto"/>
              </w:rPr>
            </w:pPr>
          </w:p>
        </w:tc>
      </w:tr>
      <w:tr>
        <w:trPr>
          <w:trHeight w:val="495"/>
        </w:trPr>
        <w:tc>
          <w:tcPr>
            <w:tcW w:w="2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color w:val="auto"/>
                <w:w w:val="85"/>
              </w:rPr>
              <w:t>10</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80" w:type="dxa"/>
            <w:vAlign w:val="bottom"/>
            <w:gridSpan w:val="14"/>
          </w:tcPr>
          <w:p>
            <w:pPr>
              <w:ind w:left="58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3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60" w:type="dxa"/>
            <w:vAlign w:val="bottom"/>
          </w:tcPr>
          <w:p>
            <w:pPr>
              <w:spacing w:after="0"/>
              <w:rPr>
                <w:sz w:val="14"/>
                <w:szCs w:val="14"/>
                <w:color w:val="auto"/>
              </w:rPr>
            </w:pPr>
          </w:p>
        </w:tc>
        <w:tc>
          <w:tcPr>
            <w:tcW w:w="3020" w:type="dxa"/>
            <w:vAlign w:val="bottom"/>
            <w:tcBorders>
              <w:bottom w:val="single" w:sz="8" w:color="auto"/>
            </w:tcBorders>
            <w:gridSpan w:val="5"/>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67"/>
        </w:trPr>
        <w:tc>
          <w:tcPr>
            <w:tcW w:w="8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61"/>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80"/>
        </w:trPr>
        <w:tc>
          <w:tcPr>
            <w:tcW w:w="8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18,550</w:t>
            </w:r>
          </w:p>
        </w:tc>
      </w:tr>
      <w:tr>
        <w:trPr>
          <w:trHeight w:val="180"/>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appreciation on joint ventures and non-control investments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gain on loans accounted for under the fair value option</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(5,905)</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unrealized depreciation (appreciation) on servicing assets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unrealized (appreciation) depreciation on derivative transactions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gain on sales of loans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(6,367)</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accretion of premium/discount</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Lower of cost or market adjustment on loans held for sale</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(11,739)</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Proceeds from sale of loans held for sale</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121,575</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Sale (purchase) of loans held for sale from affiliate</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(5,295)</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Purchase of loans held for sale</w:t>
            </w:r>
          </w:p>
        </w:tc>
        <w:tc>
          <w:tcPr>
            <w:tcW w:w="8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(5,797)</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Funding of loans held for sale</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(255,727)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(156,742)</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Principal received on loans held for sale</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18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Settlement receivable</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(41,427)</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Capitalized servicing asset</w:t>
            </w:r>
          </w:p>
        </w:tc>
        <w:tc>
          <w:tcPr>
            <w:tcW w:w="8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6,692</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Dividends payable</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Due to participants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(7,447)</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(20,816)</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1"/>
        </w:trPr>
        <w:tc>
          <w:tcPr>
            <w:tcW w:w="8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(116,359)</w:t>
            </w:r>
          </w:p>
        </w:tc>
      </w:tr>
      <w:tr>
        <w:trPr>
          <w:trHeight w:val="160"/>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decrease (increase) in loans held for investment, at fair value</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(7,595)</w:t>
            </w:r>
          </w:p>
        </w:tc>
      </w:tr>
      <w:tr>
        <w:trPr>
          <w:trHeight w:val="180"/>
        </w:trPr>
        <w:tc>
          <w:tcPr>
            <w:tcW w:w="8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(increase) decrease in loans held for investment, at cost</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Contributions to joint ventures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80"/>
        </w:trPr>
        <w:tc>
          <w:tcPr>
            <w:tcW w:w="8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of fixed assets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80"/>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Return of capital - non-control investments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(increase) decrease in Federal Home Loan and Federal Reserve Bank stock</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180"/>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(purchases) of available-for-sale securities, net of maturities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(27,901)</w:t>
            </w:r>
          </w:p>
        </w:tc>
      </w:tr>
      <w:tr>
        <w:trPr>
          <w:trHeight w:val="180"/>
        </w:trPr>
        <w:tc>
          <w:tcPr>
            <w:tcW w:w="8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8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11,252</w:t>
            </w:r>
          </w:p>
        </w:tc>
      </w:tr>
      <w:tr>
        <w:trPr>
          <w:trHeight w:val="171"/>
        </w:trPr>
        <w:tc>
          <w:tcPr>
            <w:tcW w:w="8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(23,898)</w:t>
            </w:r>
          </w:p>
        </w:tc>
      </w:tr>
      <w:tr>
        <w:trPr>
          <w:trHeight w:val="676"/>
        </w:trPr>
        <w:tc>
          <w:tcPr>
            <w:tcW w:w="826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11</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4"/>
        </w:trPr>
        <w:tc>
          <w:tcPr>
            <w:tcW w:w="8260" w:type="dxa"/>
            <w:vAlign w:val="bottom"/>
          </w:tcPr>
          <w:p>
            <w:pPr>
              <w:ind w:left="390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87"/>
        </w:trPr>
        <w:tc>
          <w:tcPr>
            <w:tcW w:w="8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60" w:type="dxa"/>
            <w:vAlign w:val="bottom"/>
          </w:tcPr>
          <w:p>
            <w:pPr>
              <w:spacing w:after="0"/>
              <w:rPr>
                <w:sz w:val="14"/>
                <w:szCs w:val="14"/>
                <w:color w:val="auto"/>
              </w:rPr>
            </w:pPr>
          </w:p>
        </w:tc>
        <w:tc>
          <w:tcPr>
            <w:tcW w:w="3020" w:type="dxa"/>
            <w:vAlign w:val="bottom"/>
            <w:tcBorders>
              <w:bottom w:val="single" w:sz="8" w:color="auto"/>
            </w:tcBorders>
            <w:gridSpan w:val="5"/>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67"/>
        </w:trPr>
        <w:tc>
          <w:tcPr>
            <w:tcW w:w="8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6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9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80"/>
        </w:trPr>
        <w:tc>
          <w:tcPr>
            <w:tcW w:w="8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borrowings on bank notes payable</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47,274</w:t>
            </w:r>
          </w:p>
        </w:tc>
      </w:tr>
      <w:tr>
        <w:trPr>
          <w:trHeight w:val="180"/>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increase in deposits</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105,933</w:t>
            </w:r>
          </w:p>
        </w:tc>
      </w:tr>
      <w:tr>
        <w:trPr>
          <w:trHeight w:val="180"/>
        </w:trPr>
        <w:tc>
          <w:tcPr>
            <w:tcW w:w="8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 of Federal Home Loan Bank advances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(3,699)</w:t>
            </w:r>
          </w:p>
        </w:tc>
      </w:tr>
      <w:tr>
        <w:trPr>
          <w:trHeight w:val="180"/>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preferred stock, net of offering costs</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19,493</w:t>
            </w:r>
          </w:p>
        </w:tc>
      </w:tr>
      <w:tr>
        <w:trPr>
          <w:trHeight w:val="180"/>
        </w:trPr>
        <w:tc>
          <w:tcPr>
            <w:tcW w:w="8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2025 8.125% Notes</w:t>
            </w:r>
          </w:p>
        </w:tc>
        <w:tc>
          <w:tcPr>
            <w:tcW w:w="9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180"/>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on Notes Payable - Securitization Trusts</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(31,015)</w:t>
            </w:r>
          </w:p>
        </w:tc>
      </w:tr>
      <w:tr>
        <w:trPr>
          <w:trHeight w:val="180"/>
        </w:trPr>
        <w:tc>
          <w:tcPr>
            <w:tcW w:w="8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Dividends paid, net of dividend reinvestment plan</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of deferred financing costs</w:t>
            </w: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r>
      <w:tr>
        <w:trPr>
          <w:trHeight w:val="17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61,679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186,899</w:t>
            </w:r>
          </w:p>
        </w:tc>
      </w:tr>
      <w:tr>
        <w:trPr>
          <w:trHeight w:val="17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restricted cash</w:t>
            </w: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46,642</w:t>
            </w:r>
          </w:p>
        </w:tc>
      </w:tr>
      <w:tr>
        <w:trPr>
          <w:trHeight w:val="180"/>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cash—beginning of period (Note 2)</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125,606</w:t>
            </w:r>
          </w:p>
        </w:tc>
      </w:tr>
      <w:tr>
        <w:trPr>
          <w:trHeight w:val="18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Consolidation of cash and restricted cash from controlled investments and business combinations, net of cash paid</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24,896</w:t>
            </w:r>
          </w:p>
        </w:tc>
      </w:tr>
      <w:tr>
        <w:trPr>
          <w:trHeight w:val="17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restricted cash—end of period (Note 2)</w:t>
            </w:r>
          </w:p>
        </w:tc>
        <w:tc>
          <w:tcPr>
            <w:tcW w:w="92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163,206</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197,144</w:t>
            </w:r>
          </w:p>
        </w:tc>
      </w:tr>
      <w:tr>
        <w:trPr>
          <w:trHeight w:val="65"/>
        </w:trPr>
        <w:tc>
          <w:tcPr>
            <w:tcW w:w="8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r>
        <w:trPr>
          <w:trHeight w:val="180"/>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operating, investing and financing activities:</w:t>
            </w: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92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2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Dividends declared but not paid during the period</w:t>
            </w:r>
          </w:p>
        </w:tc>
        <w:tc>
          <w:tcPr>
            <w:tcW w:w="920" w:type="dxa"/>
            <w:vAlign w:val="bottom"/>
            <w:tcBorders>
              <w:bottom w:val="single" w:sz="8" w:color="auto"/>
            </w:tcBorders>
          </w:tcPr>
          <w:p>
            <w:pPr>
              <w:jc w:val="right"/>
              <w:ind w:right="770"/>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4,617</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4,363</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shares under dividend reinvestment plan</w:t>
            </w:r>
          </w:p>
        </w:tc>
        <w:tc>
          <w:tcPr>
            <w:tcW w:w="92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8"/>
        </w:trPr>
        <w:tc>
          <w:tcPr>
            <w:tcW w:w="8260" w:type="dxa"/>
            <w:vAlign w:val="bottom"/>
            <w:tcBorders>
              <w:top w:val="single" w:sz="8" w:color="CCEEFF"/>
            </w:tcBorders>
          </w:tcPr>
          <w:p>
            <w:pPr>
              <w:spacing w:after="0"/>
              <w:rPr>
                <w:sz w:val="2"/>
                <w:szCs w:val="2"/>
                <w:color w:val="auto"/>
              </w:rPr>
            </w:pPr>
          </w:p>
        </w:tc>
        <w:tc>
          <w:tcPr>
            <w:tcW w:w="920" w:type="dxa"/>
            <w:vAlign w:val="bottom"/>
            <w:tcBorders>
              <w:top w:val="single" w:sz="8" w:color="CCEEFF"/>
              <w:bottom w:val="single" w:sz="8" w:color="auto"/>
            </w:tcBorders>
          </w:tcPr>
          <w:p>
            <w:pPr>
              <w:spacing w:after="0"/>
              <w:rPr>
                <w:sz w:val="2"/>
                <w:szCs w:val="2"/>
                <w:color w:val="auto"/>
              </w:rPr>
            </w:pPr>
          </w:p>
        </w:tc>
        <w:tc>
          <w:tcPr>
            <w:tcW w:w="54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20" w:type="dxa"/>
            <w:vAlign w:val="bottom"/>
            <w:tcBorders>
              <w:top w:val="single" w:sz="8" w:color="CCEEFF"/>
              <w:bottom w:val="single" w:sz="8" w:color="auto"/>
            </w:tcBorders>
          </w:tcPr>
          <w:p>
            <w:pPr>
              <w:spacing w:after="0"/>
              <w:rPr>
                <w:sz w:val="2"/>
                <w:szCs w:val="2"/>
                <w:color w:val="auto"/>
              </w:rPr>
            </w:pPr>
          </w:p>
        </w:tc>
        <w:tc>
          <w:tcPr>
            <w:tcW w:w="1240" w:type="dxa"/>
            <w:vAlign w:val="bottom"/>
            <w:tcBorders>
              <w:top w:val="single" w:sz="8" w:color="CCEEFF"/>
              <w:bottom w:val="single" w:sz="8" w:color="auto"/>
            </w:tcBorders>
          </w:tcPr>
          <w:p>
            <w:pPr>
              <w:spacing w:after="0"/>
              <w:rPr>
                <w:sz w:val="2"/>
                <w:szCs w:val="2"/>
                <w:color w:val="auto"/>
              </w:rPr>
            </w:pPr>
          </w:p>
        </w:tc>
      </w:tr>
      <w:tr>
        <w:trPr>
          <w:trHeight w:val="18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0"/>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920" w:type="dxa"/>
            <w:vAlign w:val="bottom"/>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12,259</w:t>
            </w:r>
          </w:p>
        </w:tc>
      </w:tr>
      <w:tr>
        <w:trPr>
          <w:trHeight w:val="18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9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1—DESCRIPTION OF BUSINESS AND BASIS OF PRESENTATION:</w:t>
      </w:r>
    </w:p>
    <w:p>
      <w:pPr>
        <w:spacing w:after="0" w:line="19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The Company is a financial holding company that is a leading provider of business and financial solutions to independent business owners (SMBs) and provides SMBs with the following Newtek® branded business and financial solutions: Newtek Bank, Newtek Lending, Newtek Payments, Newtek Insurance, Newtek Payroll and Newtek Technology.</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NewtekOne reports on a consolidated basis the financial condition and results of operations for the following consolidated subsidiaries: Newtek Bank; SBL; NSBF; NMS; Mobil Money; NBC; PMT; NIA; TAM; POS; Holdco 6; NCL; and NTS. In addition, as a result of commitments made to the Federal Reserve, the Company will divest or otherwise terminate the activities conducted by NTS by January 6, 2025, subject to any extension. As of the date of this filing, the Company has concluded that the assets, liabilities and operations of NTS do not qualify for Discontinued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otherwise noted, all financial information included in the tables in the following footnotes is stated in thousands, except per share data.</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color w:val="auto"/>
        </w:rPr>
        <w:t>The accompanying notes to the consolidated financial statements should be read in conjunction with the Company’s Annual Report on Form 10-K for the year ended December 31, 2023, filed on April 1, 2024 (the “2023 Form 10-K”). The unaudited consolidated financial statements of the Company have been prepared in accordance with U.S. GAAP and pursuant to the requirements for reporting on Form 10-Q and Article 10 of Regulation S-X and, therefore, do not include all information and footnotes necessary for a fair presentation of the consolidated financial statements in accordance with U.S. GAAP. In the opinion of management, the consolidated financial statements reflect all adjustments and reclassifications that are necessary for the fair presentation of financial results as of and for the periods presented. The annualized results of operations for the three months ended March 31, 2024 are not necessarily indicative of the results of operations that may be expected for the entire fiscal year. The December 31, 2023 consolidated statement of assets and liabilities has been derived from the audited financial statements as of that date. All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Consolidation</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NewtekOne, its subsidiaries and certain VIEs. Significant intercompany balances and transactions have been eliminated. The Company considers a voting rights entity to be a subsidiary and consolidates it if the Company has a controlling financial interest in the entity. VIEs are consolidated if NewtekOne has the power to direct the activities of the VIE that significantly impact financial performance and has the obligation to absorb losses or the right to receive benefits that could potentially be significant to the VIE (i.e., NewtekOne is the primary beneficiary). The determination of whether the Company is the primary beneficiary of a VIE is reassessed on an ongoing basis. Investments in companies which are not VIEs but in which the Company has more than minor influence over the operating and financial policies are accounted for using the equity method of accounting. Investments in VIEs, where NewtekOne is not the primary beneficiary of a VIE, are accounted for using the equity method of accounting. The maximum potential exposure to losses relative to investments in VIEs is generally limited to the investment balance. Refer to NOTE 4—INVESTMENTS.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 and Restatements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prior period amounts, to the extent comparable, have been reclassified to conform to the current period presentation.</w:t>
      </w:r>
    </w:p>
    <w:p>
      <w:pPr>
        <w:spacing w:after="0" w:line="20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In addition, as disclosed in our 2023 Form 10-K, the Company’s prior year condensed comparative financial statements have been adjusted to correct errors made in the Company’s financial statements previously issued for the first, second, and third quarters of 2023. Balances as of and results for the three months ended March 31, 2023 are presented as restated. Refer to our 2023 Form 10-K for further detail.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2—SIGNIFICANT ACCOUNTING POLICIES:</w:t>
      </w:r>
    </w:p>
    <w:p>
      <w:pPr>
        <w:spacing w:after="0" w:line="17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A more detailed description of our accounting policies is included in the Company’s 2023 Form 10-K, which accounting policies remain significantly unchanged. There have been no other significant changes to our accounting policies, or the estimates made pursuant to those policies as described in our 2023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considers all highly liquid instruments with maturities of three months or less when purchased to be cash equivalents. Invested cash is held exclusively at financial institutions of high credit quality. As of March 31, 2024, cash deposits in excess of insured amounts totaled $34.2 million. The Company has not experienced any losses with respect to cash balances in excess of insured amounts and management does not believe there was a significant concentration of risk with respect to cash balances as of March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Restricted cash includes amounts due on SBA loan-related remittances to third parties, cash reserves established as part of agreements with the SBA, cash reserves associated with securitization transactions, and cash margin as collateral for derivative instruments. As of March 31, 2024, total restricted cash was $35.8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bearing deposits in banks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interest bearing deposits in banks reflects cash held at other financial institutions that earn interest.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cash, restricted cash, and interest bearing deposits in banks as of March 31, 2024 and 2023 and December 31, 2023:</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40" w:type="dxa"/>
            <w:vAlign w:val="bottom"/>
          </w:tcPr>
          <w:p>
            <w:pPr>
              <w:spacing w:after="0"/>
              <w:rPr>
                <w:sz w:val="13"/>
                <w:szCs w:val="13"/>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2023</w:t>
            </w:r>
          </w:p>
        </w:tc>
        <w:tc>
          <w:tcPr>
            <w:tcW w:w="200" w:type="dxa"/>
            <w:vAlign w:val="bottom"/>
          </w:tcPr>
          <w:p>
            <w:pPr>
              <w:spacing w:after="0"/>
              <w:rPr>
                <w:sz w:val="13"/>
                <w:szCs w:val="13"/>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8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due from banks</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29,103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15,398</w:t>
            </w:r>
          </w:p>
        </w:tc>
      </w:tr>
      <w:tr>
        <w:trPr>
          <w:trHeight w:val="180"/>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30,919</w:t>
            </w:r>
          </w:p>
        </w:tc>
      </w:tr>
      <w:tr>
        <w:trPr>
          <w:trHeight w:val="18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115,152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94,620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137,689</w:t>
            </w:r>
          </w:p>
        </w:tc>
      </w:tr>
      <w:tr>
        <w:trPr>
          <w:trHeight w:val="171"/>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Cash and restricted cash</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163,206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197,144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184,006</w:t>
            </w:r>
          </w:p>
        </w:tc>
      </w:tr>
      <w:tr>
        <w:trPr>
          <w:trHeight w:val="20"/>
        </w:trPr>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 Loans</w:t>
      </w:r>
    </w:p>
    <w:p>
      <w:pPr>
        <w:spacing w:after="0" w:line="19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Accounting Standards Update (“ASU”) 2016-13, Financial Instruments - Credit Losses (Topic 326): Measurement of Credit Losses on Financial Instruments (“CECL”) approach requires an estimate of the credit losses expected over the life of a loan (or pool of loans). The allowance for credit losses is a valuation account that is deducted from the loans’ amortized cost basis to present the net, lifetime amount expected to be collected on the loans. Loan losses are charged off against the allowance when management believes a loan balance is uncollectible. Expected recoveries do not exceed the aggregate of amounts previously charged-off and expected to be charged-off.</w:t>
      </w:r>
    </w:p>
    <w:p>
      <w:pPr>
        <w:spacing w:after="0" w:line="16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allowance is comprised of reserves measured on a collective (pool) basis based on a lifetime loss-rate model when similar risk characteristics exist. Loans that do not share risk characteristics are evaluated on an individual basis, which generally includes larger non-accruing commercial loans.</w:t>
      </w:r>
    </w:p>
    <w:p>
      <w:pPr>
        <w:spacing w:after="0" w:line="145" w:lineRule="exact"/>
        <w:rPr>
          <w:sz w:val="20"/>
          <w:szCs w:val="20"/>
          <w:color w:val="auto"/>
        </w:rPr>
      </w:pPr>
    </w:p>
    <w:p>
      <w:pPr>
        <w:jc w:val="both"/>
        <w:ind w:right="600"/>
        <w:spacing w:after="0" w:line="270" w:lineRule="auto"/>
        <w:rPr>
          <w:sz w:val="20"/>
          <w:szCs w:val="20"/>
          <w:color w:val="auto"/>
        </w:rPr>
      </w:pPr>
      <w:r>
        <w:rPr>
          <w:rFonts w:ascii="Times New Roman" w:cs="Times New Roman" w:eastAsia="Times New Roman" w:hAnsi="Times New Roman"/>
          <w:sz w:val="14"/>
          <w:szCs w:val="14"/>
          <w:color w:val="auto"/>
        </w:rPr>
        <w:t>The discounted cash flow (“DCF”) method is used to estimate expected credit losses for all loan portfolio segments measured on a collective (pool) basis. For each loan segment, cash flow projections are generated at the instrument level wherein payment expectations are adjusted for estimated prepayment speeds, probability of default, and loss given default. The modeling of prepayment speeds is based on a combination of historical internal data and peer data.</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Regression analysis of historical internal and peer data is used to determine suitable loss drivers to utilize when modeling lifetime probability of default. This analysis also determines how expected probability of default and loss given default will react to forecasted levels of the loss drivers. The SBA 7(a) loan portfolio is the single loan pool where management solely utilizes historical internal data to determine the loss rate as an input to the model. The data utilized represents the most recent economic cycle and management determines the loss rate by analyzing defaulted principal and net charge offs to calculate the historical loss rate. For all loan pools utilizing the DCF method, management utilizes various economic indicators such as changes in unemployment rates, gross domestic product, real estate values, and other relevant factors as loss drivers. For all DCF models, management has determined that due to historic volatility in economic data, four quarters currently represents a reasonable and supportable forecast period, followed by a four-quarter reversion to historical mean levels for each of the various economic indicators.</w:t>
      </w:r>
    </w:p>
    <w:p>
      <w:pPr>
        <w:spacing w:after="0" w:line="16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combination of adjustments for credit expectations (default and loss) and timing expectations (prepayment, curtailment, and time to recovery) produces an expected cash flow stream at the instrument level. Specific instrument effective yields are calculated, net of the impacts of prepayment assumptions, and the instrument expected cash flows are then discounted at that effective yield to produce an instrument-level Net Present Value (“NPV”). An allowance is established for the difference between the instrument’s NPV and amortized cost basis.</w:t>
      </w:r>
    </w:p>
    <w:p>
      <w:pPr>
        <w:spacing w:after="0" w:line="1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allowance evaluation also considers various qualitative factors, such as: (i) changes to lending policies, underwriting standards and/or management personnel performing such functions, (ii) delinquency and other credit quality trends, (iii) credit risk concentrations, if any, (iv) changes to the nature of the Company's business impacting the loan portfolio, and (v) other external factors, that may include, but are not limited to, results of internal loan reviews, stress testing, examinations by bank regulatory agencies, or other events such as a natural disaster. Significant management judgment is required at each point in the measurement process.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color w:val="auto"/>
        </w:rPr>
        <w:t>Arriving at an appropriate level of allowance involves a high degree of judgment. The determination of the adequacy of the allowance and provisioning for estimated losses is evaluated regularly based on review of loans, with particular emphasis on non-performing and other loans that management believes warrant special consideration. While management uses available information to recognize losses on loans, changing economic conditions and the economic prospects of the borrowers may necessitate future additions or reductions to the allowance. Management estimates the allowance balance using relevant available information, from internal and external sources, related to past events, current conditions, and reasonable and supportable forecasts. The Company’s historical credit loss experience provides the basis for the estimation of expected credit losses, supplemented with peer loss information, and results in expected probabilities of default and expected losses given default. Adjustments to historical loss information are made for differences in current loan-specific risk characteristics such as differences in underwriting standards, portfolio mix, delinquency level, or term as well as changes in environmental conditions, such as changes in unemployment rates, production metrics, property values, or other relevant factors.</w:t>
      </w:r>
    </w:p>
    <w:p>
      <w:pPr>
        <w:spacing w:after="0" w:line="168"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Expected losses are applied to loans grouped in portfolio segments, which are pools of loans aggregated based on type of borrower and collateral, generally based upon federal call report segmentation. Portfolio segments have been combined or sub-segmented as needed to ensure loans of similar risk profiles are appropriately pooled. These portfolio segments are as follows:</w:t>
      </w:r>
    </w:p>
    <w:p>
      <w:pPr>
        <w:spacing w:after="0" w:line="143" w:lineRule="exact"/>
        <w:rPr>
          <w:sz w:val="20"/>
          <w:szCs w:val="20"/>
          <w:color w:val="auto"/>
        </w:rPr>
      </w:pPr>
    </w:p>
    <w:p>
      <w:pPr>
        <w:ind w:left="500" w:hanging="636"/>
        <w:spacing w:after="0" w:line="270" w:lineRule="auto"/>
        <w:tabs>
          <w:tab w:leader="none" w:pos="480" w:val="left"/>
        </w:tabs>
        <w:rPr>
          <w:sz w:val="20"/>
          <w:szCs w:val="20"/>
          <w:color w:val="auto"/>
        </w:rPr>
      </w:pPr>
      <w:r>
        <w:rPr>
          <w:rFonts w:ascii="Times New Roman" w:cs="Times New Roman" w:eastAsia="Times New Roman" w:hAnsi="Times New Roman"/>
          <w:sz w:val="14"/>
          <w:szCs w:val="14"/>
          <w:i w:val="1"/>
          <w:iCs w:val="1"/>
          <w:color w:val="auto"/>
        </w:rPr>
        <w:t>CRE:</w:t>
      </w:r>
      <w:r>
        <w:rPr>
          <w:sz w:val="20"/>
          <w:szCs w:val="20"/>
          <w:color w:val="auto"/>
        </w:rPr>
        <w:tab/>
      </w:r>
      <w:r>
        <w:rPr>
          <w:rFonts w:ascii="Times New Roman" w:cs="Times New Roman" w:eastAsia="Times New Roman" w:hAnsi="Times New Roman"/>
          <w:sz w:val="14"/>
          <w:szCs w:val="14"/>
          <w:color w:val="auto"/>
        </w:rPr>
        <w:t>The CRE portfolio is comprised of loans to borrowers on small offices, owner-occupied commercial buildings, industrial/warehouse properties, income producing/investor real estate properties, and multi-family loans secured by first mortgages. The Company’s underwriting standards generally target a loan-to-value ratio of 75%, depending on the type of collateral, and requires debt service coverage of a minimum of 1.2 times.</w:t>
      </w:r>
    </w:p>
    <w:p>
      <w:pPr>
        <w:spacing w:after="0" w:line="15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4"/>
          <w:szCs w:val="14"/>
          <w:i w:val="1"/>
          <w:iCs w:val="1"/>
          <w:color w:val="auto"/>
        </w:rPr>
        <w:t>C&amp;I:</w:t>
      </w:r>
      <w:r>
        <w:rPr>
          <w:sz w:val="20"/>
          <w:szCs w:val="20"/>
          <w:color w:val="auto"/>
        </w:rPr>
        <w:tab/>
      </w:r>
      <w:r>
        <w:rPr>
          <w:rFonts w:ascii="Times New Roman" w:cs="Times New Roman" w:eastAsia="Times New Roman" w:hAnsi="Times New Roman"/>
          <w:sz w:val="14"/>
          <w:szCs w:val="14"/>
          <w:color w:val="auto"/>
        </w:rPr>
        <w:t>The C&amp;I portfolio consists of loans made for general business purposes consisting of short-term working capital loans, equipment loans and unsecured business lines.</w:t>
      </w:r>
    </w:p>
    <w:p>
      <w:pPr>
        <w:spacing w:after="0" w:line="200" w:lineRule="exact"/>
        <w:rPr>
          <w:sz w:val="20"/>
          <w:szCs w:val="20"/>
          <w:color w:val="auto"/>
        </w:rPr>
      </w:pPr>
    </w:p>
    <w:p>
      <w:pPr>
        <w:ind w:left="640" w:right="80" w:hanging="636"/>
        <w:spacing w:after="0" w:line="261" w:lineRule="auto"/>
        <w:tabs>
          <w:tab w:leader="none" w:pos="620" w:val="left"/>
        </w:tabs>
        <w:rPr>
          <w:sz w:val="20"/>
          <w:szCs w:val="20"/>
          <w:color w:val="auto"/>
        </w:rPr>
      </w:pPr>
      <w:r>
        <w:rPr>
          <w:rFonts w:ascii="Times New Roman" w:cs="Times New Roman" w:eastAsia="Times New Roman" w:hAnsi="Times New Roman"/>
          <w:sz w:val="14"/>
          <w:szCs w:val="14"/>
          <w:i w:val="1"/>
          <w:iCs w:val="1"/>
          <w:color w:val="auto"/>
        </w:rPr>
        <w:t>SBA 7(a):</w:t>
      </w:r>
      <w:r>
        <w:rPr>
          <w:sz w:val="20"/>
          <w:szCs w:val="20"/>
          <w:color w:val="auto"/>
        </w:rPr>
        <w:tab/>
      </w:r>
      <w:r>
        <w:rPr>
          <w:rFonts w:ascii="Times New Roman" w:cs="Times New Roman" w:eastAsia="Times New Roman" w:hAnsi="Times New Roman"/>
          <w:sz w:val="14"/>
          <w:szCs w:val="14"/>
          <w:color w:val="auto"/>
        </w:rPr>
        <w:t>The SBA 7(a) portfolio includes loans originated under the federal Section 7(a) loan program. The SBA is an independent government agency that facilitates one of the nation’s largest sources of SMB financing by providing credit guarantees for its loan programs. SBA 7(a) loans are partially guaranteed by the SBA, with SBA guarantees typically ranging between 50% and 90% of the principal and interest due. Under the SBA’s 7(a) lending program, a bank or other lender licensed by the SBA may underwrite loans between $5.0 thousand and $5.0 million for a variety of general business purposes based on the SBA’s loan program requirements. The guaranteed portion of the loans are held for sale and carried at LCM and therefore are not subject to CECL. The unguaranteed portion of the loans that are held on balance sheet at amortized cost are subject to CECL.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Individually Evaluated Loans. </w:t>
      </w:r>
      <w:r>
        <w:rPr>
          <w:rFonts w:ascii="Times New Roman" w:cs="Times New Roman" w:eastAsia="Times New Roman" w:hAnsi="Times New Roman"/>
          <w:sz w:val="14"/>
          <w:szCs w:val="14"/>
          <w:color w:val="auto"/>
        </w:rPr>
        <w:t>Loans that do not share risk characteristics with existing pools are evaluated on an individual basis. For loans that are individually evaluated and collateral dependent,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loans where management has determined that foreclosure of the collateral is probable, or where the borrower is experiencing financial difficulty and management expects repayment of the financial asset to be provided substantially through the sale of the collateral, the ACL is measured based on the difference between the fair value of the collateral and the amortized cost basis of the asset as of the measurement date. When repayment is expected to be from the operation of the collateral or going concern, the specific credit loss reserve is calculated as the amount by which the amortized cost basis of the financial asset exceeds the NPV from the operation of the collateral. When repayment is expected to be from the sale of the collateral, the specific credit loss reserve is calculated as the amount by which the amortized costs basis of the financial asset exceeds the fair value of the underlying collateral less estimated cost to sell. The allowance may be zero if the fair value of the collateral at the measurement date exceeds the amortized cost basis of the financial asset.</w:t>
      </w:r>
    </w:p>
    <w:p>
      <w:pPr>
        <w:spacing w:after="0" w:line="16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Accrued Interest. </w:t>
      </w:r>
      <w:r>
        <w:rPr>
          <w:rFonts w:ascii="Times New Roman" w:cs="Times New Roman" w:eastAsia="Times New Roman" w:hAnsi="Times New Roman"/>
          <w:sz w:val="14"/>
          <w:szCs w:val="14"/>
          <w:color w:val="auto"/>
        </w:rPr>
        <w:t>Accrued interest receivable balances are presented within other assets on the consolidated balance sheet. Accrued interest is excluded from the measurement of the allowance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credit losses, including investments and loans. Generally, accrued interest is reversed when a loan is placed on non-accrual or is written-off. Current year accrued interest is reversed through interest income while accrued interest from prior years is written-off through the ACL. Historically, we have not experienced uncollectible accrued interest receivable on investment debt securities.</w:t>
      </w:r>
    </w:p>
    <w:p>
      <w:pPr>
        <w:spacing w:after="0" w:line="15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Allowance for off-balance sheet credit exposures. </w:t>
      </w:r>
      <w:r>
        <w:rPr>
          <w:rFonts w:ascii="Times New Roman" w:cs="Times New Roman" w:eastAsia="Times New Roman" w:hAnsi="Times New Roman"/>
          <w:sz w:val="14"/>
          <w:szCs w:val="14"/>
          <w:color w:val="auto"/>
        </w:rPr>
        <w:t>The exposure is a component of other liabilities in the consolidated balance sheet and represents the estimate for probable credit losses inherent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unfunded commitments to extend credit. Unfunded commitments to extend credit include unused portions of lines of credit and standby and commercial letters of credit. The process used to determine the allowance for these exposures is consistent with the process for determining the allowance for loans, as adjusted for estimated funding probabilities or loan equivalency factors. A charge (credit) to provision for credit losses on the consolidated statements of income is made to account for the change in the allowance on off-balance sheet exposures between reporting periods.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 Available-for Sale (“AFS”) Debt Securities</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impairment model for AFS debt securities differs from the CECL approach utilized for financial instruments measured at amortized cost because AFS debt securities are measured at fair value. For AFS debt securities in an unrealized loss position, Newtek Bank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AFS that do not meet the aforementioned criteria, in making this assessment, management considers the extent to which fair value is less than amortized cost, any changes to the rating of the security by a rating agency, adverse conditions specifically related to the security, failure of the issuer of the debt security to make scheduled interest or principal payments, among other factors. If this assessment indicates that a credit loss exists, the present value of cash flows expected to be collected from the security are compared to the amortized cost basis of the security. The cash flows should be estimated using information relevant to the collectability of the security, including information about past events, current conditions and reasonable and supportable forecasts.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167"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Changes in the allowance for credit losses are recorded as provision for (or reversal of) credit loss expense. Losses are charged against the allowance when management believes the AFS security is uncollectible or when either of the criteria regarding intent or requirement to sell is met. As of March 31, 2024, the Company determined that the unrealized loss positions in the AFS securities were not the result of credit losses, and therefore, an allowance for credit losses was not recorded.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Interest Receivable</w:t>
      </w:r>
    </w:p>
    <w:p>
      <w:pPr>
        <w:spacing w:after="0" w:line="202"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4"/>
          <w:szCs w:val="14"/>
          <w:color w:val="auto"/>
        </w:rPr>
        <w:t>Upon the Acquisition and adoption of CECL, the Company made the following elections regarding accrued interest receivable: (1) presented accrued interest receivable balances separately within other assets balance sheet line item; (2) excluded interest receivable that is included in amortized cost of financing receivables from related disclosures requirements and (3) continued our policy to write off accrued interest receivable by reversing interest income. For loans, write off typically occurs upon becoming over 90 to 120 days past due. Historically, the Company has not experienced uncollectible accrued interest receivable on investment securities.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Settlement Receivable</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Settlement receivable represents amounts due from third parties for guaranteed portions of SBA 7(a) loans which have been sold at period-end but have not yet settled. The guaranteed portion of SBA 7(a) principal balances that have been sold but not yet settled at March 31, 2024 was $51.1 million. The settlement receivable also includes $5.8 million of premiums, which have been recognized in Net Gains on Sales of Loans.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Deferred tax assets and liabilities are computed based upon the differences between the financial statement and income tax basis of assets and liabilities using the enacted tax rates in effect for the year in which those temporary differences are expected to be realized or settled. If available evidence suggests that it is more likely than not that some portion or all of the deferred tax assets will not be realized, a valuation allowance is required to reduce the deferred tax assets to the amount that is more likely than not to be realized. Such deferred tax assets and liabilities recorded on the statements of financial condition were a deferred tax asset, net of $2.7 million and $5.2 million at March 31, 2024 and December 31, 2023, respectively.</w:t>
      </w:r>
    </w:p>
    <w:p>
      <w:pPr>
        <w:spacing w:after="0" w:line="16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Our income tax expense, deferred tax assets and liabilities, and reserves for unrecognized tax benefits reflect management’s best assessment of estimated current and future taxes to be paid. We are subject to income taxes in the United States and its political subdivisions. Significant judgments and estimates are required in determining the consolidated income tax expense.</w:t>
      </w:r>
    </w:p>
    <w:p>
      <w:pPr>
        <w:spacing w:after="0" w:line="145"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4"/>
          <w:szCs w:val="14"/>
          <w:color w:val="auto"/>
        </w:rPr>
        <w:t>The Company’s U.S. federal and state income tax returns prior to fiscal year 2020 are generally closed, and management continually evaluates expiring statutes of limitations, audits, proposed settlements, changes in tax law and new authoritative rulings. Interest and penalties assessed by tax jurisdictions for income tax matters are presented as income tax expense on the consolidated statement of income.</w:t>
      </w:r>
    </w:p>
    <w:p>
      <w:pPr>
        <w:spacing w:after="0" w:line="15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Formerly, as a RIC ending with the Company’s December 31, 2022 fiscal year end, the Company was not subject to corporate level income tax. Beginning on January 1, 2023 with the start of the 2023 fiscal year, the Company no longer qualifies as a RIC and is subject to corporate level income tax. See NOTE 18—INCOME TAXES</w:t>
      </w:r>
      <w:r>
        <w:rPr>
          <w:rFonts w:ascii="Times New Roman" w:cs="Times New Roman" w:eastAsia="Times New Roman" w:hAnsi="Times New Roman"/>
          <w:sz w:val="14"/>
          <w:szCs w:val="14"/>
          <w:b w:val="1"/>
          <w:bCs w:val="1"/>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Current Expected Credit Losses (Topic 326): </w:t>
      </w:r>
      <w:r>
        <w:rPr>
          <w:rFonts w:ascii="Times New Roman" w:cs="Times New Roman" w:eastAsia="Times New Roman" w:hAnsi="Times New Roman"/>
          <w:sz w:val="14"/>
          <w:szCs w:val="14"/>
          <w:color w:val="auto"/>
        </w:rPr>
        <w:t>In June 2016, FASB issued ASU No. 2016-13, Financial Instruments—Credit Losses—Measurement of Credit Losses on Financial Instruments (Topic</w:t>
      </w:r>
    </w:p>
    <w:p>
      <w:pPr>
        <w:spacing w:after="0" w:line="25" w:lineRule="exact"/>
        <w:rPr>
          <w:sz w:val="20"/>
          <w:szCs w:val="20"/>
          <w:color w:val="auto"/>
        </w:rPr>
      </w:pPr>
    </w:p>
    <w:p>
      <w:pPr>
        <w:ind w:right="40" w:firstLine="5"/>
        <w:spacing w:after="0" w:line="255" w:lineRule="auto"/>
        <w:tabs>
          <w:tab w:leader="none" w:pos="295"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in April 2019, the FASB issued ASU 2019-04 Codification Improvements to Topic 326, Financial Instruments-Credit Losses, Topic 815, Derivatives and Hedging, and Topic 825, Financial Instruments (collectively, “CECL”). CECL changed how entities measure potential credit losses for most financial assets and certain other instruments that are not measured at fair value. CECL replaced the “incurred loss” approach under existing guidance with an “expected loss” model for instruments measured at amortized cost. While ASU 2016-13 does not require any particular method for determining the CECL allowance, it does specify the allowance should be based on relevant information about past events, including historical loss experience, current portfolio and market conditions, and reasonable and supportable forecasts for the duration of each respective loan. CECL was effective for the Company beginning January 1, 2023; however, the Company continues to measure NSBF’s SBA 7(a) loan portfolio at fair value and intends to do so until the portfolio is completely runoff. Following the Acquisition on January 6, 2023, the Company owns and consolidates Newtek Bank, which applies CECL.</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Troubled Debt Restructurings and Vintage Disclosures (ASU 2022-02): </w:t>
      </w:r>
      <w:r>
        <w:rPr>
          <w:rFonts w:ascii="Times New Roman" w:cs="Times New Roman" w:eastAsia="Times New Roman" w:hAnsi="Times New Roman"/>
          <w:sz w:val="14"/>
          <w:szCs w:val="14"/>
          <w:color w:val="auto"/>
        </w:rPr>
        <w:t>In March 2022, the FASB issued ASU No. 2022-02, Financial Instruments—Credit Losses (Topic 326): Troubled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Restructurings and Vintage Disclosures. The purpose of this guidance is twofold. First, the guidance eliminates TDR recognition and measurement guidance that has been deemed no longer necessary under CECL. The guidance also adds a requirement to incorporate current year gross charge-offs by origination year into the vintage tables. With respect to the TDR impacts, under CECL, credit losses for financial assets measured at amortized cost are determined based on the total current expected credit losses over the life of the financial asset or group of financial assets. Due to the Acquisition, any aspects of credit deterioration to include modifications to loans for borrowers experiencing financial difficulty were captured in purchase accounting and the allowance as of the Acquisition date. Therefore, credit losses on financial assets that have been modified as TDRs would have largely been incorporated in the allowance upon initial recognition. Following the Acquisition on January 6, 2023, the Company owns and consolidates Newtek Bank, which adopted the ASU on January 1, 2023, on a prospective basis. Under ASU 2022-02, the Company evaluated whether loan modifications previously characterized as TDRs represent a new loan or a continuation of an existing loan in accordance with ASC Topic 310, Receivables. The guidance also added new disclosures that require an entity to provide information related to loan modifications made to borrowers deemed to be in financial difficulty. The impact of these amendments was not material.</w:t>
      </w:r>
    </w:p>
    <w:p>
      <w:pPr>
        <w:spacing w:after="0" w:line="16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Fair Value Measurement (ASU 2022-03): </w:t>
      </w:r>
      <w:r>
        <w:rPr>
          <w:rFonts w:ascii="Times New Roman" w:cs="Times New Roman" w:eastAsia="Times New Roman" w:hAnsi="Times New Roman"/>
          <w:sz w:val="14"/>
          <w:szCs w:val="14"/>
          <w:color w:val="auto"/>
        </w:rPr>
        <w:t>In June 2022, the FASB issued ASU No. 2022-03, Fair Value Measurement (Topic 820), which clarifies the guidance in Topic 820 when measuring the fair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 of an equity security subject to contractual restrictions that prohibit the sale of an equity security and introduces new disclosure requirements for equity securities subject to contractual sale restrictions that are measured at fair value in accordance with Topic 820. The amendments affect all entities that have investments in equity securities measured at fair value that are subject to a contractual sale restriction. ASU 2022-03 is effective for public business entities for fiscal years beginning after December 15, 2023, and interim periods within those fiscal years. An entity that qualifies as an investment company under Topic 946 should apply the amendments in ASU No. 2022-03 to an investment in an equity security subject to a contractual sale restriction that is executed or modified on or after the date of adoption. The impact of these amendments was not material.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Accounting Standards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Improvements to Reportable Segment Disclosures (ASU 2023-07)</w:t>
      </w:r>
    </w:p>
    <w:p>
      <w:pPr>
        <w:spacing w:after="0" w:line="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Improvements to Reportable Segment Disclosures. The purpose of this guidance is to improve reportable segment disclosure, primarily through enhanced disclosures about significant segment expenses. This ASU requires that an entity disclose, on an interim and annual basis, significant segment expenses that are regularly provided to the CODM and are included within the reported measure of segment profit or loss. This ASU also requires an entity to disclose, on an interim and annual basis, other segment items by reportable segment, including a qualitative description of the composition of those items. This “other” category is defined as the difference between segment profit or loss and segment revenue less significant segment expenses. Entities are also required to disclose the title and position of the individual, or the name of the group or committee, identified as the CODM. The amendments are effective on January 1, 2024, for annual reporting, and January 1, 2025, for interim reporting, with early adoption permitted. The amendments must be applied using a retrospective approach. Management does not expect the impact to be material.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Improvements to Income Tax Disclosures (ASU 2023-09)</w:t>
      </w:r>
    </w:p>
    <w:p>
      <w:pPr>
        <w:spacing w:after="0" w:line="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The purpose of this guidance is to enhance the rate reconciliation and income taxes paid disclosures. This ASU requires that an entity disclose, on an annual basis, specific categories in the rate reconciliation and provide additional information for reconciling items that meet a quantitative threshold. For the state and local income tax category of the rate reconciliation, entities must disclose a qualitative description of the states and local jurisdictions that make up the majority (greater than 50 percent) of the category. For the income taxes paid disclosures, entities will be required to disclose, on an annual basis, the amount of income taxes paid (net of refunds received) disaggregated by federal, state, and foreign taxes. The amendments are effective on January 1, 2025, with early adoption permitted. The amendments must be applied using either a prospective or retrospective approach. Management does not expect the impact of these amendments to be 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Compensation—Stock Compensation (ASU 2024-01)</w:t>
      </w:r>
    </w:p>
    <w:p>
      <w:pPr>
        <w:spacing w:after="0" w:line="2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In March 2024, the FASB issued ASU 2024-01, Compensation - Stock Compensation (Topic 718), Scope Application of Profits Interest and Similar Awards. This standard provides clarity regarding whether profits interest and similar awards are within the scope of Topic 718 of the Accounting Standards Codification. This standard is effective for fiscal years beginning after December 15, 2024. The amendments should be applied retrospectively to all prior periods presented in the financial statements. Early adoption is permitted. The Company is in the process of evaluating the impact of adopting this standard and, at this time, does not anticipate it will have a material impact on its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3—BUSINESS COMBINATIONS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 of NBNYC</w:t>
      </w:r>
    </w:p>
    <w:p>
      <w:pPr>
        <w:spacing w:after="0" w:line="202"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14"/>
          <w:szCs w:val="14"/>
          <w:color w:val="auto"/>
        </w:rPr>
        <w:t>On January 6, 2023, the Company completed the Acquisition of NBNYC, a national bank regulated and supervised by the OCC, pursuant to which the Company acquired from the NBNYC shareholders all of the issued and outstanding stock of NBNYC for $20 million, in an all-cash transaction. The Company also agreed to pay the seller’s acquisition costs of approximately</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$1.3 million. NBNYC was renamed Newtek Bank and became a wholly owned subsidiary of the Company. In connection with the completion of the Acquisition, the Company contributed to Newtek Bank $31 million of cash and two of the Company’s subsidiaries, NBL and SBL (NBL was subsequently merged into SBL). Upon the consummation of the Acquisition, Newtek Bank entered into an operating agreement with the OCC concerning certain matters including capital, liquidity and concentration limits, and memorializing the business plan submitted to the OCC.</w:t>
      </w:r>
    </w:p>
    <w:p>
      <w:pPr>
        <w:spacing w:after="0" w:line="1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NBNYC transaction was accounted for in accordance with ASC 805, Business Combinations, and the Company performed a purchase price allocation under the acquisition method. Under ASC 805, if the initial accounting for a business combination is incomplete by the end of the reporting period in which the combination occurs, the acquirer shall report in its financial statements provisional amounts for the items for which the accounting is incomplete. During the measurement period, which shall not exceed one year from the acquisition date, the acquirer shall adjust the provisional amounts recognized at the acquisition date to reflect new information obtained about facts and circumstances that existed as of the acquisition date that, if known, would have affected the measurement of the amounts recognized as of that date.</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purchase price, including costs incurred by the Company on behalf of the seller directly associated with the Acquisition, was preliminarily allocated to net assets acquired. Final allocation was obtained and the purchase allocations finalized at December 31, 2023. The following table summarizes the allocation of consideration paid for the fair value of assets acquired and liabilities assumed from NBNYC:</w:t>
      </w:r>
    </w:p>
    <w:p>
      <w:pPr>
        <w:sectPr>
          <w:pgSz w:w="11900" w:h="16838" w:orient="portrait"/>
          <w:cols w:equalWidth="0" w:num="1">
            <w:col w:w="11260"/>
          </w:cols>
          <w:pgMar w:left="300" w:top="127" w:right="339" w:bottom="1440" w:gutter="0" w:footer="0" w:header="0"/>
        </w:sectPr>
      </w:pP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Purchase price consideration</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 of assets acquired:</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due from banks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Interest-bearing deposits in banks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cash and cash equivalents</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Available-for-sale securities (at fair value)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investments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Loans receivable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Federal Reserve Bank stock, at cost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Federal Home Loan Bank stock, at cost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Deferred income taxes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Goodwill</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Core deposit intangible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assets</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 of liabilities assumed:</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Deposits: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Demand</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Savings, Super NOW, and Money Market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Certificates of deposit</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deposits</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Advances from the Federal Home Loan Bank</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21,281</w:t>
            </w:r>
          </w:p>
        </w:tc>
      </w:tr>
      <w:tr>
        <w:trPr>
          <w:trHeight w:val="569"/>
        </w:trPr>
        <w:tc>
          <w:tcPr>
            <w:tcW w:w="16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29,138</w:t>
            </w:r>
          </w:p>
        </w:tc>
      </w:tr>
      <w:tr>
        <w:trPr>
          <w:trHeight w:val="184"/>
        </w:trPr>
        <w:tc>
          <w:tcPr>
            <w:tcW w:w="16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3,284</w:t>
            </w:r>
          </w:p>
        </w:tc>
      </w:tr>
      <w:tr>
        <w:trPr>
          <w:trHeight w:val="175"/>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32,422</w:t>
            </w:r>
          </w:p>
        </w:tc>
      </w:tr>
      <w:tr>
        <w:trPr>
          <w:trHeight w:val="385"/>
        </w:trPr>
        <w:tc>
          <w:tcPr>
            <w:tcW w:w="16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5,004</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159,155</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r>
      <w:tr>
        <w:trPr>
          <w:trHeight w:val="184"/>
        </w:trPr>
        <w:tc>
          <w:tcPr>
            <w:tcW w:w="16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w:t>
            </w:r>
          </w:p>
        </w:tc>
      </w:tr>
      <w:tr>
        <w:trPr>
          <w:trHeight w:val="175"/>
        </w:trPr>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201,889</w:t>
            </w:r>
          </w:p>
        </w:tc>
      </w:tr>
      <w:tr>
        <w:trPr>
          <w:trHeight w:val="746"/>
        </w:trPr>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21,878</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10,975</w:t>
            </w:r>
          </w:p>
        </w:tc>
      </w:tr>
      <w:tr>
        <w:trPr>
          <w:trHeight w:val="184"/>
        </w:trPr>
        <w:tc>
          <w:tcPr>
            <w:tcW w:w="16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104,162</w:t>
            </w:r>
          </w:p>
        </w:tc>
      </w:tr>
      <w:tr>
        <w:trPr>
          <w:trHeight w:val="175"/>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137,015</w:t>
            </w:r>
          </w:p>
        </w:tc>
      </w:tr>
      <w:tr>
        <w:trPr>
          <w:trHeight w:val="385"/>
        </w:trPr>
        <w:tc>
          <w:tcPr>
            <w:tcW w:w="16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27,817</w:t>
            </w:r>
          </w:p>
        </w:tc>
      </w:tr>
      <w:tr>
        <w:trPr>
          <w:trHeight w:val="184"/>
        </w:trPr>
        <w:tc>
          <w:tcPr>
            <w:tcW w:w="16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15,776</w:t>
            </w:r>
          </w:p>
        </w:tc>
      </w:tr>
      <w:tr>
        <w:trPr>
          <w:trHeight w:val="175"/>
        </w:trPr>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-3430905</wp:posOffset>
            </wp:positionV>
            <wp:extent cx="7053580"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-3181350</wp:posOffset>
            </wp:positionV>
            <wp:extent cx="7053580" cy="114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-2952750</wp:posOffset>
            </wp:positionV>
            <wp:extent cx="7053580" cy="114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-2716530</wp:posOffset>
            </wp:positionV>
            <wp:extent cx="7053580"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53580" cy="13462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-2467610</wp:posOffset>
            </wp:positionV>
            <wp:extent cx="7053580" cy="114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-2238375</wp:posOffset>
            </wp:positionV>
            <wp:extent cx="7053580" cy="114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-2009140</wp:posOffset>
            </wp:positionV>
            <wp:extent cx="7053580" cy="114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-1780540</wp:posOffset>
            </wp:positionV>
            <wp:extent cx="7053580" cy="114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-1551305</wp:posOffset>
            </wp:positionV>
            <wp:extent cx="7053580" cy="114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-1315720</wp:posOffset>
            </wp:positionV>
            <wp:extent cx="7053580" cy="134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53580" cy="13462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-1066165</wp:posOffset>
            </wp:positionV>
            <wp:extent cx="7053580" cy="114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-836930</wp:posOffset>
            </wp:positionV>
            <wp:extent cx="7053580" cy="114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-608330</wp:posOffset>
            </wp:positionV>
            <wp:extent cx="7053580" cy="121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3580" cy="12128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-351790</wp:posOffset>
            </wp:positionV>
            <wp:extent cx="7053580" cy="114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-123190</wp:posOffset>
            </wp:positionV>
            <wp:extent cx="7053580" cy="121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53580" cy="121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820"/>
          </w:cols>
          <w:pgMar w:left="300" w:top="127" w:right="339" w:bottom="1440" w:gutter="0" w:footer="0" w:header="0"/>
          <w:type w:val="continuous"/>
        </w:sectPr>
      </w:pPr>
    </w:p>
    <w:p>
      <w:pPr>
        <w:spacing w:after="0" w:line="4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In connection with the Acquisition, the Company recorded $0.3 million of goodwill, which represents the excess of the purchase price over the fair value of the net assets acquired. Goodwill is an asset representing the acquired future economic benefits such as synergies that are not individually identified and separately recognized (i.e., it is measured as a residual). The amount of goodwill recognized is also impacted by measurement differences resulting from certain assets and liabilities not being recorded at fair value (e.g., income taxes, employee benefits). In accordance with ASC 805-30-30-1, the measurement of goodwill occurs on the Acquisition Date and, other than qualifying measurement period adjustments, no adjustments are made to goodwill recognized as of the Acquisition Date until and unless it becomes impaired.</w:t>
      </w:r>
    </w:p>
    <w:p>
      <w:pPr>
        <w:spacing w:after="0" w:line="1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ASC 805 provides for a period of time during which the acquirer may adjust provisional amounts recognized at the acquisition date to their subsequently determined acquisition-date fair values, referred to as the “measurement period.” Adjustments during the measurement period are not limited to just those relating to assets acquired and liabilities assumed but apply to all aspects of business combination accounting (e.g., the consideration transferred). Measurement-period adjustments are calculated as if they were known at the acquisition date, but are recognized in the reporting period in which they are determined. Prior period information is not revised, including the effect on earnings of any amounts they would have recorded in previous periods if the accounting had been completed at the acquisition date. In accordance with ASC 805, the Company recorded a measurement period adjustment and decreased goodwill by $1.0 million related to the finalization of the consideration transferred.</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Information regarding the allocation of goodwill to the Company’s reportable segments, as well as the carrying amounts and amortization of the core deposit intangible, can be found within NOTE 8 —GOODWILL AND INTANGIBLE ASSETS. None of the goodwill is tax deductible. Described below are the methods used to determine the fair values of the significant assets acquired and liabilities assumed in the NBNYC Acquisition.</w:t>
      </w:r>
    </w:p>
    <w:p>
      <w:pPr>
        <w:spacing w:after="0" w:line="155"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and cash equivalents. </w:t>
      </w:r>
      <w:r>
        <w:rPr>
          <w:rFonts w:ascii="Times New Roman" w:cs="Times New Roman" w:eastAsia="Times New Roman" w:hAnsi="Times New Roman"/>
          <w:sz w:val="14"/>
          <w:szCs w:val="14"/>
          <w:color w:val="auto"/>
        </w:rPr>
        <w:t>The estimated fair values of cash and cash equivalents approximate their stated face amounts, as these financial instruments are either due on demand or have short-term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maturities.</w:t>
      </w:r>
    </w:p>
    <w:p>
      <w:pPr>
        <w:spacing w:after="0" w:line="141"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Investment securities available-for-sale</w:t>
      </w:r>
      <w:r>
        <w:rPr>
          <w:rFonts w:ascii="Times New Roman" w:cs="Times New Roman" w:eastAsia="Times New Roman" w:hAnsi="Times New Roman"/>
          <w:sz w:val="14"/>
          <w:szCs w:val="14"/>
          <w:color w:val="auto"/>
        </w:rPr>
        <w:t>. Quoted market prices for the securities acquired were used to determine their fair values. If quoted market prices were not available for a specific security,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then quoted prices for similar securities in active markets were used to estimate the fair value.</w:t>
      </w:r>
    </w:p>
    <w:p>
      <w:pPr>
        <w:spacing w:after="0" w:line="14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Loans. </w:t>
      </w:r>
      <w:r>
        <w:rPr>
          <w:rFonts w:ascii="Times New Roman" w:cs="Times New Roman" w:eastAsia="Times New Roman" w:hAnsi="Times New Roman"/>
          <w:sz w:val="14"/>
          <w:szCs w:val="14"/>
          <w:color w:val="auto"/>
        </w:rPr>
        <w:t>Each loan was assessed individually. The fair values for loans were estimated using a discounted cash flow methodology that considered factors including the type of loan and the related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collateral, classification status, fixed or variable interest rate, remaining term, amortization status, and current discount rates. In addition, the probability of default, loss given default, and prepayment assumptions that were derived based on loan characteristics, historical loss experience, comparable market data, and current and forecasted economic conditions were used to estimate expected credit losses. The discount rates used for loans and leases were based on current market rates for new originations or comparable loans and leases and include adjustments for liquidity. The discount rate did not include credit losses as that was included as a reduction to the estimated cash flows. We determined the fair value of the PCD loans using the asset and income approach. We used the income approach for PCD loans where there was evidence that the borrower may be able to continue to service the loan and more likely than not continue to pay. We used the asset approach for PCD loans when the loan is on non-accrual status. Acquired loans were marked to fair value and adjusted for any PCD gross up as of the Acquisition Date.</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Core Deposit Intangible. </w:t>
      </w:r>
      <w:r>
        <w:rPr>
          <w:rFonts w:ascii="Times New Roman" w:cs="Times New Roman" w:eastAsia="Times New Roman" w:hAnsi="Times New Roman"/>
          <w:sz w:val="14"/>
          <w:szCs w:val="14"/>
          <w:color w:val="auto"/>
        </w:rPr>
        <w:t>CDI is a measure of the value of non-interest-bearing and interest-bearing checking accounts, savings accounts, and money market accounts that are acquired in a business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spacing w:after="0" w:line="159"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Deposit Liabilities. </w:t>
      </w:r>
      <w:r>
        <w:rPr>
          <w:rFonts w:ascii="Times New Roman" w:cs="Times New Roman" w:eastAsia="Times New Roman" w:hAnsi="Times New Roman"/>
          <w:sz w:val="14"/>
          <w:szCs w:val="14"/>
          <w:color w:val="auto"/>
        </w:rPr>
        <w:t>The fair values used for the demand and savings deposits by definition equal the amount payable on demand at the Acquisition date. The fair values for time deposits were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estimated using a discounted cash flow methodology that applies interest rates currently being offered to the contractual interest rates on such time deposits.</w:t>
      </w:r>
    </w:p>
    <w:p>
      <w:pPr>
        <w:spacing w:after="0" w:line="141"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Borrowings</w:t>
      </w:r>
      <w:r>
        <w:rPr>
          <w:rFonts w:ascii="Times New Roman" w:cs="Times New Roman" w:eastAsia="Times New Roman" w:hAnsi="Times New Roman"/>
          <w:sz w:val="14"/>
          <w:szCs w:val="14"/>
          <w:color w:val="auto"/>
        </w:rPr>
        <w:t>. The estimated fair value of borrowed funds is based on bid quotations received from securities dealers or the discounted value of contractual cash flows with interest rates currently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effect for borrowed funds with similar maturities.</w:t>
      </w:r>
    </w:p>
    <w:p>
      <w:pPr>
        <w:spacing w:after="0" w:line="141"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PCD loans. </w:t>
      </w:r>
      <w:r>
        <w:rPr>
          <w:rFonts w:ascii="Times New Roman" w:cs="Times New Roman" w:eastAsia="Times New Roman" w:hAnsi="Times New Roman"/>
          <w:sz w:val="14"/>
          <w:szCs w:val="14"/>
          <w:color w:val="auto"/>
        </w:rPr>
        <w:t>Purchased loans that reflect a more-than-insignificant deterioration of credit from origination are considered PCD. For PCD loans and leases, the initial estimate of expected credit losses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is recognized in the ACL on the date of acquisition using the same methodology as other loans and leases held-for-investment. The following table provides a summary of loans and leases purchased as part of the NBNYC Acquisition with credit deterioration and associated credit loss reserve at acquisition: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 value (unpaid principal balance)</w:t>
            </w:r>
          </w:p>
        </w:tc>
        <w:tc>
          <w:tcPr>
            <w:tcW w:w="1680" w:type="dxa"/>
            <w:vAlign w:val="bottom"/>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42,443</w:t>
            </w: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 at acquisition</w:t>
            </w:r>
          </w:p>
        </w:tc>
        <w:tc>
          <w:tcPr>
            <w:tcW w:w="16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Non-credit (discount)</w:t>
            </w:r>
          </w:p>
        </w:tc>
        <w:tc>
          <w:tcPr>
            <w:tcW w:w="168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w:t>
            </w:r>
          </w:p>
        </w:tc>
      </w:tr>
      <w:tr>
        <w:trPr>
          <w:trHeight w:val="171"/>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1680" w:type="dxa"/>
            <w:vAlign w:val="bottom"/>
            <w:tcBorders>
              <w:bottom w:val="single" w:sz="8" w:color="auto"/>
            </w:tcBorders>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40,014</w:t>
            </w:r>
          </w:p>
        </w:tc>
      </w:tr>
      <w:tr>
        <w:trPr>
          <w:trHeight w:val="20"/>
        </w:trPr>
        <w:tc>
          <w:tcPr>
            <w:tcW w:w="73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Transaction costs describe the broad category of costs the Company incurs in connection with signed and/or closed acquisitions. Transaction costs include expenses associated with legal, accounting, regulatory, and other transition services rendered in connection with acquisition, travel expense, and other non-recurring direct expenses associated with acquisitions.</w:t>
      </w:r>
    </w:p>
    <w:p>
      <w:pPr>
        <w:spacing w:after="0" w:line="14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Company incurred transaction costs related to the NBNYC Acquisition during the year ended December 31, 2023 of $0.2 million. These costs have been included in the Consolidated Statement of Operations in Professional Services Expense.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consisted of the following at: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920" w:type="dxa"/>
            <w:vAlign w:val="bottom"/>
            <w:tcBorders>
              <w:bottom w:val="single" w:sz="8" w:color="auto"/>
            </w:tcBorders>
          </w:tcPr>
          <w:p>
            <w:pPr>
              <w:spacing w:after="0"/>
              <w:rPr>
                <w:sz w:val="13"/>
                <w:szCs w:val="13"/>
                <w:color w:val="auto"/>
              </w:rPr>
            </w:pPr>
          </w:p>
        </w:tc>
      </w:tr>
      <w:tr>
        <w:trPr>
          <w:trHeight w:val="154"/>
        </w:trPr>
        <w:tc>
          <w:tcPr>
            <w:tcW w:w="5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380" w:type="dxa"/>
            <w:vAlign w:val="bottom"/>
          </w:tcPr>
          <w:p>
            <w:pPr>
              <w:spacing w:after="0"/>
              <w:rPr>
                <w:sz w:val="13"/>
                <w:szCs w:val="13"/>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420" w:type="dxa"/>
            <w:vAlign w:val="bottom"/>
          </w:tcPr>
          <w:p>
            <w:pPr>
              <w:spacing w:after="0"/>
              <w:rPr>
                <w:sz w:val="13"/>
                <w:szCs w:val="13"/>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w w:val="95"/>
              </w:rPr>
              <w:t>Fair Value</w:t>
            </w:r>
          </w:p>
        </w:tc>
      </w:tr>
      <w:tr>
        <w:trPr>
          <w:trHeight w:val="17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28,319</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32,372</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r>
      <w:tr>
        <w:trPr>
          <w:trHeight w:val="18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r>
      <w:tr>
        <w:trPr>
          <w:trHeight w:val="18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Non-controlled investments</w:t>
            </w: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r>
      <w:tr>
        <w:trPr>
          <w:trHeight w:val="18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Joint ventures, at fair value</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45,108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48,247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37,864</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40,859</w:t>
            </w:r>
          </w:p>
        </w:tc>
      </w:tr>
      <w:tr>
        <w:trPr>
          <w:trHeight w:val="196"/>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77,972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80,875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74,667</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77,393</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Alternative Lending Program (ALP)</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NCL JV: On May 20, 2019, the Company and its joint venture partner launched NCL JV to provide ALP loans (formerly referred to as non-conforming conventional commercial and industrial term loans) to U.S. middle-market companies and small businesses. NCL JV is a 50/50 joint venture between NCL a wholly-owned subsidiary of the Company, and Conventional Lending TCP Holding, LLC, a wholly-owned, indirect subsidiary of BlackRock TCP Capital Corp. (Nasdaq: TCPC). NCL JV ceased funding new ALP loans during 2020. On January 28, 2022, NCL JV closed a securitization with the sale of $56.3 million of Class A Notes, NCL Business Loan Trust 2022-1, Business Loan-Backed Notes, Series 2022-1, secured by a segregated asset pool consisting primarily of NCL JV’s portfolio of ALP loans secured by liens on commercial or residential mortgaged properties, originated by NCL JV and NBL. The Notes were rated “A” (sf) by DBRS Morningstar. The Notes were priced at a yield of 3.209%. The proceeds of the securitization were used, in part, to repay NCL JV’s credit facility and return capital to the NCL JV partners.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tables show certain summarized financial information for NCL JV:</w:t>
            </w:r>
          </w:p>
        </w:tc>
        <w:tc>
          <w:tcPr>
            <w:tcW w:w="2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Statement of Assets and Liabilities Information (Unaudited)</w:t>
            </w:r>
          </w:p>
        </w:tc>
        <w:tc>
          <w:tcPr>
            <w:tcW w:w="26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71"/>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2660" w:type="dxa"/>
            <w:vAlign w:val="bottom"/>
          </w:tcPr>
          <w:p>
            <w:pPr>
              <w:spacing w:after="0"/>
              <w:rPr>
                <w:sz w:val="14"/>
                <w:szCs w:val="14"/>
                <w:color w:val="auto"/>
              </w:rPr>
            </w:pPr>
          </w:p>
        </w:tc>
        <w:tc>
          <w:tcPr>
            <w:tcW w:w="28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Investments in loans, at fair value (amortized cost of $62,158 and $70,083, respectively)</w:t>
            </w:r>
          </w:p>
        </w:tc>
        <w:tc>
          <w:tcPr>
            <w:tcW w:w="2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62,158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68,592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Securitization notes payable</w:t>
            </w:r>
          </w:p>
        </w:tc>
        <w:tc>
          <w:tcPr>
            <w:tcW w:w="294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33,799</w:t>
            </w:r>
          </w:p>
        </w:tc>
        <w:tc>
          <w:tcPr>
            <w:tcW w:w="40" w:type="dxa"/>
            <w:vAlign w:val="bottom"/>
          </w:tcPr>
          <w:p>
            <w:pPr>
              <w:spacing w:after="0"/>
              <w:rPr>
                <w:sz w:val="15"/>
                <w:szCs w:val="15"/>
                <w:color w:val="auto"/>
              </w:rPr>
            </w:pPr>
          </w:p>
        </w:tc>
        <w:tc>
          <w:tcPr>
            <w:tcW w:w="32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6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0" w:type="dxa"/>
            <w:vAlign w:val="bottom"/>
            <w:shd w:val="clear" w:color="auto" w:fill="CCEEFF"/>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assets</w:t>
            </w:r>
          </w:p>
        </w:tc>
        <w:tc>
          <w:tcPr>
            <w:tcW w:w="26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33,908</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35,897</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6"/>
                <w:szCs w:val="16"/>
                <w:color w:val="auto"/>
              </w:rPr>
            </w:pPr>
          </w:p>
        </w:tc>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 and net assets</w:t>
            </w:r>
          </w:p>
        </w:tc>
        <w:tc>
          <w:tcPr>
            <w:tcW w:w="26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68,592</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75,607</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Statements of Operations Information (Unaudited)</w:t>
            </w:r>
          </w:p>
        </w:tc>
        <w:tc>
          <w:tcPr>
            <w:tcW w:w="2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6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7"/>
          </w:tcPr>
          <w:p>
            <w:pPr>
              <w:ind w:left="6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2700" w:type="dxa"/>
            <w:vAlign w:val="bottom"/>
            <w:gridSpan w:val="2"/>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26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2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Unrealized (depreciation) appreciation on investments</w:t>
            </w:r>
          </w:p>
        </w:tc>
        <w:tc>
          <w:tcPr>
            <w:tcW w:w="26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6"/>
                <w:szCs w:val="16"/>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net assets resulting from operations</w:t>
            </w:r>
          </w:p>
        </w:tc>
        <w:tc>
          <w:tcPr>
            <w:tcW w:w="2700" w:type="dxa"/>
            <w:vAlign w:val="bottom"/>
            <w:tcBorders>
              <w:bottom w:val="single" w:sz="8" w:color="CCEEFF"/>
            </w:tcBorders>
            <w:gridSpan w:val="2"/>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jc w:val="right"/>
              <w:ind w:right="2169"/>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9A9A9A"/>
            </w:tcBorders>
          </w:tcPr>
          <w:p>
            <w:pPr>
              <w:spacing w:after="0"/>
              <w:rPr>
                <w:sz w:val="7"/>
                <w:szCs w:val="7"/>
                <w:color w:val="auto"/>
              </w:rPr>
            </w:pPr>
          </w:p>
        </w:tc>
        <w:tc>
          <w:tcPr>
            <w:tcW w:w="524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TSO JV: On August 5, 2022, NCL and TSO II Booster Aggregator, L.P. (“TSO II”) entered into a joint venture, TSO JV, governed by the Amended and Restated Limited Partnership Agreement for the TSO JV. TSO JV began making investments in ALP loans during the fourth quarter of 2022. NCL and TSO II each committed to contribute an equal share of equity funding to the TSO JV and each have equal voting rights on all material matters. TSO JV intends to deploy capital over the course of time with additional leverage supported by a warehouse line of credit.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tables show certain summarized financial information for TSO JV:</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Statement of Assets and Liabilities Information (Unaudited)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4,401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loans, at fair value (amortized cost of $93,945 and $66,689, respectively)</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93,945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66,689</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1,374</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101,571</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73,647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Pr>
          <w:p>
            <w:pPr>
              <w:spacing w:after="0"/>
              <w:rPr>
                <w:sz w:val="15"/>
                <w:szCs w:val="15"/>
                <w:color w:val="auto"/>
              </w:rPr>
            </w:pPr>
          </w:p>
        </w:tc>
        <w:tc>
          <w:tcPr>
            <w:tcW w:w="7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 notes payable</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29,636</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1,092</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9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41,577</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30,728</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assets</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59,994</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42,919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net assets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101,571</w:t>
            </w: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73,647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Statements of Operations Information (Unaudited)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0" w:type="dxa"/>
            <w:vAlign w:val="bottom"/>
          </w:tcPr>
          <w:p>
            <w:pPr>
              <w:spacing w:after="0"/>
              <w:rPr>
                <w:sz w:val="24"/>
                <w:szCs w:val="24"/>
                <w:color w:val="auto"/>
              </w:rPr>
            </w:pPr>
          </w:p>
        </w:tc>
        <w:tc>
          <w:tcPr>
            <w:tcW w:w="7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73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9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2,343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615</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1,464</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Unrealized appreciation (depreciation) on investments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872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Realized loss on investments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Realized gain on derivative transactions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gain (loss) on derivative transactions</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2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2,590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Affiliated Companies</w:t>
      </w:r>
    </w:p>
    <w:p>
      <w:pPr>
        <w:spacing w:after="0" w:line="20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An affiliated company is an unconsolidated entity in which the Company has an ownership of 5% or more of its voting securities. Transactions related to our joint ventures and non-controlled investments for the three months ended March 31, 2024 and 2023 were as follows:</w:t>
      </w:r>
    </w:p>
    <w:p>
      <w:pPr>
        <w:spacing w:after="0" w:line="44"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3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Fair Value at</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Return of</w:t>
            </w: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Net Realized</w:t>
            </w:r>
          </w:p>
        </w:tc>
        <w:tc>
          <w:tcPr>
            <w:tcW w:w="8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Net Unrealized</w:t>
            </w:r>
          </w:p>
        </w:tc>
        <w:tc>
          <w:tcPr>
            <w:tcW w:w="10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Fair Value at</w:t>
            </w:r>
          </w:p>
        </w:tc>
        <w:tc>
          <w:tcPr>
            <w:tcW w:w="120" w:type="dxa"/>
            <w:vAlign w:val="bottom"/>
          </w:tcPr>
          <w:p>
            <w:pPr>
              <w:spacing w:after="0"/>
              <w:rPr>
                <w:sz w:val="11"/>
                <w:szCs w:val="11"/>
                <w:color w:val="auto"/>
              </w:rPr>
            </w:pPr>
          </w:p>
        </w:tc>
        <w:tc>
          <w:tcPr>
            <w:tcW w:w="680" w:type="dxa"/>
            <w:vAlign w:val="bottom"/>
            <w:vMerge w:val="restart"/>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rPr>
              <w:t>Dividend</w:t>
            </w:r>
          </w:p>
        </w:tc>
        <w:tc>
          <w:tcPr>
            <w:tcW w:w="0" w:type="dxa"/>
            <w:vAlign w:val="bottom"/>
          </w:tcPr>
          <w:p>
            <w:pPr>
              <w:spacing w:after="0"/>
              <w:rPr>
                <w:sz w:val="1"/>
                <w:szCs w:val="1"/>
                <w:color w:val="auto"/>
              </w:rPr>
            </w:pPr>
          </w:p>
        </w:tc>
      </w:tr>
      <w:tr>
        <w:trPr>
          <w:trHeight w:val="117"/>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80" w:type="dxa"/>
            <w:vAlign w:val="bottom"/>
          </w:tcPr>
          <w:p>
            <w:pPr>
              <w:spacing w:after="0"/>
              <w:rPr>
                <w:sz w:val="10"/>
                <w:szCs w:val="10"/>
                <w:color w:val="auto"/>
              </w:rPr>
            </w:pPr>
          </w:p>
        </w:tc>
        <w:tc>
          <w:tcPr>
            <w:tcW w:w="8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Purchases (Cost)</w:t>
            </w: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4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Received</w:t>
            </w:r>
          </w:p>
        </w:tc>
        <w:tc>
          <w:tcPr>
            <w:tcW w:w="1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Gains/(Losses)</w:t>
            </w:r>
          </w:p>
        </w:tc>
        <w:tc>
          <w:tcPr>
            <w:tcW w:w="8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Gains/(Losses)</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20" w:type="dxa"/>
            <w:vAlign w:val="bottom"/>
          </w:tcPr>
          <w:p>
            <w:pPr>
              <w:spacing w:after="0"/>
              <w:rPr>
                <w:sz w:val="13"/>
                <w:szCs w:val="13"/>
                <w:color w:val="auto"/>
              </w:rPr>
            </w:pPr>
          </w:p>
        </w:tc>
        <w:tc>
          <w:tcPr>
            <w:tcW w:w="680" w:type="dxa"/>
            <w:vAlign w:val="bottom"/>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0" w:type="dxa"/>
            <w:vAlign w:val="bottom"/>
          </w:tcPr>
          <w:p>
            <w:pPr>
              <w:spacing w:after="0"/>
              <w:rPr>
                <w:sz w:val="1"/>
                <w:szCs w:val="1"/>
                <w:color w:val="auto"/>
              </w:rPr>
            </w:pPr>
          </w:p>
        </w:tc>
      </w:tr>
      <w:tr>
        <w:trPr>
          <w:trHeight w:val="176"/>
        </w:trPr>
        <w:tc>
          <w:tcPr>
            <w:tcW w:w="3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Joint Ventures</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Conventional Lending, LLC</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19,400</w:t>
            </w:r>
          </w:p>
        </w:tc>
        <w:tc>
          <w:tcPr>
            <w:tcW w:w="80" w:type="dxa"/>
            <w:vAlign w:val="bottom"/>
          </w:tcPr>
          <w:p>
            <w:pPr>
              <w:spacing w:after="0"/>
              <w:rPr>
                <w:sz w:val="14"/>
                <w:szCs w:val="14"/>
                <w:color w:val="auto"/>
              </w:rPr>
            </w:pP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center"/>
              <w:ind w:left="372"/>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180"/>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TSO II Conventional Credit Partners, LP</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left="372"/>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Joint Ventures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7,243</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center"/>
              <w:ind w:left="452"/>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48,247</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182"/>
        </w:trPr>
        <w:tc>
          <w:tcPr>
            <w:tcW w:w="3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 Investments</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EMCAP Loan Holdings, LLC</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CCEEFF"/>
            </w:tcBorders>
            <w:shd w:val="clear" w:color="auto" w:fill="CCEEFF"/>
          </w:tcPr>
          <w:p>
            <w:pPr>
              <w:jc w:val="center"/>
              <w:ind w:left="432"/>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Biller Genie Software, LLC</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center"/>
              <w:ind w:left="372"/>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Non-Control Investments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center"/>
              <w:ind w:left="432"/>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2"/>
        </w:trPr>
        <w:tc>
          <w:tcPr>
            <w:tcW w:w="3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Affiliate Investments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center"/>
              <w:ind w:left="432"/>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Fair Value at</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140" w:type="dxa"/>
            <w:vAlign w:val="bottom"/>
          </w:tcPr>
          <w:p>
            <w:pPr>
              <w:spacing w:after="0"/>
              <w:rPr>
                <w:sz w:val="24"/>
                <w:szCs w:val="24"/>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Return of</w:t>
            </w: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Net Realized</w:t>
            </w:r>
          </w:p>
        </w:tc>
        <w:tc>
          <w:tcPr>
            <w:tcW w:w="80" w:type="dxa"/>
            <w:vAlign w:val="bottom"/>
          </w:tcPr>
          <w:p>
            <w:pPr>
              <w:spacing w:after="0"/>
              <w:rPr>
                <w:sz w:val="24"/>
                <w:szCs w:val="24"/>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Net Unrealized</w:t>
            </w:r>
          </w:p>
        </w:tc>
        <w:tc>
          <w:tcPr>
            <w:tcW w:w="100" w:type="dxa"/>
            <w:vAlign w:val="bottom"/>
          </w:tcPr>
          <w:p>
            <w:pPr>
              <w:spacing w:after="0"/>
              <w:rPr>
                <w:sz w:val="24"/>
                <w:szCs w:val="24"/>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Fair Value at</w:t>
            </w:r>
          </w:p>
        </w:tc>
        <w:tc>
          <w:tcPr>
            <w:tcW w:w="120" w:type="dxa"/>
            <w:vAlign w:val="bottom"/>
          </w:tcPr>
          <w:p>
            <w:pPr>
              <w:spacing w:after="0"/>
              <w:rPr>
                <w:sz w:val="24"/>
                <w:szCs w:val="24"/>
                <w:color w:val="auto"/>
              </w:rPr>
            </w:pPr>
          </w:p>
        </w:tc>
        <w:tc>
          <w:tcPr>
            <w:tcW w:w="680" w:type="dxa"/>
            <w:vAlign w:val="bottom"/>
            <w:vMerge w:val="restart"/>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rPr>
              <w:t>Dividend</w:t>
            </w:r>
          </w:p>
        </w:tc>
        <w:tc>
          <w:tcPr>
            <w:tcW w:w="0" w:type="dxa"/>
            <w:vAlign w:val="bottom"/>
          </w:tcPr>
          <w:p>
            <w:pPr>
              <w:spacing w:after="0"/>
              <w:rPr>
                <w:sz w:val="1"/>
                <w:szCs w:val="1"/>
                <w:color w:val="auto"/>
              </w:rPr>
            </w:pPr>
          </w:p>
        </w:tc>
      </w:tr>
      <w:tr>
        <w:trPr>
          <w:trHeight w:val="117"/>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80" w:type="dxa"/>
            <w:vAlign w:val="bottom"/>
          </w:tcPr>
          <w:p>
            <w:pPr>
              <w:spacing w:after="0"/>
              <w:rPr>
                <w:sz w:val="10"/>
                <w:szCs w:val="10"/>
                <w:color w:val="auto"/>
              </w:rPr>
            </w:pPr>
          </w:p>
        </w:tc>
        <w:tc>
          <w:tcPr>
            <w:tcW w:w="8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Purchases (Cost)</w:t>
            </w: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4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Received</w:t>
            </w:r>
          </w:p>
        </w:tc>
        <w:tc>
          <w:tcPr>
            <w:tcW w:w="1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Gains/(Losses)</w:t>
            </w:r>
          </w:p>
        </w:tc>
        <w:tc>
          <w:tcPr>
            <w:tcW w:w="8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Gains/(Losses)</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March 31, 2023</w:t>
            </w:r>
          </w:p>
        </w:tc>
        <w:tc>
          <w:tcPr>
            <w:tcW w:w="120" w:type="dxa"/>
            <w:vAlign w:val="bottom"/>
          </w:tcPr>
          <w:p>
            <w:pPr>
              <w:spacing w:after="0"/>
              <w:rPr>
                <w:sz w:val="13"/>
                <w:szCs w:val="13"/>
                <w:color w:val="auto"/>
              </w:rPr>
            </w:pPr>
          </w:p>
        </w:tc>
        <w:tc>
          <w:tcPr>
            <w:tcW w:w="680" w:type="dxa"/>
            <w:vAlign w:val="bottom"/>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0" w:type="dxa"/>
            <w:vAlign w:val="bottom"/>
          </w:tcPr>
          <w:p>
            <w:pPr>
              <w:spacing w:after="0"/>
              <w:rPr>
                <w:sz w:val="1"/>
                <w:szCs w:val="1"/>
                <w:color w:val="auto"/>
              </w:rPr>
            </w:pPr>
          </w:p>
        </w:tc>
      </w:tr>
      <w:tr>
        <w:trPr>
          <w:trHeight w:val="176"/>
        </w:trPr>
        <w:tc>
          <w:tcPr>
            <w:tcW w:w="3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Joint Ventures</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Conventional Lending, LLC</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16,587</w:t>
            </w:r>
          </w:p>
        </w:tc>
        <w:tc>
          <w:tcPr>
            <w:tcW w:w="80" w:type="dxa"/>
            <w:vAlign w:val="bottom"/>
          </w:tcPr>
          <w:p>
            <w:pPr>
              <w:spacing w:after="0"/>
              <w:rPr>
                <w:sz w:val="14"/>
                <w:szCs w:val="14"/>
                <w:color w:val="auto"/>
              </w:rPr>
            </w:pP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center"/>
              <w:ind w:left="372"/>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180"/>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TSO II Conventional Credit Partners, LP</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left="372"/>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Joint Ventures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23,022</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center"/>
              <w:ind w:left="452"/>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25,022</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182"/>
        </w:trPr>
        <w:tc>
          <w:tcPr>
            <w:tcW w:w="3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 Investments</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EMCAP Loan Holdings, LLC</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CCEEFF"/>
            </w:tcBorders>
            <w:gridSpan w:val="2"/>
            <w:shd w:val="clear" w:color="auto" w:fill="CCEEFF"/>
          </w:tcPr>
          <w:p>
            <w:pPr>
              <w:jc w:val="center"/>
              <w:ind w:left="372"/>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Borders>
              <w:top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Biller Genie Software, LLC</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center"/>
              <w:ind w:left="372"/>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Non-Control Investments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center"/>
              <w:ind w:left="452"/>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2"/>
        </w:trPr>
        <w:tc>
          <w:tcPr>
            <w:tcW w:w="3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Affiliate Investments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center"/>
              <w:ind w:left="452"/>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7"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Debt Securities Available-for-Sale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amortized cost and fair value of available-for-sale securities by major type as of March 31, 2024 and December 31, 2023:</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Amortized Cost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Unrealized Gains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Unrealized Losses</w:t>
            </w:r>
          </w:p>
        </w:tc>
        <w:tc>
          <w:tcPr>
            <w:tcW w:w="16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Amortized Cost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Unrealized Gains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Unrealized Losses</w:t>
            </w:r>
          </w:p>
        </w:tc>
        <w:tc>
          <w:tcPr>
            <w:tcW w:w="160" w:type="dxa"/>
            <w:vAlign w:val="bottom"/>
          </w:tcPr>
          <w:p>
            <w:pPr>
              <w:spacing w:after="0"/>
              <w:rPr>
                <w:sz w:val="14"/>
                <w:szCs w:val="14"/>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1"/>
        </w:trPr>
        <w:tc>
          <w:tcPr>
            <w:tcW w:w="1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 notes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25,319</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25,232</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29,372</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0" w:type="dxa"/>
            <w:vAlign w:val="bottom"/>
          </w:tcPr>
          <w:p>
            <w:pPr>
              <w:spacing w:after="0"/>
              <w:rPr>
                <w:sz w:val="1"/>
                <w:szCs w:val="1"/>
                <w:color w:val="auto"/>
              </w:rPr>
            </w:pPr>
          </w:p>
        </w:tc>
      </w:tr>
      <w:tr>
        <w:trPr>
          <w:trHeight w:val="138"/>
        </w:trPr>
        <w:tc>
          <w:tcPr>
            <w:tcW w:w="164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Government agency</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debentures</w:t>
            </w: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0" w:type="dxa"/>
            <w:vAlign w:val="bottom"/>
          </w:tcPr>
          <w:p>
            <w:pPr>
              <w:spacing w:after="0"/>
              <w:rPr>
                <w:sz w:val="1"/>
                <w:szCs w:val="1"/>
                <w:color w:val="auto"/>
              </w:rPr>
            </w:pPr>
          </w:p>
        </w:tc>
      </w:tr>
      <w:tr>
        <w:trPr>
          <w:trHeight w:val="118"/>
        </w:trPr>
        <w:tc>
          <w:tcPr>
            <w:tcW w:w="16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Total available for sale</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28,319</w:t>
            </w: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32,372</w:t>
            </w:r>
          </w:p>
        </w:tc>
        <w:tc>
          <w:tcPr>
            <w:tcW w:w="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0" w:type="dxa"/>
            <w:vAlign w:val="bottom"/>
          </w:tcPr>
          <w:p>
            <w:pPr>
              <w:spacing w:after="0"/>
              <w:rPr>
                <w:sz w:val="1"/>
                <w:szCs w:val="1"/>
                <w:color w:val="auto"/>
              </w:rPr>
            </w:pPr>
          </w:p>
        </w:tc>
      </w:tr>
      <w:tr>
        <w:trPr>
          <w:trHeight w:val="190"/>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8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right="180"/>
        <w:spacing w:after="0" w:line="287" w:lineRule="auto"/>
        <w:rPr>
          <w:sz w:val="20"/>
          <w:szCs w:val="20"/>
          <w:color w:val="auto"/>
        </w:rPr>
      </w:pPr>
      <w:r>
        <w:rPr>
          <w:rFonts w:ascii="Times New Roman" w:cs="Times New Roman" w:eastAsia="Times New Roman" w:hAnsi="Times New Roman"/>
          <w:sz w:val="14"/>
          <w:szCs w:val="14"/>
          <w:color w:val="auto"/>
        </w:rPr>
        <w:t>As of March 31, 2024 and December 31, 2023, there was $13.9 thousand and $0.2 million of accrued interest receivable on available-for-sale securities, respectively, included in Other assets in the accompanying Consolidated Statements of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2024 and 2023, no securities were sold or settled.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Unrealized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gross unrealized losses and fair value of available-for-sale securities by length of time each major security type has been in a continuous unrealized loss position: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7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Less Than 12 Months</w:t>
            </w:r>
          </w:p>
        </w:tc>
        <w:tc>
          <w:tcPr>
            <w:tcW w:w="120" w:type="dxa"/>
            <w:vAlign w:val="bottom"/>
          </w:tcPr>
          <w:p>
            <w:pPr>
              <w:spacing w:after="0"/>
              <w:rPr>
                <w:sz w:val="14"/>
                <w:szCs w:val="14"/>
                <w:color w:val="auto"/>
              </w:rPr>
            </w:pPr>
          </w:p>
        </w:tc>
        <w:tc>
          <w:tcPr>
            <w:tcW w:w="21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12 Months or More</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3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Unrealized Losses</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Fair Value</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Unrealized Losses</w:t>
            </w:r>
          </w:p>
        </w:tc>
        <w:tc>
          <w:tcPr>
            <w:tcW w:w="80" w:type="dxa"/>
            <w:vAlign w:val="bottom"/>
          </w:tcPr>
          <w:p>
            <w:pPr>
              <w:spacing w:after="0"/>
              <w:rPr>
                <w:sz w:val="14"/>
                <w:szCs w:val="14"/>
                <w:color w:val="auto"/>
              </w:rPr>
            </w:pPr>
          </w:p>
        </w:tc>
        <w:tc>
          <w:tcPr>
            <w:tcW w:w="13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Number of Holdings</w:t>
            </w: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Fair Value</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Unrealized Losses</w:t>
            </w: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agency debentures</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96"/>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7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Less Than 12 Months</w:t>
            </w:r>
          </w:p>
        </w:tc>
        <w:tc>
          <w:tcPr>
            <w:tcW w:w="120" w:type="dxa"/>
            <w:vAlign w:val="bottom"/>
          </w:tcPr>
          <w:p>
            <w:pPr>
              <w:spacing w:after="0"/>
              <w:rPr>
                <w:sz w:val="14"/>
                <w:szCs w:val="14"/>
                <w:color w:val="auto"/>
              </w:rPr>
            </w:pPr>
          </w:p>
        </w:tc>
        <w:tc>
          <w:tcPr>
            <w:tcW w:w="21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12 Months or More</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Unrealized Losses</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Fair Value</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Unrealized Losses</w:t>
            </w:r>
          </w:p>
        </w:tc>
        <w:tc>
          <w:tcPr>
            <w:tcW w:w="80" w:type="dxa"/>
            <w:vAlign w:val="bottom"/>
          </w:tcPr>
          <w:p>
            <w:pPr>
              <w:spacing w:after="0"/>
              <w:rPr>
                <w:sz w:val="14"/>
                <w:szCs w:val="14"/>
                <w:color w:val="auto"/>
              </w:rPr>
            </w:pPr>
          </w:p>
        </w:tc>
        <w:tc>
          <w:tcPr>
            <w:tcW w:w="13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Number of Holdings</w:t>
            </w: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Fair Value</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Unrealized Losses</w:t>
            </w: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agency debentures</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96"/>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Management evaluates available-for-sale debt securities to determine whether the unrealized loss is due to credit-related factors or non-credit-related factors. The evaluation considers the extent to which the security’s fair value is less than cost, the financial condition and near-term prospects of the issuer, and intent and ability of the Company to retain its investment in the security for a period of time sufficient to allow for any anticipated recovery in fair value. These unrealized losses are primarily the result of non-credit-related volatility in the market and market interest rates. Since none of the unrealized losses relate to marketability of the securities or the issuers' ability to honor redemption obligations and the Company has the intent and ability to hold the securities for a sufficient period of time to recover unrealized losses, none of the losses have been recognized in the Company’s Consolidated Statements of Income.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Maturities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amortized cost and fair value of available-for-sale securities by contractual maturity: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At December 31, 2023</w:t>
            </w:r>
          </w:p>
        </w:tc>
      </w:tr>
      <w:tr>
        <w:trPr>
          <w:trHeight w:val="171"/>
        </w:trPr>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460" w:type="dxa"/>
            <w:vAlign w:val="bottom"/>
          </w:tcPr>
          <w:p>
            <w:pPr>
              <w:spacing w:after="0"/>
              <w:rPr>
                <w:sz w:val="14"/>
                <w:szCs w:val="14"/>
                <w:color w:val="auto"/>
              </w:rPr>
            </w:pPr>
          </w:p>
        </w:tc>
        <w:tc>
          <w:tcPr>
            <w:tcW w:w="10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97"/>
              </w:rPr>
              <w:t>Fair Value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280" w:type="dxa"/>
            <w:vAlign w:val="bottom"/>
          </w:tcPr>
          <w:p>
            <w:pPr>
              <w:spacing w:after="0"/>
              <w:rPr>
                <w:sz w:val="14"/>
                <w:szCs w:val="14"/>
                <w:color w:val="auto"/>
              </w:rPr>
            </w:pPr>
          </w:p>
        </w:tc>
        <w:tc>
          <w:tcPr>
            <w:tcW w:w="12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Fair Value</w:t>
            </w:r>
          </w:p>
        </w:tc>
      </w:tr>
      <w:tr>
        <w:trPr>
          <w:trHeight w:val="17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Maturing within 1 year</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16,713</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16,588</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 1 year through 5 years</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 for sale securities</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Newtek Bank’s available-for-sale securities pledged for deposits, borrowings, and other purposes: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Pledged for deposits</w:t>
            </w:r>
          </w:p>
        </w:tc>
        <w:tc>
          <w:tcPr>
            <w:tcW w:w="1640" w:type="dxa"/>
            <w:vAlign w:val="bottom"/>
            <w:shd w:val="clear" w:color="auto" w:fill="CCEEFF"/>
          </w:tcPr>
          <w:p>
            <w:pPr>
              <w:jc w:val="right"/>
              <w:ind w:right="14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Pledged for borrowings and other</w:t>
            </w:r>
          </w:p>
        </w:tc>
        <w:tc>
          <w:tcPr>
            <w:tcW w:w="16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28,127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30,730</w:t>
            </w:r>
          </w:p>
        </w:tc>
      </w:tr>
      <w:tr>
        <w:trPr>
          <w:trHeight w:val="19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 for sale securities pledged</w:t>
            </w:r>
          </w:p>
        </w:tc>
        <w:tc>
          <w:tcPr>
            <w:tcW w:w="1640" w:type="dxa"/>
            <w:vAlign w:val="bottom"/>
            <w:tcBorders>
              <w:bottom w:val="single" w:sz="8" w:color="auto"/>
            </w:tcBorders>
            <w:shd w:val="clear" w:color="auto" w:fill="CCEEFF"/>
          </w:tcPr>
          <w:p>
            <w:pPr>
              <w:jc w:val="right"/>
              <w:ind w:right="14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5—LOANS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Loans held for investment (HFI)</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Loans held for investment (HFI) included SBA 7(a) loans originated by NSBF and Newtek Bank, as well as CRE and C&amp;I loans originated by Newtek Bank. The following tables shows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Company’s loan portfolio by industry for loans held for investment, at fair value and loans held for investment, at amortized cost:</w:t>
      </w:r>
    </w:p>
    <w:p>
      <w:pPr>
        <w:spacing w:after="0" w:line="21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3"/>
          <w:szCs w:val="13"/>
          <w:b w:val="1"/>
          <w:bCs w:val="1"/>
          <w:color w:val="auto"/>
        </w:rPr>
        <w:t>Loans Held for Investment, at Fair Value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9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4"/>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57"/>
        </w:trPr>
        <w:tc>
          <w:tcPr>
            <w:tcW w:w="49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Food Services and Drinking Places</w:t>
            </w:r>
          </w:p>
        </w:tc>
        <w:tc>
          <w:tcPr>
            <w:tcW w:w="17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41,147</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41,361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top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43,779</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Specialty Trade Contractors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39,276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Scientific, and Technical Services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34,584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Ambulatory Health Care Services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Amusement, Gambling, and Recreation Industries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Administrative and Support Services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Merchant Wholesalers, Durable Goods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Repair and Maintenance</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Merchant Wholesalers, Nondurable Goods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Personal and Laundry Services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Fabricated Metal Product Manufacturing</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Truck Transportation</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of Buildings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Accommodation</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Social Assistance</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Food Manufacturing</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Motor Vehicle and Parts Dealers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Transportation Equipment Manufacturing</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Support Activities for Mining</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Food and Beverage Stores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Rental and Leasing Services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Nursing and Residential Care Facilities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 Material and Garden Equipment and Supplies Dealers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Educational Services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7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95,638</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89,848</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102,037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96,161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457,581</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442,928</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482,563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4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gridSpan w:val="5"/>
          </w:tcPr>
          <w:p>
            <w:pPr>
              <w:spacing w:after="0"/>
              <w:rPr>
                <w:sz w:val="24"/>
                <w:szCs w:val="24"/>
                <w:color w:val="auto"/>
              </w:rPr>
            </w:pPr>
          </w:p>
        </w:tc>
        <w:tc>
          <w:tcPr>
            <w:tcW w:w="100" w:type="dxa"/>
            <w:vAlign w:val="bottom"/>
            <w:gridSpan w:val="2"/>
          </w:tcPr>
          <w:p>
            <w:pPr>
              <w:spacing w:after="0"/>
              <w:rPr>
                <w:sz w:val="24"/>
                <w:szCs w:val="24"/>
                <w:color w:val="auto"/>
              </w:rPr>
            </w:pPr>
          </w:p>
        </w:tc>
        <w:tc>
          <w:tcPr>
            <w:tcW w:w="128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2620" w:type="dxa"/>
            <w:vAlign w:val="bottom"/>
            <w:tcBorders>
              <w:bottom w:val="single" w:sz="8" w:color="auto"/>
            </w:tcBorders>
            <w:gridSpan w:val="11"/>
            <w:shd w:val="clear" w:color="auto" w:fill="CCEEFF"/>
          </w:tcPr>
          <w:p>
            <w:pPr>
              <w:jc w:val="right"/>
              <w:ind w:right="9"/>
              <w:spacing w:after="0"/>
              <w:rPr>
                <w:sz w:val="20"/>
                <w:szCs w:val="20"/>
                <w:color w:val="auto"/>
              </w:rPr>
            </w:pPr>
            <w:r>
              <w:rPr>
                <w:rFonts w:ascii="Times New Roman" w:cs="Times New Roman" w:eastAsia="Times New Roman" w:hAnsi="Times New Roman"/>
                <w:sz w:val="13"/>
                <w:szCs w:val="13"/>
                <w:b w:val="1"/>
                <w:bCs w:val="1"/>
                <w:color w:val="auto"/>
                <w:w w:val="97"/>
              </w:rPr>
              <w:t>Loans Held for Investment, at Amortized Cost</w:t>
            </w:r>
          </w:p>
        </w:tc>
        <w:tc>
          <w:tcPr>
            <w:tcW w:w="880" w:type="dxa"/>
            <w:vAlign w:val="bottom"/>
            <w:tcBorders>
              <w:bottom w:val="single" w:sz="8" w:color="auto"/>
            </w:tcBorders>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9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214,038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169,869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13,404</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Loans</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397,311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 net</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397,625</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00" w:type="dxa"/>
            <w:vAlign w:val="bottom"/>
            <w:vMerge w:val="restart"/>
          </w:tcPr>
          <w:p>
            <w:pPr>
              <w:jc w:val="right"/>
              <w:ind w:right="829"/>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9"/>
        </w:trPr>
        <w:tc>
          <w:tcPr>
            <w:tcW w:w="492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92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Past Due and Non-Accrual Loans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by class:</w:t>
      </w:r>
    </w:p>
    <w:p>
      <w:pPr>
        <w:spacing w:after="0" w:line="1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b w:val="1"/>
          <w:bCs w:val="1"/>
          <w:color w:val="auto"/>
        </w:rPr>
        <w:t>As of March 31,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2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3"/>
          </w:tcPr>
          <w:p>
            <w:pPr>
              <w:jc w:val="center"/>
              <w:ind w:right="100"/>
              <w:spacing w:after="0" w:line="99" w:lineRule="exact"/>
              <w:rPr>
                <w:sz w:val="20"/>
                <w:szCs w:val="20"/>
                <w:color w:val="auto"/>
              </w:rPr>
            </w:pPr>
            <w:r>
              <w:rPr>
                <w:rFonts w:ascii="Times New Roman" w:cs="Times New Roman" w:eastAsia="Times New Roman" w:hAnsi="Times New Roman"/>
                <w:sz w:val="11"/>
                <w:szCs w:val="11"/>
                <w:b w:val="1"/>
                <w:bCs w:val="1"/>
                <w:color w:val="auto"/>
              </w:rPr>
              <w:t>30-59 Days Past</w:t>
            </w:r>
          </w:p>
        </w:tc>
        <w:tc>
          <w:tcPr>
            <w:tcW w:w="980" w:type="dxa"/>
            <w:vAlign w:val="bottom"/>
            <w:tcBorders>
              <w:top w:val="single" w:sz="8" w:color="auto"/>
            </w:tcBorders>
            <w:gridSpan w:val="3"/>
          </w:tcPr>
          <w:p>
            <w:pPr>
              <w:jc w:val="center"/>
              <w:ind w:right="100"/>
              <w:spacing w:after="0" w:line="99" w:lineRule="exact"/>
              <w:rPr>
                <w:sz w:val="20"/>
                <w:szCs w:val="20"/>
                <w:color w:val="auto"/>
              </w:rPr>
            </w:pPr>
            <w:r>
              <w:rPr>
                <w:rFonts w:ascii="Times New Roman" w:cs="Times New Roman" w:eastAsia="Times New Roman" w:hAnsi="Times New Roman"/>
                <w:sz w:val="11"/>
                <w:szCs w:val="11"/>
                <w:b w:val="1"/>
                <w:bCs w:val="1"/>
                <w:color w:val="auto"/>
              </w:rPr>
              <w:t>60-89 Days Past</w:t>
            </w:r>
          </w:p>
        </w:tc>
        <w:tc>
          <w:tcPr>
            <w:tcW w:w="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2"/>
          </w:tcPr>
          <w:p>
            <w:pPr>
              <w:jc w:val="center"/>
              <w:ind w:right="160"/>
              <w:spacing w:after="0" w:line="99" w:lineRule="exact"/>
              <w:rPr>
                <w:sz w:val="20"/>
                <w:szCs w:val="20"/>
                <w:color w:val="auto"/>
              </w:rPr>
            </w:pPr>
            <w:r>
              <w:rPr>
                <w:rFonts w:ascii="Times New Roman" w:cs="Times New Roman" w:eastAsia="Times New Roman" w:hAnsi="Times New Roman"/>
                <w:sz w:val="11"/>
                <w:szCs w:val="11"/>
                <w:b w:val="1"/>
                <w:bCs w:val="1"/>
                <w:color w:val="auto"/>
              </w:rPr>
              <w:t>90 or more Days</w:t>
            </w: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past Due</w:t>
            </w: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Total Carried at</w:t>
            </w:r>
          </w:p>
        </w:tc>
        <w:tc>
          <w:tcPr>
            <w:tcW w:w="1220" w:type="dxa"/>
            <w:vAlign w:val="bottom"/>
            <w:tcBorders>
              <w:top w:val="single" w:sz="8" w:color="auto"/>
            </w:tcBorders>
            <w:gridSpan w:val="3"/>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Total Loans Accounted</w:t>
            </w:r>
          </w:p>
        </w:tc>
        <w:tc>
          <w:tcPr>
            <w:tcW w:w="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Total Loans Held</w:t>
            </w:r>
          </w:p>
        </w:tc>
        <w:tc>
          <w:tcPr>
            <w:tcW w:w="0" w:type="dxa"/>
            <w:vAlign w:val="bottom"/>
          </w:tcPr>
          <w:p>
            <w:pPr>
              <w:spacing w:after="0"/>
              <w:rPr>
                <w:sz w:val="1"/>
                <w:szCs w:val="1"/>
                <w:color w:val="auto"/>
              </w:rPr>
            </w:pPr>
          </w:p>
        </w:tc>
      </w:tr>
      <w:tr>
        <w:trPr>
          <w:trHeight w:val="116"/>
        </w:trPr>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Due and</w:t>
            </w:r>
          </w:p>
        </w:tc>
        <w:tc>
          <w:tcPr>
            <w:tcW w:w="140" w:type="dxa"/>
            <w:vAlign w:val="bottom"/>
          </w:tcPr>
          <w:p>
            <w:pPr>
              <w:spacing w:after="0"/>
              <w:rPr>
                <w:sz w:val="10"/>
                <w:szCs w:val="10"/>
                <w:color w:val="auto"/>
              </w:rPr>
            </w:pPr>
          </w:p>
        </w:tc>
        <w:tc>
          <w:tcPr>
            <w:tcW w:w="84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Due and</w:t>
            </w:r>
          </w:p>
        </w:tc>
        <w:tc>
          <w:tcPr>
            <w:tcW w:w="60" w:type="dxa"/>
            <w:vAlign w:val="bottom"/>
          </w:tcPr>
          <w:p>
            <w:pPr>
              <w:spacing w:after="0"/>
              <w:rPr>
                <w:sz w:val="10"/>
                <w:szCs w:val="10"/>
                <w:color w:val="auto"/>
              </w:rPr>
            </w:pPr>
          </w:p>
        </w:tc>
        <w:tc>
          <w:tcPr>
            <w:tcW w:w="98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Past Due and</w:t>
            </w:r>
          </w:p>
        </w:tc>
        <w:tc>
          <w:tcPr>
            <w:tcW w:w="10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for Under the Fair</w:t>
            </w: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Accruing</w:t>
            </w: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Accruing</w:t>
            </w:r>
          </w:p>
        </w:tc>
        <w:tc>
          <w:tcPr>
            <w:tcW w:w="60" w:type="dxa"/>
            <w:vAlign w:val="bottom"/>
          </w:tcPr>
          <w:p>
            <w:pPr>
              <w:spacing w:after="0"/>
              <w:rPr>
                <w:sz w:val="13"/>
                <w:szCs w:val="13"/>
                <w:color w:val="auto"/>
              </w:rPr>
            </w:pPr>
          </w:p>
        </w:tc>
        <w:tc>
          <w:tcPr>
            <w:tcW w:w="98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1"/>
                <w:szCs w:val="11"/>
                <w:b w:val="1"/>
                <w:bCs w:val="1"/>
                <w:color w:val="auto"/>
                <w:w w:val="99"/>
              </w:rPr>
              <w:t>Accruing</w:t>
            </w:r>
            <w:r>
              <w:rPr>
                <w:rFonts w:ascii="Times New Roman" w:cs="Times New Roman" w:eastAsia="Times New Roman" w:hAnsi="Times New Roman"/>
                <w:sz w:val="14"/>
                <w:szCs w:val="14"/>
                <w:b w:val="1"/>
                <w:bCs w:val="1"/>
                <w:color w:val="auto"/>
                <w:w w:val="99"/>
                <w:vertAlign w:val="superscript"/>
              </w:rPr>
              <w:t>(1)</w:t>
            </w: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and Non-accrual</w:t>
            </w: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Value Option</w:t>
            </w:r>
          </w:p>
        </w:tc>
        <w:tc>
          <w:tcPr>
            <w:tcW w:w="8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for Investment</w:t>
            </w:r>
          </w:p>
        </w:tc>
        <w:tc>
          <w:tcPr>
            <w:tcW w:w="0" w:type="dxa"/>
            <w:vAlign w:val="bottom"/>
          </w:tcPr>
          <w:p>
            <w:pPr>
              <w:spacing w:after="0"/>
              <w:rPr>
                <w:sz w:val="1"/>
                <w:szCs w:val="1"/>
                <w:color w:val="auto"/>
              </w:rPr>
            </w:pPr>
          </w:p>
        </w:tc>
      </w:tr>
      <w:tr>
        <w:trPr>
          <w:trHeight w:val="139"/>
        </w:trPr>
        <w:tc>
          <w:tcPr>
            <w:tcW w:w="2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At amortized cost</w:t>
            </w: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9,818</w:t>
            </w:r>
          </w:p>
        </w:tc>
        <w:tc>
          <w:tcPr>
            <w:tcW w:w="8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2,017</w:t>
            </w:r>
          </w:p>
        </w:tc>
        <w:tc>
          <w:tcPr>
            <w:tcW w:w="8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11,835</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202,203</w:t>
            </w:r>
          </w:p>
        </w:tc>
        <w:tc>
          <w:tcPr>
            <w:tcW w:w="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214,038</w:t>
            </w:r>
          </w:p>
        </w:tc>
        <w:tc>
          <w:tcPr>
            <w:tcW w:w="1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214,038</w:t>
            </w:r>
          </w:p>
        </w:tc>
        <w:tc>
          <w:tcPr>
            <w:tcW w:w="0" w:type="dxa"/>
            <w:vAlign w:val="bottom"/>
          </w:tcPr>
          <w:p>
            <w:pPr>
              <w:spacing w:after="0"/>
              <w:rPr>
                <w:sz w:val="1"/>
                <w:szCs w:val="1"/>
                <w:color w:val="auto"/>
              </w:rPr>
            </w:pPr>
          </w:p>
        </w:tc>
      </w:tr>
      <w:tr>
        <w:trPr>
          <w:trHeight w:val="165"/>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CRE</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162,599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169,869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169,869</w:t>
            </w:r>
          </w:p>
        </w:tc>
        <w:tc>
          <w:tcPr>
            <w:tcW w:w="0" w:type="dxa"/>
            <w:vAlign w:val="bottom"/>
          </w:tcPr>
          <w:p>
            <w:pPr>
              <w:spacing w:after="0"/>
              <w:rPr>
                <w:sz w:val="1"/>
                <w:szCs w:val="1"/>
                <w:color w:val="auto"/>
              </w:rPr>
            </w:pPr>
          </w:p>
        </w:tc>
      </w:tr>
      <w:tr>
        <w:trPr>
          <w:trHeight w:val="15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C&amp;I</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13,404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13,404</w:t>
            </w:r>
          </w:p>
        </w:tc>
        <w:tc>
          <w:tcPr>
            <w:tcW w:w="0" w:type="dxa"/>
            <w:vAlign w:val="bottom"/>
          </w:tcPr>
          <w:p>
            <w:pPr>
              <w:spacing w:after="0"/>
              <w:rPr>
                <w:sz w:val="1"/>
                <w:szCs w:val="1"/>
                <w:color w:val="auto"/>
              </w:rPr>
            </w:pPr>
          </w:p>
        </w:tc>
      </w:tr>
      <w:tr>
        <w:trPr>
          <w:trHeight w:val="156"/>
        </w:trPr>
        <w:tc>
          <w:tcPr>
            <w:tcW w:w="2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at amortized cost</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10,144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946</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8,015</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19,105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378,206</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397,311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397,311</w:t>
            </w:r>
          </w:p>
        </w:tc>
        <w:tc>
          <w:tcPr>
            <w:tcW w:w="0" w:type="dxa"/>
            <w:vAlign w:val="bottom"/>
          </w:tcPr>
          <w:p>
            <w:pPr>
              <w:spacing w:after="0"/>
              <w:rPr>
                <w:sz w:val="1"/>
                <w:szCs w:val="1"/>
                <w:color w:val="auto"/>
              </w:rPr>
            </w:pPr>
          </w:p>
        </w:tc>
      </w:tr>
      <w:tr>
        <w:trPr>
          <w:trHeight w:val="153"/>
        </w:trPr>
        <w:tc>
          <w:tcPr>
            <w:tcW w:w="2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Deferred fees and costs</w:t>
            </w:r>
          </w:p>
        </w:tc>
        <w:tc>
          <w:tcPr>
            <w:tcW w:w="14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0" w:type="dxa"/>
            <w:vAlign w:val="bottom"/>
          </w:tcPr>
          <w:p>
            <w:pPr>
              <w:spacing w:after="0"/>
              <w:rPr>
                <w:sz w:val="1"/>
                <w:szCs w:val="1"/>
                <w:color w:val="auto"/>
              </w:rPr>
            </w:pPr>
          </w:p>
        </w:tc>
      </w:tr>
      <w:tr>
        <w:trPr>
          <w:trHeight w:val="96"/>
        </w:trPr>
        <w:tc>
          <w:tcPr>
            <w:tcW w:w="2200" w:type="dxa"/>
            <w:vAlign w:val="bottom"/>
            <w:gridSpan w:val="2"/>
            <w:shd w:val="clear" w:color="auto" w:fill="CCEEFF"/>
          </w:tcPr>
          <w:p>
            <w:pPr>
              <w:ind w:left="20"/>
              <w:spacing w:after="0" w:line="96" w:lineRule="exact"/>
              <w:rPr>
                <w:sz w:val="20"/>
                <w:szCs w:val="20"/>
                <w:color w:val="auto"/>
              </w:rPr>
            </w:pPr>
            <w:r>
              <w:rPr>
                <w:rFonts w:ascii="Times New Roman" w:cs="Times New Roman" w:eastAsia="Times New Roman" w:hAnsi="Times New Roman"/>
                <w:sz w:val="11"/>
                <w:szCs w:val="11"/>
                <w:color w:val="auto"/>
              </w:rPr>
              <w:t>Total, at amortized cost net of deferred fees</w:t>
            </w: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397,625</w:t>
            </w:r>
          </w:p>
        </w:tc>
        <w:tc>
          <w:tcPr>
            <w:tcW w:w="10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397,625</w:t>
            </w:r>
          </w:p>
        </w:tc>
        <w:tc>
          <w:tcPr>
            <w:tcW w:w="0" w:type="dxa"/>
            <w:vAlign w:val="bottom"/>
          </w:tcPr>
          <w:p>
            <w:pPr>
              <w:spacing w:after="0"/>
              <w:rPr>
                <w:sz w:val="1"/>
                <w:szCs w:val="1"/>
                <w:color w:val="auto"/>
              </w:rPr>
            </w:pPr>
          </w:p>
        </w:tc>
      </w:tr>
      <w:tr>
        <w:trPr>
          <w:trHeight w:val="155"/>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and costs</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(16,126)</w:t>
            </w:r>
          </w:p>
        </w:tc>
        <w:tc>
          <w:tcPr>
            <w:tcW w:w="0" w:type="dxa"/>
            <w:vAlign w:val="bottom"/>
          </w:tcPr>
          <w:p>
            <w:pPr>
              <w:spacing w:after="0"/>
              <w:rPr>
                <w:sz w:val="1"/>
                <w:szCs w:val="1"/>
                <w:color w:val="auto"/>
              </w:rPr>
            </w:pPr>
          </w:p>
        </w:tc>
      </w:tr>
      <w:tr>
        <w:trPr>
          <w:trHeight w:val="156"/>
        </w:trPr>
        <w:tc>
          <w:tcPr>
            <w:tcW w:w="2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at amortized cost, net</w:t>
            </w: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381,499</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381,499</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At fair value</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61,314</w:t>
            </w:r>
          </w:p>
        </w:tc>
        <w:tc>
          <w:tcPr>
            <w:tcW w:w="8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46,001</w:t>
            </w:r>
          </w:p>
        </w:tc>
        <w:tc>
          <w:tcPr>
            <w:tcW w:w="8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111,692</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331,236</w:t>
            </w:r>
          </w:p>
        </w:tc>
        <w:tc>
          <w:tcPr>
            <w:tcW w:w="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442,928</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442,928</w:t>
            </w: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 loans held for investment</w:t>
            </w: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71,458</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1,494</w:t>
            </w:r>
          </w:p>
        </w:tc>
        <w:tc>
          <w:tcPr>
            <w:tcW w:w="10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3,829</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54,016</w:t>
            </w:r>
          </w:p>
        </w:tc>
        <w:tc>
          <w:tcPr>
            <w:tcW w:w="80" w:type="dxa"/>
            <w:vAlign w:val="bottom"/>
          </w:tcPr>
          <w:p>
            <w:pPr>
              <w:spacing w:after="0"/>
              <w:rPr>
                <w:sz w:val="13"/>
                <w:szCs w:val="13"/>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130,797</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709,442</w:t>
            </w:r>
          </w:p>
        </w:tc>
        <w:tc>
          <w:tcPr>
            <w:tcW w:w="8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381,499</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442,928</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824,427</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Represents loans that are considered well secured and in the process of collection.</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b w:val="1"/>
          <w:bCs w:val="1"/>
          <w:color w:val="auto"/>
        </w:rPr>
        <w:t>As of December 31, 2023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97"/>
        </w:trPr>
        <w:tc>
          <w:tcPr>
            <w:tcW w:w="19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30-59 Days Past</w:t>
            </w:r>
          </w:p>
        </w:tc>
        <w:tc>
          <w:tcPr>
            <w:tcW w:w="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60-89 Days Past</w:t>
            </w:r>
          </w:p>
        </w:tc>
        <w:tc>
          <w:tcPr>
            <w:tcW w:w="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tcPr>
          <w:p>
            <w:pPr>
              <w:jc w:val="center"/>
              <w:ind w:right="160"/>
              <w:spacing w:after="0" w:line="97" w:lineRule="exact"/>
              <w:rPr>
                <w:sz w:val="20"/>
                <w:szCs w:val="20"/>
                <w:color w:val="auto"/>
              </w:rPr>
            </w:pPr>
            <w:r>
              <w:rPr>
                <w:rFonts w:ascii="Times New Roman" w:cs="Times New Roman" w:eastAsia="Times New Roman" w:hAnsi="Times New Roman"/>
                <w:sz w:val="11"/>
                <w:szCs w:val="11"/>
                <w:b w:val="1"/>
                <w:bCs w:val="1"/>
                <w:color w:val="auto"/>
              </w:rPr>
              <w:t>90 or more Days</w:t>
            </w: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Total past Due and</w:t>
            </w: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Carried at</w:t>
            </w:r>
          </w:p>
        </w:tc>
        <w:tc>
          <w:tcPr>
            <w:tcW w:w="1260" w:type="dxa"/>
            <w:vAlign w:val="bottom"/>
            <w:tcBorders>
              <w:top w:val="single" w:sz="8" w:color="auto"/>
            </w:tcBorders>
            <w:gridSpan w:val="3"/>
          </w:tcPr>
          <w:p>
            <w:pPr>
              <w:jc w:val="center"/>
              <w:ind w:right="60"/>
              <w:spacing w:after="0" w:line="97" w:lineRule="exact"/>
              <w:rPr>
                <w:sz w:val="20"/>
                <w:szCs w:val="20"/>
                <w:color w:val="auto"/>
              </w:rPr>
            </w:pPr>
            <w:r>
              <w:rPr>
                <w:rFonts w:ascii="Times New Roman" w:cs="Times New Roman" w:eastAsia="Times New Roman" w:hAnsi="Times New Roman"/>
                <w:sz w:val="11"/>
                <w:szCs w:val="11"/>
                <w:b w:val="1"/>
                <w:bCs w:val="1"/>
                <w:color w:val="auto"/>
              </w:rPr>
              <w:t>Total Loans Accounted</w:t>
            </w: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Total Loans Held</w:t>
            </w: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Past Due and</w:t>
            </w:r>
          </w:p>
        </w:tc>
        <w:tc>
          <w:tcPr>
            <w:tcW w:w="8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02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for Under the Fair</w:t>
            </w:r>
          </w:p>
        </w:tc>
        <w:tc>
          <w:tcPr>
            <w:tcW w:w="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Due and Accruing</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Due and Accruing</w:t>
            </w:r>
          </w:p>
        </w:tc>
        <w:tc>
          <w:tcPr>
            <w:tcW w:w="8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Accruing</w:t>
            </w: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Non-accrual</w:t>
            </w: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2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Value Option</w:t>
            </w:r>
          </w:p>
        </w:tc>
        <w:tc>
          <w:tcPr>
            <w:tcW w:w="8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for Investment</w:t>
            </w:r>
          </w:p>
        </w:tc>
        <w:tc>
          <w:tcPr>
            <w:tcW w:w="0" w:type="dxa"/>
            <w:vAlign w:val="bottom"/>
          </w:tcPr>
          <w:p>
            <w:pPr>
              <w:spacing w:after="0"/>
              <w:rPr>
                <w:sz w:val="1"/>
                <w:szCs w:val="1"/>
                <w:color w:val="auto"/>
              </w:rPr>
            </w:pPr>
          </w:p>
        </w:tc>
      </w:tr>
      <w:tr>
        <w:trPr>
          <w:trHeight w:val="144"/>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At amortized cost</w:t>
            </w: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3,637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10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4,700</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159,218</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163,918</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163,918</w:t>
            </w:r>
          </w:p>
        </w:tc>
        <w:tc>
          <w:tcPr>
            <w:tcW w:w="0" w:type="dxa"/>
            <w:vAlign w:val="bottom"/>
          </w:tcPr>
          <w:p>
            <w:pPr>
              <w:spacing w:after="0"/>
              <w:rPr>
                <w:sz w:val="1"/>
                <w:szCs w:val="1"/>
                <w:color w:val="auto"/>
              </w:rPr>
            </w:pPr>
          </w:p>
        </w:tc>
      </w:tr>
      <w:tr>
        <w:trPr>
          <w:trHeight w:val="165"/>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CRE</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948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158,234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163,803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163,803</w:t>
            </w:r>
          </w:p>
        </w:tc>
        <w:tc>
          <w:tcPr>
            <w:tcW w:w="0" w:type="dxa"/>
            <w:vAlign w:val="bottom"/>
          </w:tcPr>
          <w:p>
            <w:pPr>
              <w:spacing w:after="0"/>
              <w:rPr>
                <w:sz w:val="1"/>
                <w:szCs w:val="1"/>
                <w:color w:val="auto"/>
              </w:rPr>
            </w:pPr>
          </w:p>
        </w:tc>
      </w:tr>
      <w:tr>
        <w:trPr>
          <w:trHeight w:val="153"/>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C&amp;I</w:t>
            </w: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8,191</w:t>
            </w:r>
          </w:p>
        </w:tc>
        <w:tc>
          <w:tcPr>
            <w:tcW w:w="0" w:type="dxa"/>
            <w:vAlign w:val="bottom"/>
          </w:tcPr>
          <w:p>
            <w:pPr>
              <w:spacing w:after="0"/>
              <w:rPr>
                <w:sz w:val="1"/>
                <w:szCs w:val="1"/>
                <w:color w:val="auto"/>
              </w:rPr>
            </w:pPr>
          </w:p>
        </w:tc>
      </w:tr>
      <w:tr>
        <w:trPr>
          <w:trHeight w:val="156"/>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at amortized cost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4,585</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10,269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325,643</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335,912</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335,912</w:t>
            </w:r>
          </w:p>
        </w:tc>
        <w:tc>
          <w:tcPr>
            <w:tcW w:w="0" w:type="dxa"/>
            <w:vAlign w:val="bottom"/>
          </w:tcPr>
          <w:p>
            <w:pPr>
              <w:spacing w:after="0"/>
              <w:rPr>
                <w:sz w:val="1"/>
                <w:szCs w:val="1"/>
                <w:color w:val="auto"/>
              </w:rPr>
            </w:pPr>
          </w:p>
        </w:tc>
      </w:tr>
      <w:tr>
        <w:trPr>
          <w:trHeight w:val="153"/>
        </w:trPr>
        <w:tc>
          <w:tcPr>
            <w:tcW w:w="2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Deferred fees and costs</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0" w:type="dxa"/>
            <w:vAlign w:val="bottom"/>
          </w:tcPr>
          <w:p>
            <w:pPr>
              <w:spacing w:after="0"/>
              <w:rPr>
                <w:sz w:val="1"/>
                <w:szCs w:val="1"/>
                <w:color w:val="auto"/>
              </w:rPr>
            </w:pPr>
          </w:p>
        </w:tc>
      </w:tr>
      <w:tr>
        <w:trPr>
          <w:trHeight w:val="92"/>
        </w:trPr>
        <w:tc>
          <w:tcPr>
            <w:tcW w:w="2040" w:type="dxa"/>
            <w:vAlign w:val="bottom"/>
            <w:gridSpan w:val="2"/>
            <w:shd w:val="clear" w:color="auto" w:fill="CCEEFF"/>
          </w:tcPr>
          <w:p>
            <w:pPr>
              <w:ind w:left="20"/>
              <w:spacing w:after="0" w:line="92" w:lineRule="exact"/>
              <w:rPr>
                <w:sz w:val="20"/>
                <w:szCs w:val="20"/>
                <w:color w:val="auto"/>
              </w:rPr>
            </w:pPr>
            <w:r>
              <w:rPr>
                <w:rFonts w:ascii="Times New Roman" w:cs="Times New Roman" w:eastAsia="Times New Roman" w:hAnsi="Times New Roman"/>
                <w:sz w:val="10"/>
                <w:szCs w:val="10"/>
                <w:color w:val="auto"/>
              </w:rPr>
              <w:t>Total, at amortized cost net of deferred</w:t>
            </w: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336,305</w:t>
            </w:r>
          </w:p>
        </w:tc>
        <w:tc>
          <w:tcPr>
            <w:tcW w:w="8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336,305</w:t>
            </w:r>
          </w:p>
        </w:tc>
        <w:tc>
          <w:tcPr>
            <w:tcW w:w="0" w:type="dxa"/>
            <w:vAlign w:val="bottom"/>
          </w:tcPr>
          <w:p>
            <w:pPr>
              <w:spacing w:after="0"/>
              <w:rPr>
                <w:sz w:val="1"/>
                <w:szCs w:val="1"/>
                <w:color w:val="auto"/>
              </w:rPr>
            </w:pPr>
          </w:p>
        </w:tc>
      </w:tr>
      <w:tr>
        <w:trPr>
          <w:trHeight w:val="159"/>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fees and costs</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Allowance for credit losses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(12,574)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(12,574)</w:t>
            </w:r>
          </w:p>
        </w:tc>
        <w:tc>
          <w:tcPr>
            <w:tcW w:w="0" w:type="dxa"/>
            <w:vAlign w:val="bottom"/>
          </w:tcPr>
          <w:p>
            <w:pPr>
              <w:spacing w:after="0"/>
              <w:rPr>
                <w:sz w:val="1"/>
                <w:szCs w:val="1"/>
                <w:color w:val="auto"/>
              </w:rPr>
            </w:pPr>
          </w:p>
        </w:tc>
      </w:tr>
      <w:tr>
        <w:trPr>
          <w:trHeight w:val="155"/>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Total, at amortized cost, net</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323,731</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323,731</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At fair value</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20,380</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16,075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48,174</w:t>
            </w:r>
          </w:p>
        </w:tc>
        <w:tc>
          <w:tcPr>
            <w:tcW w:w="10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84,629</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385,172</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469,801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469,801</w:t>
            </w:r>
          </w:p>
        </w:tc>
        <w:tc>
          <w:tcPr>
            <w:tcW w:w="0" w:type="dxa"/>
            <w:vAlign w:val="bottom"/>
          </w:tcPr>
          <w:p>
            <w:pPr>
              <w:spacing w:after="0"/>
              <w:rPr>
                <w:sz w:val="1"/>
                <w:szCs w:val="1"/>
                <w:color w:val="auto"/>
              </w:rPr>
            </w:pPr>
          </w:p>
        </w:tc>
      </w:tr>
      <w:tr>
        <w:trPr>
          <w:trHeight w:val="198"/>
        </w:trPr>
        <w:tc>
          <w:tcPr>
            <w:tcW w:w="1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 loans held for investment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24,965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16,386</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53,547</w:t>
            </w:r>
          </w:p>
        </w:tc>
        <w:tc>
          <w:tcPr>
            <w:tcW w:w="10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94,898</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710,815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323,731</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469,801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793,532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Quality Indicators</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Company uses internal loan reviews to assess the performance of individual loans. In addition, an independent review of the loan portfolio is performed annually by an external firm. The goal of the Company’s annual review of each borrower’s financial performance is to validate the adequacy of the risk grade assigned.</w:t>
      </w:r>
    </w:p>
    <w:p>
      <w:pPr>
        <w:spacing w:after="0" w:line="145"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The Company uses a grading system to rank the quality of each loan and lease. The grade is periodically evaluated and adjusted as performance dictates. Loan and lease grades 1 through 4 are passing grades and grade 5 is special mention. Collectively, grades 6 through 7 represent classified loans in Newtek Bank’s portfolio. The following guidelines govern the assignment of these risk grades:</w:t>
      </w:r>
    </w:p>
    <w:p>
      <w:pPr>
        <w:spacing w:after="0" w:line="157"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Exceptional (1 Rated): These loans are of the highest quality, with strong, well-documented sources of repayment. These loans and leases will typically have multiple demonstrated sources of repayment with no significant identifiable risk to collection, exhibit well-qualified management, and have liquid financial statements relative to both direct and indirect obligations.</w:t>
      </w:r>
    </w:p>
    <w:p>
      <w:pPr>
        <w:spacing w:after="0" w:line="14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Quality (2 Rated): These loans are of very high credit quality, with strong, well-documented sources of repayment. These loans and leases exhibit very strong, well defined primary and secondary sources of repayment, with no significant identifiable risk of collection and have internally generated cash flow that more than adequately covers current maturities of long-term debt.</w:t>
      </w:r>
    </w:p>
    <w:p>
      <w:pPr>
        <w:spacing w:after="0" w:line="1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Satisfactory (3 Rated): These loans exhibit satisfactory credit risk and have excellent sources of repayment, with no significant identifiable risk of collection. These loans and leases have documented historical cash flow that meets or exceeds required minimum Bank guidelines, or that can be supplemented with verifiable cash flow from other sources. They have adequate secondary sources to liquidate the debt, including combinations of liquidity, liquidation of collateral, or liquidation value to the net worth of the borrower or guarantor.</w:t>
      </w:r>
    </w:p>
    <w:p>
      <w:pPr>
        <w:spacing w:after="0" w:line="15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4"/>
          <w:szCs w:val="14"/>
          <w:color w:val="auto"/>
        </w:rPr>
        <w:t>Acceptable (4 Rated): These loans show signs of weakness in either adequate sources of repayment or collateral but have demonstrated mitigating factors that minimize the risk of delinquency or loss. These loans and leases may have unproved, insufficient or marginal primary sources of repayment that appear sufficient to service the debt at this time. Repayment weaknesses may be due to minor operational issues, financial trends, or reliance on projected performance. They may also contain marginal or unproven secondary sources to liquidate the debt, including combinations of liquidation of collateral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liquidation value to the net worth of the borrower or guarantor.</w:t>
      </w:r>
    </w:p>
    <w:p>
      <w:pPr>
        <w:spacing w:after="0" w:line="185"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Special mention (5 Rated): These loans show signs of weaknesses in either adequate sources of repayment or collateral. These loans and leases may contain underwriting guideline tolerances and/or exceptions with no mitigating factors; and/or instances where adverse economic conditions develop subsequent to origination that do not jeopardize liquidation of the debt but substantially increase the level of risk.</w:t>
      </w:r>
    </w:p>
    <w:p>
      <w:pPr>
        <w:spacing w:after="0" w:line="157"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4"/>
          <w:szCs w:val="14"/>
          <w:color w:val="auto"/>
        </w:rPr>
        <w:t>Substandard (6 Rated): Loans graded Substandard are inadequately protected by current sound net worth, paying capacity of the obligor, or pledged collateral. Loans and leases classified as Substandard must have a well-defined weakness or weaknesses that jeopardize the liquidation of the debt; are characterized by the distinct possibility that the Bank will sustain some loss if the deficiencies are not corrected. These loans and leases are consistently not meeting the repayment schedule.</w:t>
      </w:r>
    </w:p>
    <w:p>
      <w:pPr>
        <w:spacing w:after="0" w:line="15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Doubtful (7 Rated): Loans graded Doubtful have all the weaknesses inherent in those classified as Substandard, plus the added characteristic that the weaknesses make collection or liquidation in full on the basis of currently existing facts, conditions, and values highly questionable and improbable. The ability of the borrower to service the debt is extremely weak, overdue status is constant, the debt has been placed on non-accrual status, and no definite repayment schedule exists. Once the loss position is determined, the amount is charged off.</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Loss (8 Rated): Loss rated loans are considered uncollectible and of such little value that their continuance as assets is not warranted. This classification does not mean that the asset has absolutely no recovery or salvage value, but rather that it is not practical or desirable to defer writing off this credit even though partial recovery may be affected in the future.</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asset quality indicators by portfolio class and origination year as of March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Term Loans Held for Investment by Origination Year</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7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4"/>
                <w:szCs w:val="14"/>
                <w:color w:val="auto"/>
              </w:rPr>
            </w:pPr>
          </w:p>
        </w:tc>
        <w:tc>
          <w:tcPr>
            <w:tcW w:w="8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SBA 7(a) Unguaranteed, net of deferred fees and costs</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50,645</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154,273</w:t>
            </w:r>
          </w:p>
        </w:tc>
        <w:tc>
          <w:tcPr>
            <w:tcW w:w="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204,918</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9,120</w:t>
            </w: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 8</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51,416</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162,622</w:t>
            </w:r>
          </w:p>
        </w:tc>
        <w:tc>
          <w:tcPr>
            <w:tcW w:w="80" w:type="dxa"/>
            <w:vAlign w:val="bottom"/>
          </w:tcPr>
          <w:p>
            <w:pPr>
              <w:spacing w:after="0"/>
              <w:rPr>
                <w:sz w:val="14"/>
                <w:szCs w:val="14"/>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214,038</w:t>
            </w:r>
          </w:p>
        </w:tc>
      </w:tr>
      <w:tr>
        <w:trPr>
          <w:trHeight w:val="212"/>
        </w:trPr>
        <w:tc>
          <w:tcPr>
            <w:tcW w:w="3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SBA, at fair value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33,261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145,730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390,664</w:t>
            </w: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51,353</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 8</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r>
      <w:tr>
        <w:trPr>
          <w:trHeight w:val="171"/>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155,443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56,684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27,994</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169,221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442,928</w:t>
            </w:r>
          </w:p>
        </w:tc>
      </w:tr>
      <w:tr>
        <w:trPr>
          <w:trHeight w:val="212"/>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CRE</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10,101</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26,144</w:t>
            </w:r>
          </w:p>
        </w:tc>
        <w:tc>
          <w:tcPr>
            <w:tcW w:w="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33,519</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16,555</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74,091</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160,809</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9,060</w:t>
            </w: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26,144</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33,519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81,595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169,869</w:t>
            </w:r>
          </w:p>
        </w:tc>
      </w:tr>
      <w:tr>
        <w:trPr>
          <w:trHeight w:val="224"/>
        </w:trPr>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8,486</w:t>
            </w:r>
          </w:p>
        </w:tc>
        <w:tc>
          <w:tcPr>
            <w:tcW w:w="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13,404</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13,404</w:t>
            </w:r>
          </w:p>
        </w:tc>
      </w:tr>
      <w:tr>
        <w:trPr>
          <w:trHeight w:val="224"/>
        </w:trPr>
        <w:tc>
          <w:tcPr>
            <w:tcW w:w="35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19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64,418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230,838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188,962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73,925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29,263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252,833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840,239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832"/>
        </w:trPr>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87"/>
        </w:trPr>
        <w:tc>
          <w:tcPr>
            <w:tcW w:w="35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asset quality indicators by portfolio class and origination year as of December 31, 2023:</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5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1160" w:type="dxa"/>
            <w:vAlign w:val="bottom"/>
            <w:tcBorders>
              <w:left w:val="single" w:sz="8" w:color="CCEEFF"/>
            </w:tcBorders>
            <w:shd w:val="clear" w:color="auto" w:fill="000000"/>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r>
        <w:trPr>
          <w:trHeight w:val="18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SBA 7(a) Unguaranteed, net of deferred fees and costs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35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161,263</w:t>
            </w:r>
          </w:p>
        </w:tc>
      </w:tr>
      <w:tr>
        <w:trPr>
          <w:trHeight w:val="18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w:t>
            </w:r>
          </w:p>
        </w:tc>
      </w:tr>
      <w:tr>
        <w:trPr>
          <w:trHeight w:val="180"/>
        </w:trPr>
        <w:tc>
          <w:tcPr>
            <w:tcW w:w="35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 Grade 8</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540" w:type="dxa"/>
            <w:vAlign w:val="bottom"/>
            <w:tcBorders>
              <w:top w:val="single" w:sz="8" w:color="CCEEFF"/>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163,918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163,918</w:t>
            </w:r>
          </w:p>
        </w:tc>
      </w:tr>
      <w:tr>
        <w:trPr>
          <w:trHeight w:val="182"/>
        </w:trPr>
        <w:tc>
          <w:tcPr>
            <w:tcW w:w="1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35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SBA, at fair value</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151,929</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53,998</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27,870</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52,175</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94,751</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415,012</w:t>
            </w:r>
          </w:p>
        </w:tc>
      </w:tr>
      <w:tr>
        <w:trPr>
          <w:trHeight w:val="180"/>
        </w:trPr>
        <w:tc>
          <w:tcPr>
            <w:tcW w:w="35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53,878</w:t>
            </w:r>
          </w:p>
        </w:tc>
      </w:tr>
      <w:tr>
        <w:trPr>
          <w:trHeight w:val="18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5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 8</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r>
      <w:tr>
        <w:trPr>
          <w:trHeight w:val="171"/>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34,638</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161,046</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59,828</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29,149</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63,955</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121,185</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469,801</w:t>
            </w:r>
          </w:p>
        </w:tc>
      </w:tr>
      <w:tr>
        <w:trPr>
          <w:trHeight w:val="182"/>
        </w:trPr>
        <w:tc>
          <w:tcPr>
            <w:tcW w:w="1160" w:type="dxa"/>
            <w:vAlign w:val="bottom"/>
            <w:tcBorders>
              <w:left w:val="single" w:sz="8" w:color="CCEEFF"/>
            </w:tcBorders>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CRE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35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49,771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155,040</w:t>
            </w:r>
          </w:p>
        </w:tc>
      </w:tr>
      <w:tr>
        <w:trPr>
          <w:trHeight w:val="18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8,763</w:t>
            </w:r>
          </w:p>
        </w:tc>
      </w:tr>
      <w:tr>
        <w:trPr>
          <w:trHeight w:val="180"/>
        </w:trPr>
        <w:tc>
          <w:tcPr>
            <w:tcW w:w="35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53,567</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28,224</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15,538</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54,392</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163,803</w:t>
            </w:r>
          </w:p>
        </w:tc>
      </w:tr>
      <w:tr>
        <w:trPr>
          <w:trHeight w:val="182"/>
        </w:trPr>
        <w:tc>
          <w:tcPr>
            <w:tcW w:w="1160" w:type="dxa"/>
            <w:vAlign w:val="bottom"/>
            <w:tcBorders>
              <w:left w:val="single" w:sz="8" w:color="CCEEFF"/>
            </w:tcBorders>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35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w:t>
            </w:r>
          </w:p>
        </w:tc>
      </w:tr>
      <w:tr>
        <w:trPr>
          <w:trHeight w:val="18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5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6,174</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8,191</w:t>
            </w:r>
          </w:p>
        </w:tc>
      </w:tr>
      <w:tr>
        <w:trPr>
          <w:trHeight w:val="182"/>
        </w:trPr>
        <w:tc>
          <w:tcPr>
            <w:tcW w:w="1160" w:type="dxa"/>
            <w:vAlign w:val="bottom"/>
            <w:tcBorders>
              <w:left w:val="single" w:sz="8" w:color="CCEEFF"/>
            </w:tcBorders>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r>
      <w:tr>
        <w:trPr>
          <w:trHeight w:val="171"/>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258,297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189,270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75,366</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30,059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75,127</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177,594</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805,713</w:t>
            </w:r>
          </w:p>
        </w:tc>
      </w:tr>
      <w:tr>
        <w:trPr>
          <w:trHeight w:val="20"/>
        </w:trPr>
        <w:tc>
          <w:tcPr>
            <w:tcW w:w="1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2—SIGNIFICANT ACCOUNTING POLICIES for a description of the methodologies used to estimate the ACL.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details activity in the ACL for the three months ended March 31, 2024 and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71"/>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SBA</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26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Adjustment to Beginning Balance due to</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91"/>
        </w:trPr>
        <w:tc>
          <w:tcPr>
            <w:tcW w:w="2640" w:type="dxa"/>
            <w:vAlign w:val="bottom"/>
          </w:tcPr>
          <w:p>
            <w:pPr>
              <w:ind w:left="20"/>
              <w:spacing w:after="0" w:line="191" w:lineRule="exact"/>
              <w:rPr>
                <w:sz w:val="20"/>
                <w:szCs w:val="20"/>
                <w:color w:val="auto"/>
              </w:rPr>
            </w:pPr>
            <w:r>
              <w:rPr>
                <w:rFonts w:ascii="Times New Roman" w:cs="Times New Roman" w:eastAsia="Times New Roman" w:hAnsi="Times New Roman"/>
                <w:sz w:val="14"/>
                <w:szCs w:val="14"/>
                <w:color w:val="auto"/>
              </w:rPr>
              <w:t>PCD marks</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r>
      <w:tr>
        <w:trPr>
          <w:trHeight w:val="18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 offs</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Provision for Credit Losses</w:t>
            </w:r>
            <w:r>
              <w:rPr>
                <w:rFonts w:ascii="Times New Roman" w:cs="Times New Roman" w:eastAsia="Times New Roman" w:hAnsi="Times New Roman"/>
                <w:sz w:val="18"/>
                <w:szCs w:val="18"/>
                <w:color w:val="auto"/>
                <w:vertAlign w:val="superscript"/>
              </w:rPr>
              <w:t>2</w:t>
            </w: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r>
      <w:tr>
        <w:trPr>
          <w:trHeight w:val="171"/>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2,189</w:t>
            </w:r>
          </w:p>
        </w:tc>
      </w:tr>
      <w:tr>
        <w:trPr>
          <w:trHeight w:val="20"/>
        </w:trPr>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Given the January 6, 2023 transition to a financial holding company, the Company established an ACL representing the purchased credit deteriorated loans acquired through the NBNYC</w:t>
      </w:r>
    </w:p>
    <w:p>
      <w:pPr>
        <w:spacing w:after="0" w:line="145" w:lineRule="exact"/>
        <w:rPr>
          <w:sz w:val="20"/>
          <w:szCs w:val="20"/>
          <w:color w:val="auto"/>
        </w:rPr>
      </w:pPr>
    </w:p>
    <w:p>
      <w:pPr>
        <w:ind w:left="60" w:right="480" w:hanging="55"/>
        <w:spacing w:after="0" w:line="223" w:lineRule="auto"/>
        <w:tabs>
          <w:tab w:leader="none" w:pos="65"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Excludes $93 thousand of the Provision for Credit Losses relating to unfunded commitments for the three months ended March 31, 2024, which is recorded within accounts payable, accrued expenses and other liabilities in accordance with ASC 326.</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The Company identified twelve and five loans as of March 31, 2024 and December 31, 2023, respectively, that did not share similar risk characteristics with the loan segments identified in NOTE 2 —SIGNIFICANT ACCOUNTING POLICIES and evaluated them for impairment individually.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individually evaluated and collectively evaluated ACL by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7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w:t>
            </w:r>
          </w:p>
        </w:tc>
        <w:tc>
          <w:tcPr>
            <w:tcW w:w="22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tcPr>
          <w:p>
            <w:pPr>
              <w:spacing w:after="0"/>
              <w:rPr>
                <w:sz w:val="14"/>
                <w:szCs w:val="14"/>
                <w:color w:val="auto"/>
              </w:rPr>
            </w:pPr>
          </w:p>
        </w:tc>
        <w:tc>
          <w:tcPr>
            <w:tcW w:w="7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0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Individually Evaluated</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80"/>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Collectively Evaluated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13,840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12,472</w:t>
            </w:r>
          </w:p>
        </w:tc>
      </w:tr>
      <w:tr>
        <w:trPr>
          <w:trHeight w:val="196"/>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recorded investment in loans individually evaluated and collectively evaluated by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7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Recorded Investment</w:t>
            </w:r>
          </w:p>
        </w:tc>
        <w:tc>
          <w:tcPr>
            <w:tcW w:w="20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tcPr>
          <w:p>
            <w:pPr>
              <w:spacing w:after="0"/>
              <w:rPr>
                <w:sz w:val="14"/>
                <w:szCs w:val="14"/>
                <w:color w:val="auto"/>
              </w:rPr>
            </w:pPr>
          </w:p>
        </w:tc>
        <w:tc>
          <w:tcPr>
            <w:tcW w:w="7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0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Individually Evaluated</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5,998</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w:t>
            </w:r>
          </w:p>
        </w:tc>
      </w:tr>
      <w:tr>
        <w:trPr>
          <w:trHeight w:val="180"/>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Collectively Evaluated</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163,871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212,157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389,432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159,182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163,191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330,564</w:t>
            </w:r>
          </w:p>
        </w:tc>
      </w:tr>
      <w:tr>
        <w:trPr>
          <w:trHeight w:val="196"/>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169,869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214,038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397,311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163,918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335,912</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amortized cost basis of loans on nonaccrual status and the individually assessed ACL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Nonaccrual without</w:t>
            </w: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Nonaccrual with</w:t>
            </w:r>
          </w:p>
        </w:tc>
        <w:tc>
          <w:tcPr>
            <w:tcW w:w="320" w:type="dxa"/>
            <w:vAlign w:val="bottom"/>
          </w:tcPr>
          <w:p>
            <w:pPr>
              <w:spacing w:after="0"/>
              <w:rPr>
                <w:sz w:val="11"/>
                <w:szCs w:val="11"/>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ACL</w:t>
            </w:r>
          </w:p>
        </w:tc>
        <w:tc>
          <w:tcPr>
            <w:tcW w:w="100" w:type="dxa"/>
            <w:vAlign w:val="bottom"/>
          </w:tcPr>
          <w:p>
            <w:pPr>
              <w:spacing w:after="0"/>
              <w:rPr>
                <w:sz w:val="11"/>
                <w:szCs w:val="11"/>
                <w:color w:val="auto"/>
              </w:rPr>
            </w:pPr>
          </w:p>
        </w:tc>
        <w:tc>
          <w:tcPr>
            <w:tcW w:w="140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Nonaccrual without</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Nonaccrual with</w:t>
            </w:r>
          </w:p>
        </w:tc>
        <w:tc>
          <w:tcPr>
            <w:tcW w:w="320" w:type="dxa"/>
            <w:vAlign w:val="bottom"/>
          </w:tcPr>
          <w:p>
            <w:pPr>
              <w:spacing w:after="0"/>
              <w:rPr>
                <w:sz w:val="11"/>
                <w:szCs w:val="11"/>
                <w:color w:val="auto"/>
              </w:rPr>
            </w:pPr>
          </w:p>
        </w:tc>
        <w:tc>
          <w:tcPr>
            <w:tcW w:w="1100" w:type="dxa"/>
            <w:vAlign w:val="bottom"/>
            <w:vMerge w:val="restart"/>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ACL</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8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unpaid contractual principal balance and recorded investment for the loans individually assessed is shown in the table below by type: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9"/>
              </w:rPr>
              <w:t>Real Estate</w:t>
            </w:r>
          </w:p>
        </w:tc>
        <w:tc>
          <w:tcPr>
            <w:tcW w:w="16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22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ACL</w:t>
            </w: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Real Estate</w:t>
            </w:r>
          </w:p>
        </w:tc>
        <w:tc>
          <w:tcPr>
            <w:tcW w:w="16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24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80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ACL</w:t>
            </w:r>
          </w:p>
        </w:tc>
        <w:tc>
          <w:tcPr>
            <w:tcW w:w="0" w:type="dxa"/>
            <w:vAlign w:val="bottom"/>
          </w:tcPr>
          <w:p>
            <w:pPr>
              <w:spacing w:after="0"/>
              <w:rPr>
                <w:sz w:val="1"/>
                <w:szCs w:val="1"/>
                <w:color w:val="auto"/>
              </w:rPr>
            </w:pPr>
          </w:p>
        </w:tc>
      </w:tr>
      <w:tr>
        <w:trPr>
          <w:trHeight w:val="191"/>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80"/>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2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6,623</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4"/>
          <w:szCs w:val="14"/>
          <w:color w:val="auto"/>
        </w:rPr>
        <w:t>Accrued interest on loans totaled $13.7 million as of March 31, 2024, and is excluded from the estimate of credit losses. The Company writes off accrued interest receivable by reversing interest income and typically occurs upon loans becoming 90 to 120 days past due.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Modifications Made to Borrowers Experiencing Financial Difficulty</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 did not make any loan modifications to borrowers experiencing financial difficulty that would require disclosure, such as principal forgiveness, term extension, or interest rate reductions during the three months ended March 31, 2024 and 2023. Additionally there were no troubled debt restructurings under legacy U.S. GAAP during the three months ended March 31, 2024 and 2023.</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Loans held for sale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5"/>
          </w:tcPr>
          <w:p>
            <w:pPr>
              <w:ind w:left="54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20" w:type="dxa"/>
            <w:vAlign w:val="bottom"/>
          </w:tcPr>
          <w:p>
            <w:pPr>
              <w:spacing w:after="0"/>
              <w:rPr>
                <w:sz w:val="13"/>
                <w:szCs w:val="13"/>
                <w:color w:val="auto"/>
              </w:rPr>
            </w:pPr>
          </w:p>
        </w:tc>
        <w:tc>
          <w:tcPr>
            <w:tcW w:w="2060" w:type="dxa"/>
            <w:vAlign w:val="bottom"/>
            <w:gridSpan w:val="4"/>
          </w:tcPr>
          <w:p>
            <w:pPr>
              <w:jc w:val="right"/>
              <w:ind w:right="609"/>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80"/>
        </w:trPr>
        <w:tc>
          <w:tcPr>
            <w:tcW w:w="66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At FV</w:t>
            </w: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At LCM</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At FV</w:t>
            </w: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At LCM</w:t>
            </w:r>
          </w:p>
        </w:tc>
      </w:tr>
      <w:tr>
        <w:trPr>
          <w:trHeight w:val="171"/>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 First Lien</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83,571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66,387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38,787</w:t>
            </w:r>
          </w:p>
        </w:tc>
      </w:tr>
      <w:tr>
        <w:trPr>
          <w:trHeight w:val="18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 Second Lien</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5,741</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7(a) Partials</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11,237</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74,978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187,104</w:t>
            </w: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59,021</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55,829</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r>
      <w:tr>
        <w:trPr>
          <w:trHeight w:val="171"/>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 net of deferred fees and costs</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187,104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59,880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56,607</w:t>
            </w: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6—TRANSACTIONS WITH AFFILIATED COMPANIES AND RELATED PARTY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Due to/from affiliated companies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amounts due to and due from affiliated companies as of March 31, 2024 and December 31,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1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Due to affiliated companies</w:t>
            </w:r>
            <w:r>
              <w:rPr>
                <w:rFonts w:ascii="Times New Roman" w:cs="Times New Roman" w:eastAsia="Times New Roman" w:hAnsi="Times New Roman"/>
                <w:sz w:val="18"/>
                <w:szCs w:val="18"/>
                <w:color w:val="auto"/>
                <w:vertAlign w:val="superscript"/>
              </w:rPr>
              <w:t>1</w:t>
            </w:r>
          </w:p>
        </w:tc>
        <w:tc>
          <w:tcPr>
            <w:tcW w:w="1620" w:type="dxa"/>
            <w:vAlign w:val="bottom"/>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180"/>
        </w:trPr>
        <w:tc>
          <w:tcPr>
            <w:tcW w:w="718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Due from affiliated companies</w:t>
            </w:r>
            <w:r>
              <w:rPr>
                <w:rFonts w:ascii="Times New Roman" w:cs="Times New Roman" w:eastAsia="Times New Roman" w:hAnsi="Times New Roman"/>
                <w:sz w:val="18"/>
                <w:szCs w:val="18"/>
                <w:color w:val="auto"/>
                <w:vertAlign w:val="superscript"/>
              </w:rPr>
              <w:t>2</w:t>
            </w:r>
          </w:p>
        </w:tc>
        <w:tc>
          <w:tcPr>
            <w:tcW w:w="16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6"/>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due to/due from affiliated companies</w:t>
            </w:r>
          </w:p>
        </w:tc>
        <w:tc>
          <w:tcPr>
            <w:tcW w:w="1620" w:type="dxa"/>
            <w:vAlign w:val="bottom"/>
            <w:tcBorders>
              <w:bottom w:val="single" w:sz="8" w:color="auto"/>
            </w:tcBorders>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Other Assets</w:t>
      </w:r>
    </w:p>
    <w:p>
      <w:pPr>
        <w:ind w:left="80" w:hanging="75"/>
        <w:spacing w:after="0" w:line="196" w:lineRule="auto"/>
        <w:tabs>
          <w:tab w:leader="none" w:pos="8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Accounts payable, accrued expenses, and other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joint ventures and non-control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4—INVESTMENTS for a schedule of transactions with our joint ventures and non-control equity investments.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income earned from our joint ventures for the periods ended March 31, 2024 and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40" w:type="dxa"/>
            <w:vAlign w:val="bottom"/>
            <w:tcBorders>
              <w:bottom w:val="single" w:sz="8" w:color="auto"/>
            </w:tcBorders>
          </w:tcPr>
          <w:p>
            <w:pPr>
              <w:spacing w:after="0"/>
              <w:rPr>
                <w:sz w:val="16"/>
                <w:szCs w:val="16"/>
                <w:color w:val="auto"/>
              </w:rPr>
            </w:pPr>
          </w:p>
        </w:tc>
      </w:tr>
      <w:tr>
        <w:trPr>
          <w:trHeight w:val="171"/>
        </w:trPr>
        <w:tc>
          <w:tcPr>
            <w:tcW w:w="68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income</w:t>
            </w:r>
          </w:p>
        </w:tc>
        <w:tc>
          <w:tcPr>
            <w:tcW w:w="1240" w:type="dxa"/>
            <w:vAlign w:val="bottom"/>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Newtek Bank Deposits</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Newtek Bank holds FDIC insured deposits from certain of the Company’s officers, directors and their associated companies. The following table summarizes the amounts due of deposits from related parties and their affiliated companies as of March 31, 2024 and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 insured deposits</w:t>
            </w:r>
          </w:p>
        </w:tc>
        <w:tc>
          <w:tcPr>
            <w:tcW w:w="1680" w:type="dxa"/>
            <w:vAlign w:val="bottom"/>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w:t>
            </w:r>
          </w:p>
        </w:tc>
      </w:tr>
      <w:tr>
        <w:trPr>
          <w:trHeight w:val="18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Non-FDIC insured deposits</w:t>
            </w:r>
          </w:p>
        </w:tc>
        <w:tc>
          <w:tcPr>
            <w:tcW w:w="16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 from related parties and their affiliated companies</w:t>
            </w:r>
          </w:p>
        </w:tc>
        <w:tc>
          <w:tcPr>
            <w:tcW w:w="1680" w:type="dxa"/>
            <w:vAlign w:val="bottom"/>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7—SERVICING ASSETS:</w:t>
      </w:r>
    </w:p>
    <w:p>
      <w:pPr>
        <w:spacing w:after="0" w:line="181"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Servicing assets held by NSBF and Newtek Bank, including Newtek Bank’s subsidiary SBL, are measured at fair value and lower of cost or market, respectively. The Company earns servicing fees from the guaranteed portions of SBA 7(a) loans it originates and sells. As of March 31, 2024 the Company services $1.9 billion in SBA 7(a) loans and $88.6 million in ALP loans. Refer to NOTE 9 —FAIR VALUE MEASUREMENTS for a rollforward of servicing assets at fair value.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summarizes the fair value and valuation assumptions related to servicing assets at March 31, 2024 and December 31,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Borders>
              <w:bottom w:val="single" w:sz="8" w:color="auto"/>
            </w:tcBorders>
          </w:tcPr>
          <w:p>
            <w:pPr>
              <w:spacing w:after="0"/>
              <w:rPr>
                <w:sz w:val="16"/>
                <w:szCs w:val="16"/>
                <w:color w:val="auto"/>
              </w:rPr>
            </w:pPr>
          </w:p>
        </w:tc>
      </w:tr>
      <w:tr>
        <w:trPr>
          <w:trHeight w:val="141"/>
        </w:trPr>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3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00" w:type="dxa"/>
            <w:vAlign w:val="bottom"/>
            <w:tcBorders>
              <w:bottom w:val="single" w:sz="8" w:color="auto"/>
            </w:tcBorders>
          </w:tcPr>
          <w:p>
            <w:pPr>
              <w:spacing w:after="0"/>
              <w:rPr>
                <w:sz w:val="12"/>
                <w:szCs w:val="12"/>
                <w:color w:val="auto"/>
              </w:rPr>
            </w:pPr>
          </w:p>
        </w:tc>
      </w:tr>
      <w:tr>
        <w:trPr>
          <w:trHeight w:val="154"/>
        </w:trPr>
        <w:tc>
          <w:tcPr>
            <w:tcW w:w="2800" w:type="dxa"/>
            <w:vAlign w:val="bottom"/>
            <w:gridSpan w:val="2"/>
          </w:tcPr>
          <w:p>
            <w:pPr>
              <w:ind w:left="88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60" w:type="dxa"/>
            <w:vAlign w:val="bottom"/>
          </w:tcPr>
          <w:p>
            <w:pPr>
              <w:spacing w:after="0"/>
              <w:rPr>
                <w:sz w:val="13"/>
                <w:szCs w:val="13"/>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00" w:type="dxa"/>
            <w:vAlign w:val="bottom"/>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88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38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97"/>
        </w:trPr>
        <w:tc>
          <w:tcPr>
            <w:tcW w:w="2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18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Servicing Assets at FV:</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8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Discount factor</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13.50 %</w:t>
            </w:r>
          </w:p>
        </w:tc>
      </w:tr>
      <w:tr>
        <w:trPr>
          <w:trHeight w:val="18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19.00 %</w:t>
            </w:r>
          </w:p>
        </w:tc>
      </w:tr>
      <w:tr>
        <w:trPr>
          <w:trHeight w:val="180"/>
        </w:trPr>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Assets at LCM:</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10,389</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28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Discount factor</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r>
      <w:tr>
        <w:trPr>
          <w:trHeight w:val="18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19.15 %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r>
      <w:tr>
        <w:trPr>
          <w:trHeight w:val="180"/>
        </w:trPr>
        <w:tc>
          <w:tcPr>
            <w:tcW w:w="2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1"/>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41,172</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39,725</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Determined based on risk spreads and observable secondary market transactions.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Servicing fee income earned for the three months ended March 31, 2024 and 2023 was $5.4 million and $4.4 million,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8—GOODWILL AND INTANGIBLE ASSETS:</w:t>
            </w:r>
          </w:p>
        </w:tc>
        <w:tc>
          <w:tcPr>
            <w:tcW w:w="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61"/>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61"/>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changes in the carrying amount of goodwill:</w:t>
            </w: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3"/>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20" w:type="dxa"/>
            <w:vAlign w:val="bottom"/>
          </w:tcPr>
          <w:p>
            <w:pPr>
              <w:spacing w:after="0"/>
              <w:rPr>
                <w:sz w:val="14"/>
                <w:szCs w:val="14"/>
                <w:color w:val="auto"/>
              </w:rPr>
            </w:pPr>
          </w:p>
        </w:tc>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Banking</w:t>
            </w: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180"/>
        </w:trPr>
        <w:tc>
          <w:tcPr>
            <w:tcW w:w="20" w:type="dxa"/>
            <w:vAlign w:val="bottom"/>
          </w:tcPr>
          <w:p>
            <w:pPr>
              <w:spacing w:after="0"/>
              <w:rPr>
                <w:sz w:val="15"/>
                <w:szCs w:val="15"/>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5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16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r>
      <w:tr>
        <w:trPr>
          <w:trHeight w:val="180"/>
        </w:trPr>
        <w:tc>
          <w:tcPr>
            <w:tcW w:w="20" w:type="dxa"/>
            <w:vAlign w:val="bottom"/>
          </w:tcPr>
          <w:p>
            <w:pPr>
              <w:spacing w:after="0"/>
              <w:rPr>
                <w:sz w:val="15"/>
                <w:szCs w:val="15"/>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5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1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w:t>
            </w:r>
          </w:p>
        </w:tc>
      </w:tr>
      <w:tr>
        <w:trPr>
          <w:trHeight w:val="171"/>
        </w:trPr>
        <w:tc>
          <w:tcPr>
            <w:tcW w:w="20" w:type="dxa"/>
            <w:vAlign w:val="bottom"/>
          </w:tcPr>
          <w:p>
            <w:pPr>
              <w:spacing w:after="0"/>
              <w:rPr>
                <w:sz w:val="14"/>
                <w:szCs w:val="14"/>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goodwill</w:t>
            </w: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25,885</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25,885</w:t>
            </w: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Banking:</w:t>
      </w:r>
    </w:p>
    <w:p>
      <w:pPr>
        <w:spacing w:after="0" w:line="19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4"/>
          <w:szCs w:val="14"/>
          <w:color w:val="auto"/>
        </w:rPr>
        <w:t>In connection with the Acquisition, the Company recorded $0.3 million of goodwill, which represents the excess of the purchase price over the fair value of the net assets acquired. Goodwill is an asset representing the acquired future economic benefits such as synergies that are not individually identified and separately recognized (i.e., it is measured as a residual). The amount of goodwill recognized is also impacted by measurement differences resulting from certain assets and liabilities not being recorded at fair value (e.g., income taxes, employee benefits). In accordance with ASC 805-30-30-1, the measurement of goodwill occurs on the Acquisition Date and, other than qualifying measurement period adjustments, no adjustments are made to goodwill recognized as of the Acquisition Date until and unless it becomes impaired.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Payments and Technology: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goodwill in the payments and technology segments was generated from acquisitions prior to 2022 by the legal entities within those segments.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61"/>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intangible assets: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3"/>
        </w:trPr>
        <w:tc>
          <w:tcPr>
            <w:tcW w:w="3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35"/>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rPr>
              <w:t>Gross carrying</w:t>
            </w:r>
          </w:p>
        </w:tc>
        <w:tc>
          <w:tcPr>
            <w:tcW w:w="100" w:type="dxa"/>
            <w:vAlign w:val="bottom"/>
          </w:tcPr>
          <w:p>
            <w:pPr>
              <w:spacing w:after="0"/>
              <w:rPr>
                <w:sz w:val="11"/>
                <w:szCs w:val="11"/>
                <w:color w:val="auto"/>
              </w:rPr>
            </w:pPr>
          </w:p>
        </w:tc>
        <w:tc>
          <w:tcPr>
            <w:tcW w:w="142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1"/>
                <w:szCs w:val="11"/>
                <w:color w:val="auto"/>
              </w:rPr>
            </w:pPr>
          </w:p>
        </w:tc>
        <w:tc>
          <w:tcPr>
            <w:tcW w:w="100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4"/>
                <w:szCs w:val="14"/>
                <w:color w:val="auto"/>
              </w:rPr>
              <w:t>Net Carrying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rPr>
              <w:t>Gross carrying</w:t>
            </w:r>
          </w:p>
        </w:tc>
        <w:tc>
          <w:tcPr>
            <w:tcW w:w="200" w:type="dxa"/>
            <w:vAlign w:val="bottom"/>
          </w:tcPr>
          <w:p>
            <w:pPr>
              <w:spacing w:after="0"/>
              <w:rPr>
                <w:sz w:val="11"/>
                <w:szCs w:val="11"/>
                <w:color w:val="auto"/>
              </w:rPr>
            </w:pPr>
          </w:p>
        </w:tc>
        <w:tc>
          <w:tcPr>
            <w:tcW w:w="138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1"/>
                <w:szCs w:val="11"/>
                <w:color w:val="auto"/>
              </w:rPr>
            </w:pPr>
          </w:p>
        </w:tc>
        <w:tc>
          <w:tcPr>
            <w:tcW w:w="100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4"/>
                <w:szCs w:val="14"/>
                <w:color w:val="auto"/>
              </w:rPr>
              <w:t>Net Carrying</w:t>
            </w:r>
          </w:p>
        </w:tc>
      </w:tr>
      <w:tr>
        <w:trPr>
          <w:trHeight w:val="184"/>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amount</w:t>
            </w:r>
          </w:p>
        </w:tc>
        <w:tc>
          <w:tcPr>
            <w:tcW w:w="1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tcPr>
          <w:p>
            <w:pPr>
              <w:spacing w:after="0"/>
              <w:rPr>
                <w:sz w:val="16"/>
                <w:szCs w:val="16"/>
                <w:color w:val="auto"/>
              </w:rPr>
            </w:pPr>
          </w:p>
        </w:tc>
        <w:tc>
          <w:tcPr>
            <w:tcW w:w="10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amount</w:t>
            </w:r>
          </w:p>
        </w:tc>
      </w:tr>
      <w:tr>
        <w:trPr>
          <w:trHeight w:val="17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Core Deposits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Customer Lists</w:t>
            </w: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Customer Lists</w:t>
            </w: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w:t>
            </w:r>
          </w:p>
        </w:tc>
      </w:tr>
      <w:tr>
        <w:trPr>
          <w:trHeight w:val="17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7,565</w:t>
            </w:r>
          </w:p>
        </w:tc>
        <w:tc>
          <w:tcPr>
            <w:tcW w:w="1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(3,506)</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4,059</w:t>
            </w:r>
          </w:p>
        </w:tc>
        <w:tc>
          <w:tcPr>
            <w:tcW w:w="1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16,140</w:t>
            </w:r>
          </w:p>
        </w:tc>
        <w:tc>
          <w:tcPr>
            <w:tcW w:w="16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(11,905)</w:t>
            </w:r>
          </w:p>
        </w:tc>
        <w:tc>
          <w:tcPr>
            <w:tcW w:w="1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4,235</w:t>
            </w: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As of March 31, 2024 and December 31, 2023, the Company had $3.3 million and $3.4 million, respectively, of intangible assets relating to customer lists. In addition, The Company had $0.8 million and $0.8 million on core deposits at Newtek Bank as of March 31, 2024 and December 31, 2023, respectively.</w:t>
      </w:r>
    </w:p>
    <w:p>
      <w:pPr>
        <w:spacing w:after="0" w:line="14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Core Deposit Intangible. </w:t>
      </w:r>
      <w:r>
        <w:rPr>
          <w:rFonts w:ascii="Times New Roman" w:cs="Times New Roman" w:eastAsia="Times New Roman" w:hAnsi="Times New Roman"/>
          <w:sz w:val="14"/>
          <w:szCs w:val="14"/>
          <w:color w:val="auto"/>
        </w:rPr>
        <w:t>CDI is a measure of the value of non-interest-bearing and interest-bearing checking accounts, savings accounts, and money market accounts that are acquired in a business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spacing w:after="0" w:line="159" w:lineRule="exact"/>
        <w:rPr>
          <w:sz w:val="20"/>
          <w:szCs w:val="20"/>
          <w:color w:val="auto"/>
        </w:rPr>
      </w:pPr>
    </w:p>
    <w:p>
      <w:pPr>
        <w:ind w:right="4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Customer Lists. </w:t>
      </w:r>
      <w:r>
        <w:rPr>
          <w:rFonts w:ascii="Times New Roman" w:cs="Times New Roman" w:eastAsia="Times New Roman" w:hAnsi="Times New Roman"/>
          <w:sz w:val="14"/>
          <w:szCs w:val="14"/>
          <w:color w:val="auto"/>
        </w:rPr>
        <w:t>The intangible asset for customer lists are within the technology segment and existed prior to the consolidation of the technology segment into NewtekOne following the 2023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Acquisition. The payments customer list has been disposed of.</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Amortization expense for the three months ended March 31, 2024 and 2023 was $0.2 million and $0.4 million, respectively, and is included in Depreciation and amortization on the Consolidated Statements of Income.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40" w:type="dxa"/>
            <w:vAlign w:val="bottom"/>
          </w:tcPr>
          <w:p>
            <w:pPr>
              <w:spacing w:after="0"/>
              <w:rPr>
                <w:sz w:val="20"/>
                <w:szCs w:val="20"/>
                <w:color w:val="auto"/>
              </w:rPr>
            </w:pPr>
            <w:r>
              <w:rPr>
                <w:rFonts w:ascii="Times New Roman" w:cs="Times New Roman" w:eastAsia="Times New Roman" w:hAnsi="Times New Roman"/>
                <w:sz w:val="14"/>
                <w:szCs w:val="14"/>
                <w:color w:val="auto"/>
              </w:rPr>
              <w:t>The remaining estimated aggregate future amortization expense for intangible assets as of March 31, 2024 is as follows:</w:t>
            </w:r>
          </w:p>
        </w:tc>
        <w:tc>
          <w:tcPr>
            <w:tcW w:w="36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93"/>
        </w:trPr>
        <w:tc>
          <w:tcPr>
            <w:tcW w:w="86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17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r>
      <w:tr>
        <w:trPr>
          <w:trHeight w:val="180"/>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r>
      <w:tr>
        <w:trPr>
          <w:trHeight w:val="18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60" w:type="dxa"/>
            <w:vAlign w:val="bottom"/>
            <w:shd w:val="clear" w:color="auto" w:fill="CCEEFF"/>
          </w:tcPr>
          <w:p>
            <w:pPr>
              <w:spacing w:after="0"/>
              <w:rPr>
                <w:sz w:val="15"/>
                <w:szCs w:val="15"/>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180"/>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6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r>
      <w:tr>
        <w:trPr>
          <w:trHeight w:val="18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60" w:type="dxa"/>
            <w:vAlign w:val="bottom"/>
            <w:shd w:val="clear" w:color="auto" w:fill="CCEEFF"/>
          </w:tcPr>
          <w:p>
            <w:pPr>
              <w:spacing w:after="0"/>
              <w:rPr>
                <w:sz w:val="15"/>
                <w:szCs w:val="15"/>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r>
      <w:tr>
        <w:trPr>
          <w:trHeight w:val="18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1,216</w:t>
            </w:r>
          </w:p>
        </w:tc>
      </w:tr>
      <w:tr>
        <w:trPr>
          <w:trHeight w:val="17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9—FAIR VALUE MEASUREMENTS: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tables present fair value measurements of certain of the Company’s assets and liabilities measured at fair value and indicates the fair value hierarchy of the valuation techniques utilized by the Company to determine such fair values as of March 31, 2024 and December 31, 2023:</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0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1"/>
                <w:szCs w:val="11"/>
                <w:b w:val="1"/>
                <w:bCs w:val="1"/>
                <w:color w:val="auto"/>
              </w:rPr>
              <w:t>Fair Value Measurements at March 31, 2024</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Pr>
          <w:p>
            <w:pPr>
              <w:spacing w:after="0"/>
              <w:rPr>
                <w:sz w:val="13"/>
                <w:szCs w:val="13"/>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6"/>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Treasury notes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25,232</w:t>
            </w:r>
          </w:p>
        </w:tc>
        <w:tc>
          <w:tcPr>
            <w:tcW w:w="3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Government agency debentures</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187,104</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442,928</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real estate owned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Non-controlled/affiliate investments</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assets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27,601</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48,247</w:t>
            </w:r>
          </w:p>
        </w:tc>
        <w:tc>
          <w:tcPr>
            <w:tcW w:w="0" w:type="dxa"/>
            <w:vAlign w:val="bottom"/>
          </w:tcPr>
          <w:p>
            <w:pPr>
              <w:spacing w:after="0"/>
              <w:rPr>
                <w:sz w:val="1"/>
                <w:szCs w:val="1"/>
                <w:color w:val="auto"/>
              </w:rPr>
            </w:pPr>
          </w:p>
        </w:tc>
      </w:tr>
      <w:tr>
        <w:trPr>
          <w:trHeight w:val="196"/>
        </w:trPr>
        <w:tc>
          <w:tcPr>
            <w:tcW w:w="70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737,173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709,046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Equity warrants</w:t>
            </w:r>
            <w:r>
              <w:rPr>
                <w:rFonts w:ascii="Times New Roman" w:cs="Times New Roman" w:eastAsia="Times New Roman" w:hAnsi="Times New Roman"/>
                <w:sz w:val="18"/>
                <w:szCs w:val="18"/>
                <w:color w:val="auto"/>
                <w:vertAlign w:val="superscript"/>
              </w:rPr>
              <w:t>3</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3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Derivative instruments</w:t>
            </w:r>
            <w:r>
              <w:rPr>
                <w:rFonts w:ascii="Times New Roman" w:cs="Times New Roman" w:eastAsia="Times New Roman" w:hAnsi="Times New Roman"/>
                <w:sz w:val="18"/>
                <w:szCs w:val="18"/>
                <w:color w:val="auto"/>
                <w:vertAlign w:val="superscript"/>
              </w:rPr>
              <w:t>2,3</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0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Assets on the Consolidated Statements of Financial Condition.</w:t>
      </w:r>
    </w:p>
    <w:p>
      <w:pPr>
        <w:spacing w:after="0" w:line="5" w:lineRule="exact"/>
        <w:rPr>
          <w:sz w:val="20"/>
          <w:szCs w:val="20"/>
          <w:color w:val="auto"/>
        </w:rPr>
      </w:pPr>
    </w:p>
    <w:p>
      <w:pPr>
        <w:ind w:left="80" w:hanging="75"/>
        <w:spacing w:after="0"/>
        <w:tabs>
          <w:tab w:leader="none" w:pos="8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Measured at fair value on a recurring basis with the net unrealized gains or losses recorded in current period earnings.</w:t>
      </w:r>
    </w:p>
    <w:p>
      <w:pPr>
        <w:spacing w:after="0" w:line="44"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Included in Other Liabilities on the Consolidated Statements of Financial Condition.</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68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8"/>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2023</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8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Pr>
          <w:p>
            <w:pPr>
              <w:spacing w:after="0"/>
              <w:rPr>
                <w:sz w:val="13"/>
                <w:szCs w:val="13"/>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6"/>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 Treasury notes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2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Government agency debentures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0" w:type="dxa"/>
            <w:vAlign w:val="bottom"/>
          </w:tcPr>
          <w:p>
            <w:pPr>
              <w:spacing w:after="0"/>
              <w:rPr>
                <w:sz w:val="1"/>
                <w:szCs w:val="1"/>
                <w:color w:val="auto"/>
              </w:rPr>
            </w:pPr>
          </w:p>
        </w:tc>
      </w:tr>
      <w:tr>
        <w:trPr>
          <w:trHeight w:val="180"/>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Other real estate owned </w:t>
            </w:r>
            <w:r>
              <w:rPr>
                <w:rFonts w:ascii="Times New Roman" w:cs="Times New Roman" w:eastAsia="Times New Roman" w:hAnsi="Times New Roman"/>
                <w:sz w:val="18"/>
                <w:szCs w:val="18"/>
                <w:color w:val="auto"/>
                <w:vertAlign w:val="superscript"/>
              </w:rPr>
              <w:t>1</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80"/>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Non-controlled/affiliate investments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Servicing assets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0" w:type="dxa"/>
            <w:vAlign w:val="bottom"/>
          </w:tcPr>
          <w:p>
            <w:pPr>
              <w:spacing w:after="0"/>
              <w:rPr>
                <w:sz w:val="1"/>
                <w:szCs w:val="1"/>
                <w:color w:val="auto"/>
              </w:rPr>
            </w:pPr>
          </w:p>
        </w:tc>
      </w:tr>
      <w:tr>
        <w:trPr>
          <w:trHeight w:val="180"/>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Joint ventures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0" w:type="dxa"/>
            <w:vAlign w:val="bottom"/>
          </w:tcPr>
          <w:p>
            <w:pPr>
              <w:spacing w:after="0"/>
              <w:rPr>
                <w:sz w:val="1"/>
                <w:szCs w:val="1"/>
                <w:color w:val="auto"/>
              </w:rPr>
            </w:pPr>
          </w:p>
        </w:tc>
      </w:tr>
      <w:tr>
        <w:trPr>
          <w:trHeight w:val="196"/>
        </w:trPr>
        <w:tc>
          <w:tcPr>
            <w:tcW w:w="68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692,872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660,701</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Equity warrants</w:t>
            </w:r>
            <w:r>
              <w:rPr>
                <w:rFonts w:ascii="Times New Roman" w:cs="Times New Roman" w:eastAsia="Times New Roman" w:hAnsi="Times New Roman"/>
                <w:sz w:val="18"/>
                <w:szCs w:val="18"/>
                <w:color w:val="auto"/>
                <w:vertAlign w:val="superscript"/>
              </w:rPr>
              <w:t>3</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80"/>
        </w:trPr>
        <w:tc>
          <w:tcPr>
            <w:tcW w:w="680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Derivative instruments</w:t>
            </w:r>
            <w:r>
              <w:rPr>
                <w:rFonts w:ascii="Times New Roman" w:cs="Times New Roman" w:eastAsia="Times New Roman" w:hAnsi="Times New Roman"/>
                <w:sz w:val="18"/>
                <w:szCs w:val="18"/>
                <w:color w:val="auto"/>
                <w:vertAlign w:val="superscript"/>
              </w:rPr>
              <w:t>2,3</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8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80" w:hanging="75"/>
        <w:spacing w:after="0"/>
        <w:tabs>
          <w:tab w:leader="none" w:pos="8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Assets on the Consolidated Statements of Financial Condition.</w:t>
      </w:r>
    </w:p>
    <w:p>
      <w:pPr>
        <w:ind w:left="80" w:hanging="75"/>
        <w:spacing w:after="0" w:line="205" w:lineRule="auto"/>
        <w:tabs>
          <w:tab w:leader="none" w:pos="8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Measured at fair value on a recurring basis with the net unrealized gains or losses recorded in current period earnings.</w:t>
      </w:r>
    </w:p>
    <w:p>
      <w:pPr>
        <w:spacing w:after="0" w:line="1"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Included in Other Liabilities on the Consolidated Statements of Financial Condition.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represents the changes in the investments, servicing assets and liabilities measured at fair value using Level 3 inputs for the three months ended March 31, 2024 and 2023:</w:t>
      </w:r>
    </w:p>
    <w:p>
      <w:pPr>
        <w:spacing w:after="0" w:line="78" w:lineRule="exact"/>
        <w:rPr>
          <w:sz w:val="20"/>
          <w:szCs w:val="20"/>
          <w:color w:val="auto"/>
        </w:rPr>
      </w:pPr>
    </w:p>
    <w:tbl>
      <w:tblPr>
        <w:tblLayout w:type="fixed"/>
        <w:tblInd w:w="160" w:type="dxa"/>
        <w:tblCellMar>
          <w:top w:w="0" w:type="dxa"/>
          <w:left w:w="0" w:type="dxa"/>
          <w:bottom w:w="0" w:type="dxa"/>
          <w:right w:w="0" w:type="dxa"/>
        </w:tblCellMar>
      </w:tblPr>
      <w:tr>
        <w:trPr>
          <w:trHeight w:val="158"/>
        </w:trPr>
        <w:tc>
          <w:tcPr>
            <w:tcW w:w="3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1"/>
                <w:szCs w:val="11"/>
                <w:b w:val="1"/>
                <w:bCs w:val="1"/>
                <w:color w:val="auto"/>
              </w:rPr>
              <w:t>Loans HFI,</w:t>
            </w:r>
          </w:p>
        </w:tc>
        <w:tc>
          <w:tcPr>
            <w:tcW w:w="140" w:type="dxa"/>
            <w:vAlign w:val="bottom"/>
          </w:tcPr>
          <w:p>
            <w:pPr>
              <w:spacing w:after="0"/>
              <w:rPr>
                <w:sz w:val="9"/>
                <w:szCs w:val="9"/>
                <w:color w:val="auto"/>
              </w:rPr>
            </w:pPr>
          </w:p>
        </w:tc>
        <w:tc>
          <w:tcPr>
            <w:tcW w:w="94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1"/>
                <w:szCs w:val="11"/>
                <w:b w:val="1"/>
                <w:bCs w:val="1"/>
                <w:color w:val="auto"/>
              </w:rPr>
              <w:t>Loans HFS,</w:t>
            </w:r>
          </w:p>
        </w:tc>
        <w:tc>
          <w:tcPr>
            <w:tcW w:w="100" w:type="dxa"/>
            <w:vAlign w:val="bottom"/>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Joint Ventures</w:t>
            </w: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Servicing Assets</w:t>
            </w:r>
          </w:p>
        </w:tc>
        <w:tc>
          <w:tcPr>
            <w:tcW w:w="160" w:type="dxa"/>
            <w:vAlign w:val="bottom"/>
          </w:tcPr>
          <w:p>
            <w:pPr>
              <w:spacing w:after="0"/>
              <w:rPr>
                <w:sz w:val="9"/>
                <w:szCs w:val="9"/>
                <w:color w:val="auto"/>
              </w:rPr>
            </w:pPr>
          </w:p>
        </w:tc>
        <w:tc>
          <w:tcPr>
            <w:tcW w:w="96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1"/>
                <w:szCs w:val="11"/>
                <w:b w:val="1"/>
                <w:bCs w:val="1"/>
                <w:color w:val="auto"/>
              </w:rPr>
              <w:t>Non-Control</w:t>
            </w:r>
          </w:p>
        </w:tc>
        <w:tc>
          <w:tcPr>
            <w:tcW w:w="160" w:type="dxa"/>
            <w:vAlign w:val="bottom"/>
          </w:tcPr>
          <w:p>
            <w:pPr>
              <w:spacing w:after="0"/>
              <w:rPr>
                <w:sz w:val="9"/>
                <w:szCs w:val="9"/>
                <w:color w:val="auto"/>
              </w:rPr>
            </w:pPr>
          </w:p>
        </w:tc>
        <w:tc>
          <w:tcPr>
            <w:tcW w:w="880" w:type="dxa"/>
            <w:vAlign w:val="bottom"/>
            <w:gridSpan w:val="2"/>
          </w:tcPr>
          <w:p>
            <w:pPr>
              <w:jc w:val="center"/>
              <w:ind w:right="260"/>
              <w:spacing w:after="0" w:line="107" w:lineRule="exact"/>
              <w:rPr>
                <w:sz w:val="20"/>
                <w:szCs w:val="20"/>
                <w:color w:val="auto"/>
              </w:rPr>
            </w:pPr>
            <w:r>
              <w:rPr>
                <w:rFonts w:ascii="Times New Roman" w:cs="Times New Roman" w:eastAsia="Times New Roman" w:hAnsi="Times New Roman"/>
                <w:sz w:val="11"/>
                <w:szCs w:val="11"/>
                <w:b w:val="1"/>
                <w:bCs w:val="1"/>
                <w:color w:val="auto"/>
              </w:rPr>
              <w:t>Warrant</w:t>
            </w:r>
          </w:p>
        </w:tc>
        <w:tc>
          <w:tcPr>
            <w:tcW w:w="90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Other Real Estate</w:t>
            </w: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14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160" w:type="dxa"/>
            <w:vAlign w:val="bottom"/>
          </w:tcPr>
          <w:p>
            <w:pPr>
              <w:spacing w:after="0"/>
              <w:rPr>
                <w:sz w:val="13"/>
                <w:szCs w:val="13"/>
                <w:color w:val="auto"/>
              </w:rPr>
            </w:pPr>
          </w:p>
        </w:tc>
        <w:tc>
          <w:tcPr>
            <w:tcW w:w="8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1"/>
                <w:szCs w:val="11"/>
                <w:b w:val="1"/>
                <w:bCs w:val="1"/>
                <w:color w:val="auto"/>
              </w:rPr>
              <w:t>Liabilities</w:t>
            </w:r>
            <w:r>
              <w:rPr>
                <w:rFonts w:ascii="Times New Roman" w:cs="Times New Roman" w:eastAsia="Times New Roman" w:hAnsi="Times New Roman"/>
                <w:sz w:val="14"/>
                <w:szCs w:val="14"/>
                <w:b w:val="1"/>
                <w:bCs w:val="1"/>
                <w:color w:val="auto"/>
                <w:vertAlign w:val="superscript"/>
              </w:rPr>
              <w:t>2</w:t>
            </w:r>
          </w:p>
        </w:tc>
        <w:tc>
          <w:tcPr>
            <w:tcW w:w="160" w:type="dxa"/>
            <w:vAlign w:val="bottom"/>
          </w:tcPr>
          <w:p>
            <w:pPr>
              <w:spacing w:after="0"/>
              <w:rPr>
                <w:sz w:val="13"/>
                <w:szCs w:val="13"/>
                <w:color w:val="auto"/>
              </w:rPr>
            </w:pPr>
          </w:p>
        </w:tc>
        <w:tc>
          <w:tcPr>
            <w:tcW w:w="740" w:type="dxa"/>
            <w:vAlign w:val="bottom"/>
          </w:tcPr>
          <w:p>
            <w:pPr>
              <w:jc w:val="right"/>
              <w:ind w:right="190"/>
              <w:spacing w:after="0" w:line="159" w:lineRule="exact"/>
              <w:rPr>
                <w:sz w:val="20"/>
                <w:szCs w:val="20"/>
                <w:color w:val="auto"/>
              </w:rPr>
            </w:pPr>
            <w:r>
              <w:rPr>
                <w:rFonts w:ascii="Times New Roman" w:cs="Times New Roman" w:eastAsia="Times New Roman" w:hAnsi="Times New Roman"/>
                <w:sz w:val="11"/>
                <w:szCs w:val="11"/>
                <w:b w:val="1"/>
                <w:bCs w:val="1"/>
                <w:color w:val="auto"/>
              </w:rPr>
              <w:t>Owned</w:t>
            </w:r>
            <w:r>
              <w:rPr>
                <w:rFonts w:ascii="Times New Roman" w:cs="Times New Roman" w:eastAsia="Times New Roman" w:hAnsi="Times New Roman"/>
                <w:sz w:val="14"/>
                <w:szCs w:val="14"/>
                <w:b w:val="1"/>
                <w:bCs w:val="1"/>
                <w:color w:val="auto"/>
                <w:vertAlign w:val="superscript"/>
              </w:rPr>
              <w:t>1</w:t>
            </w:r>
          </w:p>
        </w:tc>
        <w:tc>
          <w:tcPr>
            <w:tcW w:w="0" w:type="dxa"/>
            <w:vAlign w:val="bottom"/>
          </w:tcPr>
          <w:p>
            <w:pPr>
              <w:spacing w:after="0"/>
              <w:rPr>
                <w:sz w:val="1"/>
                <w:szCs w:val="1"/>
                <w:color w:val="auto"/>
              </w:rPr>
            </w:pPr>
          </w:p>
        </w:tc>
      </w:tr>
      <w:tr>
        <w:trPr>
          <w:trHeight w:val="17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December 31, 2023</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received</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loans, funded</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 loans, funded</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 funded</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contributions/(distributions)</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due to:</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valuation inputs or assumptions</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factors</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March 31, 2024</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442,928</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187,104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48,247</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27,601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ind w:left="80" w:hanging="75"/>
        <w:spacing w:after="0"/>
        <w:tabs>
          <w:tab w:leader="none" w:pos="8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Assets on the Consolidated Statements of Financial Condition.</w:t>
      </w:r>
    </w:p>
    <w:p>
      <w:pPr>
        <w:ind w:left="80" w:hanging="75"/>
        <w:spacing w:after="0" w:line="205" w:lineRule="auto"/>
        <w:tabs>
          <w:tab w:leader="none" w:pos="8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Liabilities on the Consolidated Statements of Financial Condition.</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1"/>
                <w:szCs w:val="11"/>
                <w:b w:val="1"/>
                <w:bCs w:val="1"/>
                <w:color w:val="auto"/>
              </w:rPr>
              <w:t>Three Months Ended March 31, 2023</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200" w:type="dxa"/>
            <w:vAlign w:val="bottom"/>
            <w:shd w:val="clear" w:color="auto" w:fill="CCEEFF"/>
          </w:tcPr>
          <w:p>
            <w:pPr>
              <w:spacing w:after="0"/>
              <w:rPr>
                <w:sz w:val="9"/>
                <w:szCs w:val="9"/>
                <w:color w:val="auto"/>
              </w:rPr>
            </w:pPr>
          </w:p>
        </w:tc>
        <w:tc>
          <w:tcPr>
            <w:tcW w:w="98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Loans HFI, at FV</w:t>
            </w:r>
          </w:p>
        </w:tc>
        <w:tc>
          <w:tcPr>
            <w:tcW w:w="14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center"/>
              <w:ind w:right="260"/>
              <w:spacing w:after="0" w:line="106" w:lineRule="exact"/>
              <w:rPr>
                <w:sz w:val="20"/>
                <w:szCs w:val="20"/>
                <w:color w:val="auto"/>
              </w:rPr>
            </w:pPr>
            <w:r>
              <w:rPr>
                <w:rFonts w:ascii="Times New Roman" w:cs="Times New Roman" w:eastAsia="Times New Roman" w:hAnsi="Times New Roman"/>
                <w:sz w:val="11"/>
                <w:szCs w:val="11"/>
                <w:b w:val="1"/>
                <w:bCs w:val="1"/>
                <w:color w:val="auto"/>
              </w:rPr>
              <w:t>Loans HFS,</w:t>
            </w: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191"/>
              <w:spacing w:after="0" w:line="106" w:lineRule="exact"/>
              <w:rPr>
                <w:sz w:val="20"/>
                <w:szCs w:val="20"/>
                <w:color w:val="auto"/>
              </w:rPr>
            </w:pPr>
            <w:r>
              <w:rPr>
                <w:rFonts w:ascii="Times New Roman" w:cs="Times New Roman" w:eastAsia="Times New Roman" w:hAnsi="Times New Roman"/>
                <w:sz w:val="11"/>
                <w:szCs w:val="11"/>
                <w:b w:val="1"/>
                <w:bCs w:val="1"/>
                <w:color w:val="auto"/>
              </w:rPr>
              <w:t>Controlled</w:t>
            </w:r>
          </w:p>
        </w:tc>
        <w:tc>
          <w:tcPr>
            <w:tcW w:w="100" w:type="dxa"/>
            <w:vAlign w:val="bottom"/>
            <w:shd w:val="clear" w:color="auto" w:fill="CCEEFF"/>
          </w:tcPr>
          <w:p>
            <w:pPr>
              <w:spacing w:after="0"/>
              <w:rPr>
                <w:sz w:val="9"/>
                <w:szCs w:val="9"/>
                <w:color w:val="auto"/>
              </w:rPr>
            </w:pPr>
          </w:p>
        </w:tc>
        <w:tc>
          <w:tcPr>
            <w:tcW w:w="90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Joint Ventures</w:t>
            </w:r>
          </w:p>
        </w:tc>
        <w:tc>
          <w:tcPr>
            <w:tcW w:w="9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Servicing Assets</w:t>
            </w:r>
          </w:p>
        </w:tc>
        <w:tc>
          <w:tcPr>
            <w:tcW w:w="180" w:type="dxa"/>
            <w:vAlign w:val="bottom"/>
            <w:shd w:val="clear" w:color="auto" w:fill="CCEEFF"/>
          </w:tcPr>
          <w:p>
            <w:pPr>
              <w:spacing w:after="0"/>
              <w:rPr>
                <w:sz w:val="9"/>
                <w:szCs w:val="9"/>
                <w:color w:val="auto"/>
              </w:rPr>
            </w:pPr>
          </w:p>
        </w:tc>
        <w:tc>
          <w:tcPr>
            <w:tcW w:w="1020" w:type="dxa"/>
            <w:vAlign w:val="bottom"/>
            <w:gridSpan w:val="2"/>
            <w:shd w:val="clear" w:color="auto" w:fill="CCEEFF"/>
          </w:tcPr>
          <w:p>
            <w:pPr>
              <w:ind w:left="80"/>
              <w:spacing w:after="0" w:line="106" w:lineRule="exact"/>
              <w:rPr>
                <w:sz w:val="20"/>
                <w:szCs w:val="20"/>
                <w:color w:val="auto"/>
              </w:rPr>
            </w:pPr>
            <w:r>
              <w:rPr>
                <w:rFonts w:ascii="Times New Roman" w:cs="Times New Roman" w:eastAsia="Times New Roman" w:hAnsi="Times New Roman"/>
                <w:sz w:val="11"/>
                <w:szCs w:val="11"/>
                <w:b w:val="1"/>
                <w:bCs w:val="1"/>
                <w:color w:val="auto"/>
              </w:rPr>
              <w:t>Non-Control</w:t>
            </w:r>
          </w:p>
        </w:tc>
        <w:tc>
          <w:tcPr>
            <w:tcW w:w="16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center"/>
              <w:ind w:right="240"/>
              <w:spacing w:after="0" w:line="106" w:lineRule="exact"/>
              <w:rPr>
                <w:sz w:val="20"/>
                <w:szCs w:val="20"/>
                <w:color w:val="auto"/>
              </w:rPr>
            </w:pPr>
            <w:r>
              <w:rPr>
                <w:rFonts w:ascii="Times New Roman" w:cs="Times New Roman" w:eastAsia="Times New Roman" w:hAnsi="Times New Roman"/>
                <w:sz w:val="11"/>
                <w:szCs w:val="11"/>
                <w:b w:val="1"/>
                <w:bCs w:val="1"/>
                <w:color w:val="auto"/>
              </w:rPr>
              <w:t>Warrant</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50"/>
              <w:spacing w:after="0" w:line="106" w:lineRule="exact"/>
              <w:rPr>
                <w:sz w:val="20"/>
                <w:szCs w:val="20"/>
                <w:color w:val="auto"/>
              </w:rPr>
            </w:pPr>
            <w:r>
              <w:rPr>
                <w:rFonts w:ascii="Times New Roman" w:cs="Times New Roman" w:eastAsia="Times New Roman" w:hAnsi="Times New Roman"/>
                <w:sz w:val="11"/>
                <w:szCs w:val="11"/>
                <w:b w:val="1"/>
                <w:bCs w:val="1"/>
                <w:color w:val="auto"/>
              </w:rPr>
              <w:t>Other Real</w:t>
            </w:r>
          </w:p>
        </w:tc>
        <w:tc>
          <w:tcPr>
            <w:tcW w:w="0" w:type="dxa"/>
            <w:vAlign w:val="bottom"/>
          </w:tcPr>
          <w:p>
            <w:pPr>
              <w:spacing w:after="0"/>
              <w:rPr>
                <w:sz w:val="1"/>
                <w:szCs w:val="1"/>
                <w:color w:val="auto"/>
              </w:rPr>
            </w:pPr>
          </w:p>
        </w:tc>
      </w:tr>
      <w:tr>
        <w:trPr>
          <w:trHeight w:val="159"/>
        </w:trPr>
        <w:tc>
          <w:tcPr>
            <w:tcW w:w="3200" w:type="dxa"/>
            <w:vAlign w:val="bottom"/>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at FV</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100" w:type="dxa"/>
            <w:vAlign w:val="bottom"/>
            <w:shd w:val="clear" w:color="auto" w:fill="CCEEFF"/>
          </w:tcPr>
          <w:p>
            <w:pPr>
              <w:spacing w:after="0"/>
              <w:rPr>
                <w:sz w:val="13"/>
                <w:szCs w:val="13"/>
                <w:color w:val="auto"/>
              </w:rPr>
            </w:pPr>
          </w:p>
        </w:tc>
        <w:tc>
          <w:tcPr>
            <w:tcW w:w="900" w:type="dxa"/>
            <w:vAlign w:val="bottom"/>
            <w:gridSpan w:val="3"/>
            <w:vMerge w:val="continue"/>
            <w:shd w:val="clear" w:color="auto" w:fill="CCEEFF"/>
          </w:tcPr>
          <w:p>
            <w:pPr>
              <w:spacing w:after="0"/>
              <w:rPr>
                <w:sz w:val="13"/>
                <w:szCs w:val="13"/>
                <w:color w:val="auto"/>
              </w:rPr>
            </w:pPr>
          </w:p>
        </w:tc>
        <w:tc>
          <w:tcPr>
            <w:tcW w:w="960" w:type="dxa"/>
            <w:vAlign w:val="bottom"/>
            <w:gridSpan w:val="3"/>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Liabilities</w:t>
            </w:r>
            <w:r>
              <w:rPr>
                <w:rFonts w:ascii="Times New Roman" w:cs="Times New Roman" w:eastAsia="Times New Roman" w:hAnsi="Times New Roman"/>
                <w:sz w:val="7"/>
                <w:szCs w:val="7"/>
                <w:b w:val="1"/>
                <w:bCs w:val="1"/>
                <w:color w:val="auto"/>
              </w:rPr>
              <w:t>2</w:t>
            </w: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Estate Owned</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Fair value, December 31, 2022</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505,268</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19,171</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259,217</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23,022</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30,268</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Removal of new entities consolidating in current period</w:t>
            </w: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 of Loans HFS to HFI</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due to:</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valuation inputs or assumptions</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factors</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 (loss)</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investments, funded</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36,859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 loans, funded</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 funded</w:t>
            </w:r>
          </w:p>
        </w:tc>
        <w:tc>
          <w:tcPr>
            <w:tcW w:w="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and repurchases of loans</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received</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March 31, 2023</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Assets on the Consolidated Statements of Financial Condition.</w:t>
      </w:r>
    </w:p>
    <w:p>
      <w:pPr>
        <w:ind w:left="80" w:hanging="75"/>
        <w:spacing w:after="0" w:line="196" w:lineRule="auto"/>
        <w:tabs>
          <w:tab w:leader="none" w:pos="8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Liabilities on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The following tables provide a summary of quantitative information about the Company’s Level 3 fair value measurements as of March 31, 2024 and December 31, 2023. In addition to the inputs noted in the table below, according to our valuation policy we may also use other valuation techniques and methodologies when determining our fair value measurements. The tables below are not intended to be all-inclusive, but rather provide information on the significant Level 3 inputs as they relate to the Company’s fair value measurements at March 31, 2024 and December 31,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 as of</w:t>
            </w: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00" w:type="dxa"/>
            <w:vAlign w:val="bottom"/>
            <w:tcBorders>
              <w:bottom w:val="single" w:sz="8" w:color="auto"/>
            </w:tcBorders>
          </w:tcPr>
          <w:p>
            <w:pPr>
              <w:spacing w:after="0"/>
              <w:rPr>
                <w:sz w:val="13"/>
                <w:szCs w:val="13"/>
                <w:color w:val="auto"/>
              </w:rPr>
            </w:pPr>
          </w:p>
        </w:tc>
      </w:tr>
      <w:tr>
        <w:trPr>
          <w:trHeight w:val="154"/>
        </w:trPr>
        <w:tc>
          <w:tcPr>
            <w:tcW w:w="3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3100" w:type="dxa"/>
            <w:vAlign w:val="bottom"/>
            <w:gridSpan w:val="2"/>
          </w:tcPr>
          <w:p>
            <w:pPr>
              <w:ind w:left="102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144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66"/>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HFI, at fair value - accrual loans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396,927</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HFI, at fair value - non-accrual loans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46,001</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7.50 %</w:t>
            </w:r>
          </w:p>
        </w:tc>
      </w:tr>
      <w:tr>
        <w:trPr>
          <w:trHeight w:val="180"/>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HFS, at fair value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187,104</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r>
      <w:tr>
        <w:trPr>
          <w:trHeight w:val="180"/>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48,247</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8.30 %</w:t>
            </w:r>
          </w:p>
        </w:tc>
      </w:tr>
      <w:tr>
        <w:trPr>
          <w:trHeight w:val="180"/>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 equity investments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basis</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0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Servicing assets</w:t>
            </w:r>
            <w:r>
              <w:rPr>
                <w:rFonts w:ascii="Times New Roman" w:cs="Times New Roman" w:eastAsia="Times New Roman" w:hAnsi="Times New Roman"/>
                <w:sz w:val="18"/>
                <w:szCs w:val="18"/>
                <w:color w:val="auto"/>
                <w:vertAlign w:val="superscript"/>
              </w:rPr>
              <w:t>1</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27,601</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Appraised value</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2"/>
        </w:trPr>
        <w:tc>
          <w:tcPr>
            <w:tcW w:w="3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warrants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6.90 %</w:t>
            </w:r>
          </w:p>
        </w:tc>
      </w:tr>
      <w:tr>
        <w:trPr>
          <w:trHeight w:val="18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free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4.20 %</w:t>
            </w:r>
          </w:p>
        </w:tc>
      </w:tr>
    </w:tbl>
    <w:p>
      <w:pPr>
        <w:spacing w:after="0" w:line="98" w:lineRule="exact"/>
        <w:rPr>
          <w:sz w:val="20"/>
          <w:szCs w:val="20"/>
          <w:color w:val="auto"/>
        </w:rPr>
      </w:pPr>
    </w:p>
    <w:p>
      <w:pPr>
        <w:ind w:left="5580" w:right="3000" w:hanging="5575"/>
        <w:spacing w:after="0" w:line="867" w:lineRule="auto"/>
        <w:tabs>
          <w:tab w:leader="none" w:pos="93"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$27.6 million of servicing assets at held at FV and $13.6 million of servicing assets are held at LCM. Refer to NOTE 7—SERVICING ASSETS.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-300990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Fair Value as of</w:t>
            </w: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880" w:type="dxa"/>
            <w:vAlign w:val="bottom"/>
            <w:tcBorders>
              <w:bottom w:val="single" w:sz="8" w:color="auto"/>
            </w:tcBorders>
          </w:tcPr>
          <w:p>
            <w:pPr>
              <w:spacing w:after="0"/>
              <w:rPr>
                <w:sz w:val="13"/>
                <w:szCs w:val="13"/>
                <w:color w:val="auto"/>
              </w:rPr>
            </w:pPr>
          </w:p>
        </w:tc>
      </w:tr>
      <w:tr>
        <w:trPr>
          <w:trHeight w:val="154"/>
        </w:trPr>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120" w:type="dxa"/>
            <w:vAlign w:val="bottom"/>
            <w:gridSpan w:val="2"/>
          </w:tcPr>
          <w:p>
            <w:pPr>
              <w:ind w:left="102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60" w:type="dxa"/>
            <w:vAlign w:val="bottom"/>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66"/>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HFI, at fair value - accrual loans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421,627</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HFI, at fair value - accrual loans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48,174</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HFS, at fair value</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 equity investments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basis</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0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Servicing assets</w:t>
            </w:r>
            <w:r>
              <w:rPr>
                <w:rFonts w:ascii="Times New Roman" w:cs="Times New Roman" w:eastAsia="Times New Roman" w:hAnsi="Times New Roman"/>
                <w:sz w:val="18"/>
                <w:szCs w:val="18"/>
                <w:color w:val="auto"/>
                <w:vertAlign w:val="superscript"/>
              </w:rPr>
              <w:t>1</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Appraised value</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12"/>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warrants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r>
      <w:tr>
        <w:trPr>
          <w:trHeight w:val="184"/>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 free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3.88 %</w:t>
            </w:r>
          </w:p>
        </w:tc>
      </w:tr>
    </w:tbl>
    <w:p>
      <w:pPr>
        <w:spacing w:after="0" w:line="33" w:lineRule="exact"/>
        <w:rPr>
          <w:sz w:val="20"/>
          <w:szCs w:val="20"/>
          <w:color w:val="auto"/>
        </w:rPr>
      </w:pPr>
    </w:p>
    <w:p>
      <w:pPr>
        <w:ind w:left="80" w:hanging="75"/>
        <w:spacing w:after="0"/>
        <w:tabs>
          <w:tab w:leader="none" w:pos="8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$29.3 million of servicing assets held at FV and $10.4 million of servicing assets are held at LCM. Refer to NOTE 7—SERVICING ASSETS</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393" w:lineRule="exact"/>
        <w:rPr>
          <w:rFonts w:ascii="Times New Roman" w:cs="Times New Roman" w:eastAsia="Times New Roman" w:hAnsi="Times New Roman"/>
          <w:sz w:val="18"/>
          <w:szCs w:val="18"/>
          <w:color w:val="auto"/>
          <w:vertAlign w:val="superscript"/>
        </w:rPr>
      </w:pPr>
    </w:p>
    <w:p>
      <w:pPr>
        <w:ind w:left="558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Estimated Fair Value of Other Financial Instruments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GAAP also requires disclosure of the fair value of financial instruments carried at book value on the Consolidated Statements of Financial Condition. The carrying amounts and estimated fair values of the Company’s financial instruments not measured at fair value on a recurring or non-recurring basis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2"/>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color w:val="auto"/>
                <w:w w:val="98"/>
              </w:rPr>
              <w:t>Fair Value Amount by Level:</w:t>
            </w: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Carrying Amount</w:t>
            </w:r>
          </w:p>
        </w:tc>
        <w:tc>
          <w:tcPr>
            <w:tcW w:w="340" w:type="dxa"/>
            <w:vAlign w:val="bottom"/>
          </w:tcPr>
          <w:p>
            <w:pPr>
              <w:spacing w:after="0"/>
              <w:rPr>
                <w:sz w:val="15"/>
                <w:szCs w:val="15"/>
                <w:color w:val="auto"/>
              </w:rPr>
            </w:pPr>
          </w:p>
        </w:tc>
        <w:tc>
          <w:tcPr>
            <w:tcW w:w="12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gridSpan w:val="3"/>
          </w:tcPr>
          <w:p>
            <w:pPr>
              <w:jc w:val="center"/>
              <w:ind w:right="940"/>
              <w:spacing w:after="0"/>
              <w:rPr>
                <w:sz w:val="20"/>
                <w:szCs w:val="20"/>
                <w:color w:val="auto"/>
              </w:rPr>
            </w:pPr>
            <w:r>
              <w:rPr>
                <w:rFonts w:ascii="Times New Roman" w:cs="Times New Roman" w:eastAsia="Times New Roman" w:hAnsi="Times New Roman"/>
                <w:sz w:val="14"/>
                <w:szCs w:val="14"/>
                <w:color w:val="auto"/>
              </w:rPr>
              <w:t>Level 2</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Level 3</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Total Fair Value</w:t>
            </w:r>
          </w:p>
        </w:tc>
      </w:tr>
      <w:tr>
        <w:trPr>
          <w:trHeight w:val="16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12,295</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12,295</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12,295</w:t>
            </w: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35,759</w:t>
            </w: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115,152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115,152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115,152</w:t>
            </w: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w:t>
            </w: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HFS, at fair value</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187,104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187,104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187,104</w:t>
            </w: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HFS, at LCM</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60,227</w:t>
            </w: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HFI, at fair value</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442,928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442,928</w:t>
            </w:r>
          </w:p>
        </w:tc>
      </w:tr>
      <w:tr>
        <w:trPr>
          <w:trHeight w:val="138"/>
        </w:trPr>
        <w:tc>
          <w:tcPr>
            <w:tcW w:w="32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Total loans HFI, at amortized cost, net of deferred fees</w:t>
            </w: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91"/>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and costs</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397,625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398,453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398,453</w:t>
            </w:r>
          </w:p>
        </w:tc>
      </w:tr>
      <w:tr>
        <w:trPr>
          <w:trHeight w:val="138"/>
        </w:trPr>
        <w:tc>
          <w:tcPr>
            <w:tcW w:w="32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91"/>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3,773</w:t>
            </w:r>
          </w:p>
        </w:tc>
      </w:tr>
      <w:tr>
        <w:trPr>
          <w:trHeight w:val="181"/>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Joint ventures, at fair value</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48,247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48,247</w:t>
            </w: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Non-control investments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r>
      <w:tr>
        <w:trPr>
          <w:trHeight w:val="18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209,721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210,519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210,519</w:t>
            </w: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662,488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471,728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662,304</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2"/>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color w:val="auto"/>
                <w:w w:val="98"/>
              </w:rPr>
              <w:t>Fair Value Amount by Level:</w:t>
            </w: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Carrying Amount</w:t>
            </w:r>
          </w:p>
        </w:tc>
        <w:tc>
          <w:tcPr>
            <w:tcW w:w="340" w:type="dxa"/>
            <w:vAlign w:val="bottom"/>
          </w:tcPr>
          <w:p>
            <w:pPr>
              <w:spacing w:after="0"/>
              <w:rPr>
                <w:sz w:val="15"/>
                <w:szCs w:val="15"/>
                <w:color w:val="auto"/>
              </w:rPr>
            </w:pPr>
          </w:p>
        </w:tc>
        <w:tc>
          <w:tcPr>
            <w:tcW w:w="12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color w:val="auto"/>
              </w:rPr>
              <w:t>Level 2</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Level 3</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Fair Value</w:t>
            </w:r>
          </w:p>
        </w:tc>
      </w:tr>
      <w:tr>
        <w:trPr>
          <w:trHeight w:val="16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15,398</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15,398</w:t>
            </w:r>
          </w:p>
        </w:tc>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15,398</w:t>
            </w: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w:t>
            </w:r>
          </w:p>
        </w:tc>
        <w:tc>
          <w:tcPr>
            <w:tcW w:w="120" w:type="dxa"/>
            <w:vAlign w:val="bottom"/>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137,689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137,689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137,689</w:t>
            </w: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120" w:type="dxa"/>
            <w:vAlign w:val="bottom"/>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HFS, at fair value</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HFS, at LCM</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56,733</w:t>
            </w:r>
          </w:p>
        </w:tc>
        <w:tc>
          <w:tcPr>
            <w:tcW w:w="120" w:type="dxa"/>
            <w:vAlign w:val="bottom"/>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HFI, at fair value</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120" w:type="dxa"/>
            <w:vAlign w:val="bottom"/>
          </w:tcPr>
          <w:p>
            <w:pPr>
              <w:spacing w:after="0"/>
              <w:rPr>
                <w:sz w:val="15"/>
                <w:szCs w:val="15"/>
                <w:color w:val="auto"/>
              </w:rPr>
            </w:pPr>
          </w:p>
        </w:tc>
      </w:tr>
      <w:tr>
        <w:trPr>
          <w:trHeight w:val="138"/>
        </w:trPr>
        <w:tc>
          <w:tcPr>
            <w:tcW w:w="32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Total loans HFI, at amortized cost, net of deferred fees</w:t>
            </w: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r>
      <w:tr>
        <w:trPr>
          <w:trHeight w:val="191"/>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and costs</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337,133</w:t>
            </w:r>
          </w:p>
        </w:tc>
        <w:tc>
          <w:tcPr>
            <w:tcW w:w="120" w:type="dxa"/>
            <w:vAlign w:val="bottom"/>
          </w:tcPr>
          <w:p>
            <w:pPr>
              <w:spacing w:after="0"/>
              <w:rPr>
                <w:sz w:val="16"/>
                <w:szCs w:val="16"/>
                <w:color w:val="auto"/>
              </w:rPr>
            </w:pPr>
          </w:p>
        </w:tc>
      </w:tr>
      <w:tr>
        <w:trPr>
          <w:trHeight w:val="138"/>
        </w:trPr>
        <w:tc>
          <w:tcPr>
            <w:tcW w:w="32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91"/>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20" w:type="dxa"/>
            <w:vAlign w:val="bottom"/>
          </w:tcPr>
          <w:p>
            <w:pPr>
              <w:spacing w:after="0"/>
              <w:rPr>
                <w:sz w:val="16"/>
                <w:szCs w:val="16"/>
                <w:color w:val="auto"/>
              </w:rPr>
            </w:pPr>
          </w:p>
        </w:tc>
      </w:tr>
      <w:tr>
        <w:trPr>
          <w:trHeight w:val="181"/>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Joint ventures, at fair value</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120" w:type="dxa"/>
            <w:vAlign w:val="bottom"/>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Non-control investments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167,041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168,542</w:t>
            </w: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644,122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454,239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641,794</w:t>
            </w:r>
          </w:p>
        </w:tc>
        <w:tc>
          <w:tcPr>
            <w:tcW w:w="120" w:type="dxa"/>
            <w:vAlign w:val="bottom"/>
          </w:tcPr>
          <w:p>
            <w:pPr>
              <w:spacing w:after="0"/>
              <w:rPr>
                <w:sz w:val="15"/>
                <w:szCs w:val="15"/>
                <w:color w:val="auto"/>
              </w:rPr>
            </w:pPr>
          </w:p>
        </w:tc>
      </w:tr>
      <w:tr>
        <w:trPr>
          <w:trHeight w:val="870"/>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7"/>
        </w:trPr>
        <w:tc>
          <w:tcPr>
            <w:tcW w:w="3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10—DEPOSITS:</w:t>
            </w:r>
          </w:p>
        </w:tc>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deposits by type:</w:t>
            </w: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w:t>
            </w:r>
          </w:p>
        </w:tc>
        <w:tc>
          <w:tcPr>
            <w:tcW w:w="25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Demand</w:t>
            </w:r>
          </w:p>
        </w:tc>
        <w:tc>
          <w:tcPr>
            <w:tcW w:w="27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5,466</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w:t>
            </w:r>
          </w:p>
        </w:tc>
        <w:tc>
          <w:tcPr>
            <w:tcW w:w="2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Checking</w:t>
            </w:r>
          </w:p>
        </w:tc>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w:t>
            </w:r>
          </w:p>
        </w:tc>
        <w:tc>
          <w:tcPr>
            <w:tcW w:w="2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Savings</w:t>
            </w:r>
          </w:p>
        </w:tc>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253,595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259,152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5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209,721</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interest-bearing</w:t>
            </w:r>
          </w:p>
        </w:tc>
        <w:tc>
          <w:tcPr>
            <w:tcW w:w="2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507,476</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453,452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2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512,942</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 money market, and interest-bearing checking obtained through brokers</w:t>
            </w:r>
          </w:p>
        </w:tc>
        <w:tc>
          <w:tcPr>
            <w:tcW w:w="27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Aggregate amount of deposit accounts that exceeded the FDIC limit</w:t>
            </w:r>
          </w:p>
        </w:tc>
        <w:tc>
          <w:tcPr>
            <w:tcW w:w="27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74,699</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Demand deposit overdrafts reclassified as loan balances</w:t>
            </w:r>
          </w:p>
        </w:tc>
        <w:tc>
          <w:tcPr>
            <w:tcW w:w="27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Certificates of deposit in excess of $0.25 million</w:t>
            </w:r>
          </w:p>
        </w:tc>
        <w:tc>
          <w:tcPr>
            <w:tcW w:w="27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29,266</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20,070</w:t>
            </w:r>
          </w:p>
        </w:tc>
        <w:tc>
          <w:tcPr>
            <w:tcW w:w="0" w:type="dxa"/>
            <w:vAlign w:val="bottom"/>
          </w:tcPr>
          <w:p>
            <w:pPr>
              <w:spacing w:after="0"/>
              <w:rPr>
                <w:sz w:val="1"/>
                <w:szCs w:val="1"/>
                <w:color w:val="auto"/>
              </w:rPr>
            </w:pPr>
          </w:p>
        </w:tc>
      </w:tr>
      <w:tr>
        <w:trPr>
          <w:trHeight w:val="431"/>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the scheduled maturities of time deposits:</w:t>
            </w: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2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64,999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2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2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25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time deposits</w:t>
            </w:r>
          </w:p>
        </w:tc>
        <w:tc>
          <w:tcPr>
            <w:tcW w:w="2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2029"/>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5220" w:type="dxa"/>
            <w:vAlign w:val="bottom"/>
            <w:tcBorders>
              <w:bottom w:val="single" w:sz="8" w:color="9A9A9A"/>
            </w:tcBorders>
          </w:tcPr>
          <w:p>
            <w:pPr>
              <w:spacing w:after="0"/>
              <w:rPr>
                <w:sz w:val="7"/>
                <w:szCs w:val="7"/>
                <w:color w:val="auto"/>
              </w:rPr>
            </w:pPr>
          </w:p>
        </w:tc>
        <w:tc>
          <w:tcPr>
            <w:tcW w:w="25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11—BORROWINGS: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2024 and December 31, 2023, the Company had borrowings composed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0" w:type="dxa"/>
            <w:vAlign w:val="bottom"/>
            <w:tcBorders>
              <w:bottom w:val="single" w:sz="8" w:color="CCEEFF"/>
            </w:tcBorders>
          </w:tcPr>
          <w:p>
            <w:pPr>
              <w:spacing w:after="0"/>
              <w:rPr>
                <w:sz w:val="13"/>
                <w:szCs w:val="13"/>
                <w:color w:val="auto"/>
              </w:rPr>
            </w:pPr>
          </w:p>
        </w:tc>
        <w:tc>
          <w:tcPr>
            <w:tcW w:w="33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00" w:type="dxa"/>
            <w:vAlign w:val="bottom"/>
            <w:shd w:val="clear" w:color="auto" w:fill="CCEEFF"/>
          </w:tcPr>
          <w:p>
            <w:pPr>
              <w:spacing w:after="0"/>
              <w:rPr>
                <w:sz w:val="9"/>
                <w:szCs w:val="9"/>
                <w:color w:val="auto"/>
              </w:rPr>
            </w:pPr>
          </w:p>
        </w:tc>
        <w:tc>
          <w:tcPr>
            <w:tcW w:w="3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Commitments</w:t>
            </w: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center"/>
              <w:ind w:right="72"/>
              <w:spacing w:after="0" w:line="106" w:lineRule="exact"/>
              <w:rPr>
                <w:sz w:val="20"/>
                <w:szCs w:val="20"/>
                <w:color w:val="auto"/>
              </w:rPr>
            </w:pPr>
            <w:r>
              <w:rPr>
                <w:rFonts w:ascii="Times New Roman" w:cs="Times New Roman" w:eastAsia="Times New Roman" w:hAnsi="Times New Roman"/>
                <w:sz w:val="11"/>
                <w:szCs w:val="11"/>
                <w:b w:val="1"/>
                <w:bCs w:val="1"/>
                <w:color w:val="auto"/>
              </w:rPr>
              <w:t>Borrowings</w:t>
            </w:r>
          </w:p>
        </w:tc>
        <w:tc>
          <w:tcPr>
            <w:tcW w:w="100" w:type="dxa"/>
            <w:vAlign w:val="bottom"/>
            <w:shd w:val="clear" w:color="auto" w:fill="CCEEFF"/>
          </w:tcPr>
          <w:p>
            <w:pPr>
              <w:spacing w:after="0"/>
              <w:rPr>
                <w:sz w:val="9"/>
                <w:szCs w:val="9"/>
                <w:color w:val="auto"/>
              </w:rPr>
            </w:pPr>
          </w:p>
        </w:tc>
        <w:tc>
          <w:tcPr>
            <w:tcW w:w="1200" w:type="dxa"/>
            <w:vAlign w:val="bottom"/>
            <w:shd w:val="clear" w:color="auto" w:fill="CCEEFF"/>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Commitments</w:t>
            </w: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192"/>
              <w:spacing w:after="0" w:line="106" w:lineRule="exact"/>
              <w:rPr>
                <w:sz w:val="20"/>
                <w:szCs w:val="20"/>
                <w:color w:val="auto"/>
              </w:rPr>
            </w:pPr>
            <w:r>
              <w:rPr>
                <w:rFonts w:ascii="Times New Roman" w:cs="Times New Roman" w:eastAsia="Times New Roman" w:hAnsi="Times New Roman"/>
                <w:sz w:val="11"/>
                <w:szCs w:val="11"/>
                <w:b w:val="1"/>
                <w:bCs w:val="1"/>
                <w:color w:val="auto"/>
              </w:rPr>
              <w:t>Borrowings</w:t>
            </w:r>
          </w:p>
        </w:tc>
        <w:tc>
          <w:tcPr>
            <w:tcW w:w="80" w:type="dxa"/>
            <w:vAlign w:val="bottom"/>
            <w:shd w:val="clear" w:color="auto" w:fill="CCEEFF"/>
          </w:tcPr>
          <w:p>
            <w:pPr>
              <w:spacing w:after="0"/>
              <w:rPr>
                <w:sz w:val="9"/>
                <w:szCs w:val="9"/>
                <w:color w:val="auto"/>
              </w:rPr>
            </w:pPr>
          </w:p>
        </w:tc>
        <w:tc>
          <w:tcPr>
            <w:tcW w:w="1260" w:type="dxa"/>
            <w:vAlign w:val="bottom"/>
            <w:shd w:val="clear" w:color="auto" w:fill="CCEEFF"/>
          </w:tcPr>
          <w:p>
            <w:pPr>
              <w:jc w:val="right"/>
              <w:ind w:right="123"/>
              <w:spacing w:after="0" w:line="106"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59"/>
        </w:trPr>
        <w:tc>
          <w:tcPr>
            <w:tcW w:w="4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jc w:val="center"/>
              <w:ind w:right="209"/>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1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0" w:type="dxa"/>
            <w:vAlign w:val="bottom"/>
          </w:tcPr>
          <w:p>
            <w:pPr>
              <w:spacing w:after="0"/>
              <w:rPr>
                <w:sz w:val="1"/>
                <w:szCs w:val="1"/>
                <w:color w:val="auto"/>
              </w:rPr>
            </w:pPr>
          </w:p>
        </w:tc>
      </w:tr>
      <w:tr>
        <w:trPr>
          <w:trHeight w:val="160"/>
        </w:trPr>
        <w:tc>
          <w:tcPr>
            <w:tcW w:w="37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color w:val="auto"/>
              </w:rPr>
              <w:t>Bank Lines of Credit</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Webster NMS Note</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7.94 %</w:t>
            </w:r>
          </w:p>
        </w:tc>
        <w:tc>
          <w:tcPr>
            <w:tcW w:w="0" w:type="dxa"/>
            <w:vAlign w:val="bottom"/>
          </w:tcPr>
          <w:p>
            <w:pPr>
              <w:spacing w:after="0"/>
              <w:rPr>
                <w:sz w:val="1"/>
                <w:szCs w:val="1"/>
                <w:color w:val="auto"/>
              </w:rPr>
            </w:pPr>
          </w:p>
        </w:tc>
      </w:tr>
      <w:tr>
        <w:trPr>
          <w:trHeight w:val="180"/>
        </w:trPr>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8.18 %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8.20 %</w:t>
            </w:r>
          </w:p>
        </w:tc>
        <w:tc>
          <w:tcPr>
            <w:tcW w:w="0" w:type="dxa"/>
            <w:vAlign w:val="bottom"/>
          </w:tcPr>
          <w:p>
            <w:pPr>
              <w:spacing w:after="0"/>
              <w:rPr>
                <w:sz w:val="1"/>
                <w:szCs w:val="1"/>
                <w:color w:val="auto"/>
              </w:rPr>
            </w:pPr>
          </w:p>
        </w:tc>
      </w:tr>
      <w:tr>
        <w:trPr>
          <w:trHeight w:val="180"/>
        </w:trPr>
        <w:tc>
          <w:tcPr>
            <w:tcW w:w="3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10.04 %</w:t>
            </w:r>
          </w:p>
        </w:tc>
        <w:tc>
          <w:tcPr>
            <w:tcW w:w="0" w:type="dxa"/>
            <w:vAlign w:val="bottom"/>
          </w:tcPr>
          <w:p>
            <w:pPr>
              <w:spacing w:after="0"/>
              <w:rPr>
                <w:sz w:val="1"/>
                <w:szCs w:val="1"/>
                <w:color w:val="auto"/>
              </w:rPr>
            </w:pPr>
          </w:p>
        </w:tc>
      </w:tr>
      <w:tr>
        <w:trPr>
          <w:trHeight w:val="180"/>
        </w:trPr>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0" w:type="dxa"/>
            <w:vAlign w:val="bottom"/>
          </w:tcPr>
          <w:p>
            <w:pPr>
              <w:spacing w:after="0"/>
              <w:rPr>
                <w:sz w:val="1"/>
                <w:szCs w:val="1"/>
                <w:color w:val="auto"/>
              </w:rPr>
            </w:pPr>
          </w:p>
        </w:tc>
      </w:tr>
      <w:tr>
        <w:trPr>
          <w:trHeight w:val="18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FHLB Advances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0" w:type="dxa"/>
            <w:vAlign w:val="bottom"/>
          </w:tcPr>
          <w:p>
            <w:pPr>
              <w:spacing w:after="0"/>
              <w:rPr>
                <w:sz w:val="1"/>
                <w:szCs w:val="1"/>
                <w:color w:val="auto"/>
              </w:rPr>
            </w:pPr>
          </w:p>
        </w:tc>
      </w:tr>
      <w:tr>
        <w:trPr>
          <w:trHeight w:val="180"/>
        </w:trPr>
        <w:tc>
          <w:tcPr>
            <w:tcW w:w="37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issued by Parent Company</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2024</w:t>
            </w: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38,178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0" w:type="dxa"/>
            <w:vAlign w:val="bottom"/>
          </w:tcPr>
          <w:p>
            <w:pPr>
              <w:spacing w:after="0"/>
              <w:rPr>
                <w:sz w:val="1"/>
                <w:szCs w:val="1"/>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49,564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8.13 %</w:t>
            </w:r>
          </w:p>
        </w:tc>
        <w:tc>
          <w:tcPr>
            <w:tcW w:w="0" w:type="dxa"/>
            <w:vAlign w:val="bottom"/>
          </w:tcPr>
          <w:p>
            <w:pPr>
              <w:spacing w:after="0"/>
              <w:rPr>
                <w:sz w:val="1"/>
                <w:szCs w:val="1"/>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2026</w:t>
            </w: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113,743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113,564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0" w:type="dxa"/>
            <w:vAlign w:val="bottom"/>
          </w:tcPr>
          <w:p>
            <w:pPr>
              <w:spacing w:after="0"/>
              <w:rPr>
                <w:sz w:val="1"/>
                <w:szCs w:val="1"/>
                <w:color w:val="auto"/>
              </w:rPr>
            </w:pPr>
          </w:p>
        </w:tc>
      </w:tr>
      <w:tr>
        <w:trPr>
          <w:trHeight w:val="180"/>
        </w:trPr>
        <w:tc>
          <w:tcPr>
            <w:tcW w:w="3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2028 Notes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38,378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0" w:type="dxa"/>
            <w:vAlign w:val="bottom"/>
          </w:tcPr>
          <w:p>
            <w:pPr>
              <w:spacing w:after="0"/>
              <w:rPr>
                <w:sz w:val="1"/>
                <w:szCs w:val="1"/>
                <w:color w:val="auto"/>
              </w:rPr>
            </w:pPr>
          </w:p>
        </w:tc>
      </w:tr>
      <w:tr>
        <w:trPr>
          <w:trHeight w:val="180"/>
        </w:trPr>
        <w:tc>
          <w:tcPr>
            <w:tcW w:w="3780" w:type="dxa"/>
            <w:vAlign w:val="bottom"/>
            <w:tcBorders>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payable - Securitization Trusts</w:t>
            </w:r>
            <w:r>
              <w:rPr>
                <w:rFonts w:ascii="Times New Roman" w:cs="Times New Roman" w:eastAsia="Times New Roman" w:hAnsi="Times New Roman"/>
                <w:sz w:val="18"/>
                <w:szCs w:val="18"/>
                <w:color w:val="auto"/>
                <w:vertAlign w:val="superscript"/>
              </w:rPr>
              <w:t>2</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273,269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269,480</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7.85 %</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296,223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292,112</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7.84 %</w:t>
            </w:r>
          </w:p>
        </w:tc>
        <w:tc>
          <w:tcPr>
            <w:tcW w:w="0" w:type="dxa"/>
            <w:vAlign w:val="bottom"/>
          </w:tcPr>
          <w:p>
            <w:pPr>
              <w:spacing w:after="0"/>
              <w:rPr>
                <w:sz w:val="1"/>
                <w:szCs w:val="1"/>
                <w:color w:val="auto"/>
              </w:rPr>
            </w:pPr>
          </w:p>
        </w:tc>
      </w:tr>
      <w:tr>
        <w:trPr>
          <w:trHeight w:val="196"/>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3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851,823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662,488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7.21 %</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878,235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644,122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7.04 %</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deferred financing costs.</w:t>
      </w:r>
    </w:p>
    <w:p>
      <w:pPr>
        <w:ind w:left="80" w:hanging="75"/>
        <w:spacing w:after="0" w:line="196" w:lineRule="auto"/>
        <w:tabs>
          <w:tab w:leader="none" w:pos="8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At March 31, 2024 and December 31, 2023, the net assets of the consolidated Trusts totaled $14.5 million and $14.8 million, respectively.</w:t>
      </w:r>
    </w:p>
    <w:p>
      <w:pPr>
        <w:spacing w:after="0" w:line="17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Outstanding borrowings that are presented net of deferred financing costs, which include the bank lines of credit, the 2024, 2025, 2026, and 2028 Notes, and the Notes payable - Securitization Trusts consisted of the following:</w:t>
      </w:r>
    </w:p>
    <w:p>
      <w:pPr>
        <w:spacing w:after="0" w:line="56"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400" w:type="dxa"/>
            <w:vAlign w:val="bottom"/>
            <w:tcBorders>
              <w:bottom w:val="single" w:sz="8" w:color="CCEEFF"/>
            </w:tcBorders>
          </w:tcPr>
          <w:p>
            <w:pPr>
              <w:spacing w:after="0"/>
              <w:rPr>
                <w:sz w:val="13"/>
                <w:szCs w:val="13"/>
                <w:color w:val="auto"/>
              </w:rPr>
            </w:pPr>
          </w:p>
        </w:tc>
        <w:tc>
          <w:tcPr>
            <w:tcW w:w="34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38"/>
        </w:trPr>
        <w:tc>
          <w:tcPr>
            <w:tcW w:w="400" w:type="dxa"/>
            <w:vAlign w:val="bottom"/>
            <w:shd w:val="clear" w:color="auto" w:fill="CCEEFF"/>
          </w:tcPr>
          <w:p>
            <w:pPr>
              <w:spacing w:after="0"/>
              <w:rPr>
                <w:sz w:val="11"/>
                <w:szCs w:val="11"/>
                <w:color w:val="auto"/>
              </w:rPr>
            </w:pPr>
          </w:p>
        </w:tc>
        <w:tc>
          <w:tcPr>
            <w:tcW w:w="3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Unamortized deferred</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center"/>
              <w:ind w:right="49"/>
              <w:spacing w:after="0" w:line="138" w:lineRule="exact"/>
              <w:rPr>
                <w:sz w:val="20"/>
                <w:szCs w:val="20"/>
                <w:color w:val="auto"/>
              </w:rPr>
            </w:pPr>
            <w:r>
              <w:rPr>
                <w:rFonts w:ascii="Times New Roman" w:cs="Times New Roman" w:eastAsia="Times New Roman" w:hAnsi="Times New Roman"/>
                <w:sz w:val="14"/>
                <w:szCs w:val="14"/>
                <w:color w:val="auto"/>
                <w:w w:val="99"/>
              </w:rPr>
              <w:t>Net carrying</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Unamortized deferred</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89"/>
              <w:spacing w:after="0" w:line="138" w:lineRule="exact"/>
              <w:rPr>
                <w:sz w:val="20"/>
                <w:szCs w:val="20"/>
                <w:color w:val="auto"/>
              </w:rPr>
            </w:pPr>
            <w:r>
              <w:rPr>
                <w:rFonts w:ascii="Times New Roman" w:cs="Times New Roman" w:eastAsia="Times New Roman" w:hAnsi="Times New Roman"/>
                <w:sz w:val="14"/>
                <w:szCs w:val="14"/>
                <w:color w:val="auto"/>
              </w:rPr>
              <w:t>Net carrying</w:t>
            </w:r>
          </w:p>
        </w:tc>
      </w:tr>
      <w:tr>
        <w:trPr>
          <w:trHeight w:val="191"/>
        </w:trPr>
        <w:tc>
          <w:tcPr>
            <w:tcW w:w="400" w:type="dxa"/>
            <w:vAlign w:val="bottom"/>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99"/>
              </w:rPr>
              <w:t>Principal balance</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financing costs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20"/>
              <w:spacing w:after="0" w:line="191" w:lineRule="exact"/>
              <w:rPr>
                <w:sz w:val="20"/>
                <w:szCs w:val="20"/>
                <w:color w:val="auto"/>
              </w:rPr>
            </w:pPr>
            <w:r>
              <w:rPr>
                <w:rFonts w:ascii="Times New Roman" w:cs="Times New Roman" w:eastAsia="Times New Roman" w:hAnsi="Times New Roman"/>
                <w:sz w:val="14"/>
                <w:szCs w:val="14"/>
                <w:color w:val="auto"/>
                <w:w w:val="95"/>
              </w:rPr>
              <w:t>amount</w:t>
            </w:r>
            <w:r>
              <w:rPr>
                <w:rFonts w:ascii="Times New Roman" w:cs="Times New Roman" w:eastAsia="Times New Roman" w:hAnsi="Times New Roman"/>
                <w:sz w:val="18"/>
                <w:szCs w:val="18"/>
                <w:color w:val="auto"/>
                <w:w w:val="95"/>
                <w:vertAlign w:val="superscript"/>
              </w:rPr>
              <w:t>1</w:t>
            </w:r>
          </w:p>
        </w:tc>
        <w:tc>
          <w:tcPr>
            <w:tcW w:w="11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Principal balance</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financing costs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09"/>
              <w:spacing w:after="0" w:line="191" w:lineRule="exact"/>
              <w:rPr>
                <w:sz w:val="20"/>
                <w:szCs w:val="20"/>
                <w:color w:val="auto"/>
              </w:rPr>
            </w:pPr>
            <w:r>
              <w:rPr>
                <w:rFonts w:ascii="Times New Roman" w:cs="Times New Roman" w:eastAsia="Times New Roman" w:hAnsi="Times New Roman"/>
                <w:sz w:val="14"/>
                <w:szCs w:val="14"/>
                <w:color w:val="auto"/>
              </w:rPr>
              <w:t>amount</w:t>
            </w:r>
            <w:r>
              <w:rPr>
                <w:rFonts w:ascii="Times New Roman" w:cs="Times New Roman" w:eastAsia="Times New Roman" w:hAnsi="Times New Roman"/>
                <w:sz w:val="18"/>
                <w:szCs w:val="18"/>
                <w:color w:val="auto"/>
                <w:vertAlign w:val="superscript"/>
              </w:rPr>
              <w:t>1</w:t>
            </w:r>
          </w:p>
        </w:tc>
      </w:tr>
      <w:tr>
        <w:trPr>
          <w:trHeight w:val="18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Bank Lines of Credit:</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3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Webster NMS Note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35,884</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36,881</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36,628</w:t>
            </w:r>
          </w:p>
        </w:tc>
      </w:tr>
      <w:tr>
        <w:trPr>
          <w:trHeight w:val="180"/>
        </w:trPr>
        <w:tc>
          <w:tcPr>
            <w:tcW w:w="38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20,400</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16,300</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16,080</w:t>
            </w:r>
          </w:p>
        </w:tc>
      </w:tr>
      <w:tr>
        <w:trPr>
          <w:trHeight w:val="180"/>
        </w:trPr>
        <w:tc>
          <w:tcPr>
            <w:tcW w:w="3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18,136</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6,900</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w:t>
            </w:r>
          </w:p>
        </w:tc>
      </w:tr>
      <w:tr>
        <w:trPr>
          <w:trHeight w:val="180"/>
        </w:trPr>
        <w:tc>
          <w:tcPr>
            <w:tcW w:w="38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29,850</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375</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18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issued by Parent Company:</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2024</w:t>
            </w: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38,250</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38,250</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38,124</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30,000</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29,651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30,000</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29,563</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50,000</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50,000</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49,433</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2026</w:t>
            </w: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115,000</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115,000</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113,564</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2028</w:t>
            </w: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40,000</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40,000</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38,378</w:t>
            </w:r>
          </w:p>
        </w:tc>
      </w:tr>
      <w:tr>
        <w:trPr>
          <w:trHeight w:val="18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 Securitization Trusts</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273,269</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296,223</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292,112</w:t>
            </w:r>
          </w:p>
        </w:tc>
      </w:tr>
    </w:tbl>
    <w:p>
      <w:pPr>
        <w:spacing w:after="0" w:line="123" w:lineRule="exact"/>
        <w:rPr>
          <w:sz w:val="20"/>
          <w:szCs w:val="20"/>
          <w:color w:val="auto"/>
        </w:rPr>
      </w:pPr>
    </w:p>
    <w:p>
      <w:pPr>
        <w:ind w:right="480" w:firstLine="5"/>
        <w:spacing w:after="0" w:line="230" w:lineRule="auto"/>
        <w:tabs>
          <w:tab w:leader="none" w:pos="81"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deferred financing costs. Negative borrowings outstanding are the result of the facilities being paid down to zero principal balance as of March 31, 2024 while the associated deferred financing costs remain.</w:t>
      </w:r>
    </w:p>
    <w:p>
      <w:pPr>
        <w:spacing w:after="0" w:line="17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At March 31, 2024 and December 31, 2023, the carrying amount of the Company’s borrowings under the Capital One, Deutsche Bank, Webster, and One Florida lines of credit, and the Notes payable - Securitization Trusts, approximates fair value due to their variable interest rates.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2024, the $19.7 million carrying amount of Newtek Bank’s FHLB borrowings includes a $0.1 million purchase accounting adjustment..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values of the fixed rate 2028 Notes, 2026 Notes and 2024 Notes are based on the closing public share price on the date of measurement as included in the chart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4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969"/>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440" w:type="dxa"/>
            <w:vAlign w:val="bottom"/>
            <w:tcBorders>
              <w:bottom w:val="single" w:sz="8" w:color="auto"/>
            </w:tcBorders>
          </w:tcPr>
          <w:p>
            <w:pPr>
              <w:spacing w:after="0"/>
              <w:rPr>
                <w:sz w:val="13"/>
                <w:szCs w:val="13"/>
                <w:color w:val="auto"/>
              </w:rPr>
            </w:pPr>
          </w:p>
        </w:tc>
      </w:tr>
      <w:tr>
        <w:trPr>
          <w:trHeight w:val="180"/>
        </w:trPr>
        <w:tc>
          <w:tcPr>
            <w:tcW w:w="304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Closing Price</w:t>
            </w: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Fair Value</w:t>
            </w:r>
          </w:p>
        </w:tc>
        <w:tc>
          <w:tcPr>
            <w:tcW w:w="6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Closing Price</w:t>
            </w: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Fair Value</w:t>
            </w:r>
          </w:p>
        </w:tc>
      </w:tr>
      <w:tr>
        <w:trPr>
          <w:trHeight w:val="17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Notes</w:t>
            </w:r>
          </w:p>
        </w:tc>
        <w:tc>
          <w:tcPr>
            <w:tcW w:w="1500" w:type="dxa"/>
            <w:vAlign w:val="bottom"/>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80" w:type="dxa"/>
            <w:vAlign w:val="bottom"/>
          </w:tcPr>
          <w:p>
            <w:pPr>
              <w:spacing w:after="0"/>
              <w:rPr>
                <w:sz w:val="14"/>
                <w:szCs w:val="14"/>
                <w:color w:val="auto"/>
              </w:rPr>
            </w:pPr>
          </w:p>
        </w:tc>
        <w:tc>
          <w:tcPr>
            <w:tcW w:w="1380" w:type="dxa"/>
            <w:vAlign w:val="bottom"/>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40,240</w:t>
            </w:r>
          </w:p>
        </w:tc>
        <w:tc>
          <w:tcPr>
            <w:tcW w:w="80" w:type="dxa"/>
            <w:vAlign w:val="bottom"/>
          </w:tcPr>
          <w:p>
            <w:pPr>
              <w:spacing w:after="0"/>
              <w:rPr>
                <w:sz w:val="14"/>
                <w:szCs w:val="14"/>
                <w:color w:val="auto"/>
              </w:rPr>
            </w:pPr>
          </w:p>
        </w:tc>
        <w:tc>
          <w:tcPr>
            <w:tcW w:w="1480" w:type="dxa"/>
            <w:vAlign w:val="bottom"/>
          </w:tcPr>
          <w:p>
            <w:pPr>
              <w:jc w:val="right"/>
              <w:ind w:right="13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25.04</w:t>
            </w:r>
          </w:p>
        </w:tc>
        <w:tc>
          <w:tcPr>
            <w:tcW w:w="80" w:type="dxa"/>
            <w:vAlign w:val="bottom"/>
          </w:tcPr>
          <w:p>
            <w:pPr>
              <w:spacing w:after="0"/>
              <w:rPr>
                <w:sz w:val="14"/>
                <w:szCs w:val="14"/>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40,070</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5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111,872</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109,250</w:t>
            </w:r>
          </w:p>
        </w:tc>
      </w:tr>
      <w:tr>
        <w:trPr>
          <w:trHeight w:val="184"/>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 Notes</w:t>
            </w:r>
          </w:p>
        </w:tc>
        <w:tc>
          <w:tcPr>
            <w:tcW w:w="15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38,464</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38,235</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borrowings are not recorded at fair value on a recurring basis. The fixed rate 2025 Notes are held at par as of March 31, 2024 and December 31, 2023.</w:t>
      </w:r>
    </w:p>
    <w:p>
      <w:pPr>
        <w:spacing w:after="0" w:line="179"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auto"/>
        </w:rPr>
        <w:t>Total interest expense including unused line fees and amortization of deferred financing costs related to borrowings for the three months ended March 31, 2024 and 2023 was $12.6 million and $12.7 million,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12—DERIVATIVE INSTRUMENTS:</w:t>
      </w:r>
    </w:p>
    <w:p>
      <w:pPr>
        <w:spacing w:after="0" w:line="20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The Company historically uses derivative instruments primarily to economically manage the fair value variability of certain fixed rate assets caused by interest rate fluctuations and overall portfolio market risk. The following is a breakdown of the derivatives outstanding as of March 31, 2024 and December 31, 2023:</w:t>
      </w: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220" w:type="dxa"/>
            <w:vAlign w:val="bottom"/>
            <w:tcBorders>
              <w:bottom w:val="single" w:sz="8" w:color="auto"/>
            </w:tcBorders>
          </w:tcPr>
          <w:p>
            <w:pPr>
              <w:spacing w:after="0"/>
              <w:rPr>
                <w:sz w:val="13"/>
                <w:szCs w:val="13"/>
                <w:color w:val="auto"/>
              </w:rPr>
            </w:pPr>
          </w:p>
        </w:tc>
      </w:tr>
      <w:tr>
        <w:trPr>
          <w:trHeight w:val="150"/>
        </w:trPr>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w:t>
            </w:r>
          </w:p>
        </w:tc>
      </w:tr>
      <w:tr>
        <w:trPr>
          <w:trHeight w:val="159"/>
        </w:trPr>
        <w:tc>
          <w:tcPr>
            <w:tcW w:w="2340" w:type="dxa"/>
            <w:vAlign w:val="bottom"/>
            <w:gridSpan w:val="2"/>
          </w:tcPr>
          <w:p>
            <w:pPr>
              <w:ind w:left="780"/>
              <w:spacing w:after="0"/>
              <w:rPr>
                <w:sz w:val="20"/>
                <w:szCs w:val="20"/>
                <w:color w:val="auto"/>
              </w:rPr>
            </w:pPr>
            <w:r>
              <w:rPr>
                <w:rFonts w:ascii="Times New Roman" w:cs="Times New Roman" w:eastAsia="Times New Roman" w:hAnsi="Times New Roman"/>
                <w:sz w:val="11"/>
                <w:szCs w:val="11"/>
                <w:b w:val="1"/>
                <w:bCs w:val="1"/>
                <w:color w:val="auto"/>
              </w:rPr>
              <w:t>Contract Type</w:t>
            </w:r>
          </w:p>
        </w:tc>
        <w:tc>
          <w:tcPr>
            <w:tcW w:w="160" w:type="dxa"/>
            <w:vAlign w:val="bottom"/>
          </w:tcPr>
          <w:p>
            <w:pPr>
              <w:spacing w:after="0"/>
              <w:rPr>
                <w:sz w:val="13"/>
                <w:szCs w:val="13"/>
                <w:color w:val="auto"/>
              </w:rPr>
            </w:pPr>
          </w:p>
        </w:tc>
        <w:tc>
          <w:tcPr>
            <w:tcW w:w="90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b w:val="1"/>
                <w:bCs w:val="1"/>
                <w:color w:val="auto"/>
              </w:rPr>
              <w:t>Notional</w:t>
            </w:r>
            <w:r>
              <w:rPr>
                <w:rFonts w:ascii="Times New Roman" w:cs="Times New Roman" w:eastAsia="Times New Roman" w:hAnsi="Times New Roman"/>
                <w:sz w:val="14"/>
                <w:szCs w:val="14"/>
                <w:b w:val="1"/>
                <w:bCs w:val="1"/>
                <w:color w:val="auto"/>
                <w:vertAlign w:val="superscript"/>
              </w:rPr>
              <w:t>1</w:t>
            </w:r>
          </w:p>
        </w:tc>
        <w:tc>
          <w:tcPr>
            <w:tcW w:w="200" w:type="dxa"/>
            <w:vAlign w:val="bottom"/>
          </w:tcPr>
          <w:p>
            <w:pPr>
              <w:spacing w:after="0"/>
              <w:rPr>
                <w:sz w:val="13"/>
                <w:szCs w:val="13"/>
                <w:color w:val="auto"/>
              </w:rPr>
            </w:pP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Asset</w:t>
            </w:r>
          </w:p>
        </w:tc>
        <w:tc>
          <w:tcPr>
            <w:tcW w:w="740" w:type="dxa"/>
            <w:vAlign w:val="bottom"/>
          </w:tcPr>
          <w:p>
            <w:pPr>
              <w:jc w:val="right"/>
              <w:ind w:right="196"/>
              <w:spacing w:after="0" w:line="159" w:lineRule="exact"/>
              <w:rPr>
                <w:sz w:val="20"/>
                <w:szCs w:val="20"/>
                <w:color w:val="auto"/>
              </w:rPr>
            </w:pPr>
            <w:r>
              <w:rPr>
                <w:rFonts w:ascii="Times New Roman" w:cs="Times New Roman" w:eastAsia="Times New Roman" w:hAnsi="Times New Roman"/>
                <w:sz w:val="11"/>
                <w:szCs w:val="11"/>
                <w:b w:val="1"/>
                <w:bCs w:val="1"/>
                <w:color w:val="auto"/>
              </w:rPr>
              <w:t>Liability</w:t>
            </w:r>
            <w:r>
              <w:rPr>
                <w:rFonts w:ascii="Times New Roman" w:cs="Times New Roman" w:eastAsia="Times New Roman" w:hAnsi="Times New Roman"/>
                <w:sz w:val="14"/>
                <w:szCs w:val="14"/>
                <w:b w:val="1"/>
                <w:bCs w:val="1"/>
                <w:color w:val="auto"/>
                <w:vertAlign w:val="superscript"/>
              </w:rPr>
              <w:t>2</w:t>
            </w:r>
          </w:p>
        </w:tc>
        <w:tc>
          <w:tcPr>
            <w:tcW w:w="80" w:type="dxa"/>
            <w:vAlign w:val="bottom"/>
          </w:tcPr>
          <w:p>
            <w:pPr>
              <w:spacing w:after="0"/>
              <w:rPr>
                <w:sz w:val="13"/>
                <w:szCs w:val="13"/>
                <w:color w:val="auto"/>
              </w:rPr>
            </w:pPr>
          </w:p>
        </w:tc>
        <w:tc>
          <w:tcPr>
            <w:tcW w:w="1460" w:type="dxa"/>
            <w:vAlign w:val="bottom"/>
            <w:gridSpan w:val="3"/>
          </w:tcPr>
          <w:p>
            <w:pPr>
              <w:jc w:val="center"/>
              <w:ind w:right="189"/>
              <w:spacing w:after="0"/>
              <w:rPr>
                <w:sz w:val="20"/>
                <w:szCs w:val="20"/>
                <w:color w:val="auto"/>
              </w:rPr>
            </w:pPr>
            <w:r>
              <w:rPr>
                <w:rFonts w:ascii="Times New Roman" w:cs="Times New Roman" w:eastAsia="Times New Roman" w:hAnsi="Times New Roman"/>
                <w:sz w:val="11"/>
                <w:szCs w:val="11"/>
                <w:b w:val="1"/>
                <w:bCs w:val="1"/>
                <w:color w:val="auto"/>
              </w:rPr>
              <w:t>Maturity (years)</w:t>
            </w:r>
          </w:p>
        </w:tc>
        <w:tc>
          <w:tcPr>
            <w:tcW w:w="88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b w:val="1"/>
                <w:bCs w:val="1"/>
                <w:color w:val="auto"/>
              </w:rPr>
              <w:t>Notional</w:t>
            </w:r>
            <w:r>
              <w:rPr>
                <w:rFonts w:ascii="Times New Roman" w:cs="Times New Roman" w:eastAsia="Times New Roman" w:hAnsi="Times New Roman"/>
                <w:sz w:val="14"/>
                <w:szCs w:val="14"/>
                <w:b w:val="1"/>
                <w:bCs w:val="1"/>
                <w:color w:val="auto"/>
                <w:vertAlign w:val="superscript"/>
              </w:rPr>
              <w:t>1</w:t>
            </w:r>
          </w:p>
        </w:tc>
        <w:tc>
          <w:tcPr>
            <w:tcW w:w="220" w:type="dxa"/>
            <w:vAlign w:val="bottom"/>
          </w:tcPr>
          <w:p>
            <w:pPr>
              <w:spacing w:after="0"/>
              <w:rPr>
                <w:sz w:val="13"/>
                <w:szCs w:val="13"/>
                <w:color w:val="auto"/>
              </w:rPr>
            </w:pP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Asset</w:t>
            </w:r>
          </w:p>
        </w:tc>
        <w:tc>
          <w:tcPr>
            <w:tcW w:w="740" w:type="dxa"/>
            <w:vAlign w:val="bottom"/>
          </w:tcPr>
          <w:p>
            <w:pPr>
              <w:jc w:val="right"/>
              <w:ind w:right="196"/>
              <w:spacing w:after="0" w:line="159" w:lineRule="exact"/>
              <w:rPr>
                <w:sz w:val="20"/>
                <w:szCs w:val="20"/>
                <w:color w:val="auto"/>
              </w:rPr>
            </w:pPr>
            <w:r>
              <w:rPr>
                <w:rFonts w:ascii="Times New Roman" w:cs="Times New Roman" w:eastAsia="Times New Roman" w:hAnsi="Times New Roman"/>
                <w:sz w:val="11"/>
                <w:szCs w:val="11"/>
                <w:b w:val="1"/>
                <w:bCs w:val="1"/>
                <w:color w:val="auto"/>
              </w:rPr>
              <w:t>Liability</w:t>
            </w:r>
            <w:r>
              <w:rPr>
                <w:rFonts w:ascii="Times New Roman" w:cs="Times New Roman" w:eastAsia="Times New Roman" w:hAnsi="Times New Roman"/>
                <w:sz w:val="14"/>
                <w:szCs w:val="14"/>
                <w:b w:val="1"/>
                <w:bCs w:val="1"/>
                <w:color w:val="auto"/>
                <w:vertAlign w:val="superscript"/>
              </w:rPr>
              <w:t>2</w:t>
            </w: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Maturity (years)</w:t>
            </w:r>
          </w:p>
        </w:tc>
      </w:tr>
      <w:tr>
        <w:trPr>
          <w:trHeight w:val="171"/>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5-year Treasury Futures</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(43,517)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0.25 years</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0.25 years</w:t>
            </w:r>
          </w:p>
        </w:tc>
      </w:tr>
    </w:tbl>
    <w:p>
      <w:pPr>
        <w:spacing w:after="0" w:line="270" w:lineRule="exact"/>
        <w:rPr>
          <w:sz w:val="20"/>
          <w:szCs w:val="20"/>
          <w:color w:val="auto"/>
        </w:rPr>
      </w:pPr>
    </w:p>
    <w:p>
      <w:pPr>
        <w:ind w:left="80" w:hanging="75"/>
        <w:spacing w:after="0"/>
        <w:tabs>
          <w:tab w:leader="none" w:pos="80"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Shown as a negative number when the position is sold short.</w:t>
      </w:r>
    </w:p>
    <w:p>
      <w:pPr>
        <w:ind w:left="80" w:hanging="75"/>
        <w:spacing w:after="0" w:line="196" w:lineRule="auto"/>
        <w:tabs>
          <w:tab w:leader="none" w:pos="8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Shown in Accounts Payable, Accrued Expenses, and Other Liabilities in the accompanying consolidated balance sheets.</w:t>
      </w:r>
    </w:p>
    <w:p>
      <w:pPr>
        <w:spacing w:after="0" w:line="177"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The following table indicates the net realized gains (losses) and unrealized appreciation (depreciation) on derivatives as included in Other Noninterest Income in the consolidated statements of operations for the three months ended March 31, 2024 and 2023:</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936"/>
              <w:spacing w:after="0"/>
              <w:rPr>
                <w:sz w:val="20"/>
                <w:szCs w:val="20"/>
                <w:color w:val="auto"/>
              </w:rPr>
            </w:pPr>
            <w:r>
              <w:rPr>
                <w:rFonts w:ascii="Times New Roman" w:cs="Times New Roman" w:eastAsia="Times New Roman" w:hAnsi="Times New Roman"/>
                <w:sz w:val="11"/>
                <w:szCs w:val="11"/>
                <w:b w:val="1"/>
                <w:bCs w:val="1"/>
                <w:color w:val="auto"/>
              </w:rPr>
              <w:t>March 31, 2023</w:t>
            </w:r>
          </w:p>
        </w:tc>
        <w:tc>
          <w:tcPr>
            <w:tcW w:w="0" w:type="dxa"/>
            <w:vAlign w:val="bottom"/>
          </w:tcPr>
          <w:p>
            <w:pPr>
              <w:spacing w:after="0"/>
              <w:rPr>
                <w:sz w:val="1"/>
                <w:szCs w:val="1"/>
                <w:color w:val="auto"/>
              </w:rPr>
            </w:pPr>
          </w:p>
        </w:tc>
      </w:tr>
      <w:tr>
        <w:trPr>
          <w:trHeight w:val="104"/>
        </w:trPr>
        <w:tc>
          <w:tcPr>
            <w:tcW w:w="5620" w:type="dxa"/>
            <w:vAlign w:val="bottom"/>
            <w:gridSpan w:val="2"/>
            <w:vMerge w:val="restart"/>
          </w:tcPr>
          <w:p>
            <w:pPr>
              <w:ind w:left="2420"/>
              <w:spacing w:after="0"/>
              <w:rPr>
                <w:sz w:val="20"/>
                <w:szCs w:val="20"/>
                <w:color w:val="auto"/>
              </w:rPr>
            </w:pPr>
            <w:r>
              <w:rPr>
                <w:rFonts w:ascii="Times New Roman" w:cs="Times New Roman" w:eastAsia="Times New Roman" w:hAnsi="Times New Roman"/>
                <w:sz w:val="11"/>
                <w:szCs w:val="11"/>
                <w:b w:val="1"/>
                <w:bCs w:val="1"/>
                <w:color w:val="auto"/>
              </w:rPr>
              <w:t>Contract Type</w:t>
            </w:r>
          </w:p>
        </w:tc>
        <w:tc>
          <w:tcPr>
            <w:tcW w:w="260" w:type="dxa"/>
            <w:vAlign w:val="bottom"/>
          </w:tcPr>
          <w:p>
            <w:pPr>
              <w:spacing w:after="0"/>
              <w:rPr>
                <w:sz w:val="9"/>
                <w:szCs w:val="9"/>
                <w:color w:val="auto"/>
              </w:rPr>
            </w:pPr>
          </w:p>
        </w:tc>
        <w:tc>
          <w:tcPr>
            <w:tcW w:w="1220" w:type="dxa"/>
            <w:vAlign w:val="bottom"/>
            <w:gridSpan w:val="2"/>
          </w:tcPr>
          <w:p>
            <w:pPr>
              <w:ind w:left="160"/>
              <w:spacing w:after="0" w:line="104"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00" w:type="dxa"/>
            <w:vAlign w:val="bottom"/>
          </w:tcPr>
          <w:p>
            <w:pPr>
              <w:spacing w:after="0"/>
              <w:rPr>
                <w:sz w:val="9"/>
                <w:szCs w:val="9"/>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Realized Gain/(Loss)</w:t>
            </w:r>
          </w:p>
        </w:tc>
        <w:tc>
          <w:tcPr>
            <w:tcW w:w="980" w:type="dxa"/>
            <w:vAlign w:val="bottom"/>
          </w:tcPr>
          <w:p>
            <w:pPr>
              <w:ind w:left="440"/>
              <w:spacing w:after="0" w:line="104"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restart"/>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Realized Gain/(Loss)</w:t>
            </w:r>
          </w:p>
        </w:tc>
        <w:tc>
          <w:tcPr>
            <w:tcW w:w="0" w:type="dxa"/>
            <w:vAlign w:val="bottom"/>
          </w:tcPr>
          <w:p>
            <w:pPr>
              <w:spacing w:after="0"/>
              <w:rPr>
                <w:sz w:val="1"/>
                <w:szCs w:val="1"/>
                <w:color w:val="auto"/>
              </w:rPr>
            </w:pPr>
          </w:p>
        </w:tc>
      </w:tr>
      <w:tr>
        <w:trPr>
          <w:trHeight w:val="153"/>
        </w:trPr>
        <w:tc>
          <w:tcPr>
            <w:tcW w:w="5620" w:type="dxa"/>
            <w:vAlign w:val="bottom"/>
            <w:gridSpan w:val="2"/>
            <w:vMerge w:val="continue"/>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Appreciation/(Depreciation)</w:t>
            </w:r>
          </w:p>
        </w:tc>
        <w:tc>
          <w:tcPr>
            <w:tcW w:w="1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Appreciation/(Depreciation)</w:t>
            </w:r>
          </w:p>
        </w:tc>
        <w:tc>
          <w:tcPr>
            <w:tcW w:w="1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5-year Treasury Futures</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Collateral posted with our futures counterparty is segregated in the Company’s books and records. Historically, the Company’s counterparty has held cash margin as collateral for derivatives, which is included in restricted cash in the consolidated balance sheets. Interest rate futures are centrally cleared by the Chicago Mercantile Exchange (“CME”) through a futures commission merchant. The Company is required to post initial margin and daily variation margin for interest rate futures that are centrally cleared by CME. CME determines the fair value of our centrally cleared futures, including daily variation margin. Variation margin pledged on the Company’s centrally cleared interest rate futures is settled against the realized results of these futures.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and Employment Commitments</w:t>
      </w:r>
    </w:p>
    <w:p>
      <w:pPr>
        <w:spacing w:after="0" w:line="181"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Company leases office space and other office equipment in several states under operating lease agreements which expire at various dates through 2027. Those office space leases which are for more than one year generally contain scheduled rent increases or escalation clauses. In addition, during 2024, the Company entered into one-year employment agreements with its named executive officers.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Company’s obligations and commitments, as of March 31, 2024 for future minimum cash payments required under operating lease and employment agreements: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160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Employment Agreements</w:t>
            </w:r>
            <w:r>
              <w:rPr>
                <w:rFonts w:ascii="Times New Roman" w:cs="Times New Roman" w:eastAsia="Times New Roman" w:hAnsi="Times New Roman"/>
                <w:sz w:val="14"/>
                <w:szCs w:val="14"/>
                <w:b w:val="1"/>
                <w:bCs w:val="1"/>
                <w:color w:val="auto"/>
                <w:vertAlign w:val="superscript"/>
              </w:rPr>
              <w:t>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jc w:val="right"/>
              <w:ind w:right="8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1"/>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600" w:type="dxa"/>
            <w:vAlign w:val="bottom"/>
            <w:shd w:val="clear" w:color="auto" w:fill="CCEEFF"/>
          </w:tcPr>
          <w:p>
            <w:pPr>
              <w:jc w:val="right"/>
              <w:ind w:right="145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153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w:t>
            </w:r>
          </w:p>
        </w:tc>
      </w:tr>
      <w:tr>
        <w:trPr>
          <w:trHeight w:val="18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3,201</w:t>
            </w:r>
          </w:p>
        </w:tc>
      </w:tr>
      <w:tr>
        <w:trPr>
          <w:trHeight w:val="18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r>
      <w:tr>
        <w:trPr>
          <w:trHeight w:val="18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r>
      <w:tr>
        <w:trPr>
          <w:trHeight w:val="18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6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6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tcBorders>
              <w:top w:val="single" w:sz="8" w:color="auto"/>
              <w:bottom w:val="single" w:sz="8" w:color="auto"/>
            </w:tcBorders>
            <w:shd w:val="clear" w:color="auto" w:fill="CCEEFF"/>
          </w:tcPr>
          <w:p>
            <w:pPr>
              <w:jc w:val="right"/>
              <w:ind w:right="145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auto"/>
              <w:bottom w:val="single" w:sz="8" w:color="auto"/>
            </w:tcBorders>
            <w:shd w:val="clear" w:color="auto" w:fill="CCEEFF"/>
          </w:tcPr>
          <w:p>
            <w:pPr>
              <w:jc w:val="right"/>
              <w:ind w:right="153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Employment agreements with certain of the Company’s named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Matters</w:t>
      </w:r>
    </w:p>
    <w:p>
      <w:pPr>
        <w:spacing w:after="0" w:line="19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4"/>
          <w:szCs w:val="14"/>
          <w:color w:val="auto"/>
        </w:rPr>
        <w:t>The Company and its subsidiaries are routinely subject to actual or threatened legal proceedings, including litigation and regulatory matters, arising in the ordinary course of business. Litigation matters range from individual actions involving a single plaintiff to class action lawsuits and can involve claims for substantial or indeterminate alleged damages or for injunctive or other relief. Regulatory investigations and enforcement matters may involve formal or informal proceedings and other inquiries initiated by various governmental agencies, law enforcement authorities, and self-regulatory organizations, and can result in fines, penalties, restitution, changes to the Company’s business practices, and other related costs, including reputational damage. At any given time, these legal proceedings are at varying stages of adjudication, arbitration, or investigation, and may relate to a variety of topics.</w:t>
      </w:r>
    </w:p>
    <w:p>
      <w:pPr>
        <w:spacing w:after="0" w:line="165"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4"/>
          <w:szCs w:val="14"/>
          <w:color w:val="auto"/>
        </w:rPr>
        <w:t>Assessment of exposure that could result from legal proceedings is complex because these proceedings often involve inherently unpredictable factors, including, but not limited to, the following: whether the proceeding is in early stages; whether damages or the amount of potential fines, penalties, and restitution are unspecified, unsupported, or uncertain; whether there is a potential for punitive or other pecuniary damages; whether the matter involves legal uncertainties, including novel issues of law; whether the matter involves multiple parties and/or jurisdictions; whether discovery or other investigation has begun or is not complete; whether material facts may be disputed or unsubstantiated; whether meaningful settlement discussions have commenced; and whether the matter involves class allegations. As a result of these complexities, the Company may be unable to develop an estimate or range of loss.</w:t>
      </w:r>
    </w:p>
    <w:p>
      <w:pPr>
        <w:spacing w:after="0" w:line="16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The Company evaluates legal proceedings based on information currently available, including advice of counsel. The Company establishes accruals for those matters, pursuant to ASC 450, when a loss is considered probable and the related amount is reasonably estimable.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 As of March 31, 2024, the Company had accrued an immaterial reserve that we believe is appropriate to cover potential settlements.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available information changes, the matters for which the Company is able to estimate, as well as the estimates themselves, will be adjusted accordingly. The Company’s estimates are subject to significant judgment and uncertainties, and the matters underlying the estimates will change from time to time. In the event of unexpected future developments, it is possible that an adverse outcome in any such matter could be material to the Company’s business, consolidated financial position, results of operations, or cash flows as a whole for any particular reporting period of occurrence.</w:t>
      </w:r>
    </w:p>
    <w:p>
      <w:pPr>
        <w:spacing w:after="0" w:line="16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 addition. as a result of a litigation brought by the Federal Trade Commission (the “FTC”) in October 2012, NMS voluntarily entered into, and continues to operate under, a permanent injunction with respect to certain of its business practices.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Unfunded Commitments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At March 31, 2024, the Company had $108.8 million of unfunded commitments consisting of $15.9 million in connection with its SBA 7(a) loans, $87.7 million in connection with its SBA 504 loans, none in connection with its ALP loans, and $5.3 million relating to commercial and industrial loans. The Company anticipates these commitments will be funded from the same sources it used to fund its other loan commitments.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14—STOCK BASED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Plans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accounts for its stock-based compensation plan using the fair value method, as prescribed by ASC 718, Compensation—Stock Compensation. Accordingly, for restricted stock awards, the Company measures the grant date fair value based upon the market price of its Common Stock on the date of the grant and amortizes the fair value of the awards as stock-based compensation expense over the requisite service period, which is generally the vesting term.</w:t>
      </w:r>
    </w:p>
    <w:p>
      <w:pPr>
        <w:spacing w:after="0" w:line="13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Compensation, Corporate Governance and Nominating Committee of the Board approves the issuance of awards of restricted stock to employees and directors pursuant to the 2023 Stock Incentive Plan, which was approved by the Board in April 2023 and the Company’s shareholders on June 14, 2023. No new awards may be granted under the 2015 Stock Incentive Plan, which was terminated by the Board in April 2023. The following table summarizes the restricted stock issuances under the 2015 and 2023 Stock Incentive Plans, net of shares forfeited, if any:</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9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2023 Plan</w:t>
            </w:r>
            <w:r>
              <w:rPr>
                <w:rFonts w:ascii="Times New Roman" w:cs="Times New Roman" w:eastAsia="Times New Roman" w:hAnsi="Times New Roman"/>
                <w:sz w:val="18"/>
                <w:szCs w:val="18"/>
                <w:color w:val="auto"/>
                <w:vertAlign w:val="superscript"/>
              </w:rPr>
              <w:t>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2015 Plan</w:t>
            </w:r>
          </w:p>
        </w:tc>
      </w:tr>
      <w:tr>
        <w:trPr>
          <w:trHeight w:val="171"/>
        </w:trPr>
        <w:tc>
          <w:tcPr>
            <w:tcW w:w="792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color w:val="auto"/>
              </w:rPr>
              <w:t>Restricted Stock authorized under the plan</w:t>
            </w:r>
            <w:r>
              <w:rPr>
                <w:rFonts w:ascii="Times New Roman" w:cs="Times New Roman" w:eastAsia="Times New Roman" w:hAnsi="Times New Roman"/>
                <w:sz w:val="18"/>
                <w:szCs w:val="18"/>
                <w:color w:val="auto"/>
                <w:vertAlign w:val="superscript"/>
              </w:rPr>
              <w:t>1</w:t>
            </w:r>
          </w:p>
        </w:tc>
        <w:tc>
          <w:tcPr>
            <w:tcW w:w="13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3.0 million</w:t>
            </w:r>
          </w:p>
        </w:tc>
        <w:tc>
          <w:tcPr>
            <w:tcW w:w="80" w:type="dxa"/>
            <w:vAlign w:val="bottom"/>
          </w:tcPr>
          <w:p>
            <w:pPr>
              <w:spacing w:after="0"/>
              <w:rPr>
                <w:sz w:val="14"/>
                <w:szCs w:val="14"/>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 million</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restricted stock (granted)/forfeited during:</w:t>
            </w: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80"/>
        </w:trPr>
        <w:tc>
          <w:tcPr>
            <w:tcW w:w="7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2020 and prior</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(223)</w:t>
            </w:r>
          </w:p>
        </w:tc>
      </w:tr>
      <w:tr>
        <w:trPr>
          <w:trHeight w:val="180"/>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(215)</w:t>
            </w:r>
          </w:p>
        </w:tc>
      </w:tr>
      <w:tr>
        <w:trPr>
          <w:trHeight w:val="180"/>
        </w:trPr>
        <w:tc>
          <w:tcPr>
            <w:tcW w:w="7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(251)</w:t>
            </w:r>
          </w:p>
        </w:tc>
      </w:tr>
      <w:tr>
        <w:trPr>
          <w:trHeight w:val="180"/>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r>
      <w:tr>
        <w:trPr>
          <w:trHeight w:val="180"/>
        </w:trPr>
        <w:tc>
          <w:tcPr>
            <w:tcW w:w="7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Three months ended March 31, 2024</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96"/>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restricted stock (granted)/forfeited</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(661)</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80" w:hanging="75"/>
        <w:spacing w:after="0"/>
        <w:tabs>
          <w:tab w:leader="none" w:pos="8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 stock options were granted under the 2015 or 2023 Stock Incentive Plan.</w:t>
      </w:r>
    </w:p>
    <w:p>
      <w:pPr>
        <w:ind w:left="80" w:hanging="75"/>
        <w:spacing w:after="0" w:line="205" w:lineRule="auto"/>
        <w:tabs>
          <w:tab w:leader="none" w:pos="80"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2023 Stock Incentive Plan provides for an initial share reserve of up to 3.0 million shares of Common Stock.</w:t>
      </w:r>
    </w:p>
    <w:p>
      <w:pPr>
        <w:spacing w:after="0" w:line="17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Awards of restricted stock granted under the 2015 and 2023 Stock Incentive Plans generally vest over a one- to three-year period from the grant date; awards of restricted stock granted under the 2023 Stock Incentive Plan to non-employee directors generally vest over a one-year period. The fair value is expensed over the service period, starting on the grant date.</w:t>
      </w:r>
    </w:p>
    <w:p>
      <w:pPr>
        <w:spacing w:after="0" w:line="145"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As of March 31, 2024, there was $3.5 million of total unrecognized compensation expense related to unvested shares of restricted stock granted. This compensation expense is expected to be recognized over a remaining weighted-average period of approximately 1.8 years as of March 31,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Shares outstanding</w:t>
      </w:r>
    </w:p>
    <w:p>
      <w:pPr>
        <w:spacing w:after="0" w:line="20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As of March 31, 2024, the Company has 345 thousand shares outstanding related to grants of restricted stock awards. The awards were issued at a weighted average grant date fair value of $17.89. In addition, there are 35 thousand shares outstanding relating to dividends on unvested restricted stock awards as of March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2024 and 2023, additional shares were issued related to dividends on unvested shares of restricted stock granted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0" w:type="dxa"/>
            <w:vAlign w:val="bottom"/>
            <w:gridSpan w:val="7"/>
          </w:tcPr>
          <w:p>
            <w:pPr>
              <w:ind w:left="120"/>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tc>
        <w:tc>
          <w:tcPr>
            <w:tcW w:w="440" w:type="dxa"/>
            <w:vAlign w:val="bottom"/>
          </w:tcPr>
          <w:p>
            <w:pPr>
              <w:spacing w:after="0"/>
              <w:rPr>
                <w:sz w:val="13"/>
                <w:szCs w:val="13"/>
                <w:color w:val="auto"/>
              </w:rPr>
            </w:pPr>
          </w:p>
        </w:tc>
        <w:tc>
          <w:tcPr>
            <w:tcW w:w="2500" w:type="dxa"/>
            <w:vAlign w:val="bottom"/>
            <w:gridSpan w:val="6"/>
          </w:tcPr>
          <w:p>
            <w:pPr>
              <w:ind w:left="120"/>
              <w:spacing w:after="0"/>
              <w:rPr>
                <w:sz w:val="20"/>
                <w:szCs w:val="20"/>
                <w:color w:val="auto"/>
              </w:rPr>
            </w:pPr>
            <w:r>
              <w:rPr>
                <w:rFonts w:ascii="Times New Roman" w:cs="Times New Roman" w:eastAsia="Times New Roman" w:hAnsi="Times New Roman"/>
                <w:sz w:val="11"/>
                <w:szCs w:val="11"/>
                <w:b w:val="1"/>
                <w:bCs w:val="1"/>
                <w:color w:val="auto"/>
              </w:rPr>
              <w:t>Three Months Ended March 31, 2023</w:t>
            </w:r>
          </w:p>
        </w:tc>
      </w:tr>
      <w:tr>
        <w:trPr>
          <w:trHeight w:val="159"/>
        </w:trPr>
        <w:tc>
          <w:tcPr>
            <w:tcW w:w="53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gridSpan w:val="3"/>
            <w:shd w:val="clear" w:color="auto" w:fill="CCEEFF"/>
          </w:tcPr>
          <w:p>
            <w:pPr>
              <w:jc w:val="center"/>
              <w:ind w:right="520"/>
              <w:spacing w:after="0" w:line="117" w:lineRule="exact"/>
              <w:rPr>
                <w:sz w:val="20"/>
                <w:szCs w:val="20"/>
                <w:color w:val="auto"/>
              </w:rPr>
            </w:pPr>
            <w:r>
              <w:rPr>
                <w:rFonts w:ascii="Times New Roman" w:cs="Times New Roman" w:eastAsia="Times New Roman" w:hAnsi="Times New Roman"/>
                <w:sz w:val="11"/>
                <w:szCs w:val="11"/>
                <w:b w:val="1"/>
                <w:bCs w:val="1"/>
                <w:color w:val="auto"/>
              </w:rPr>
              <w:t># of Shares</w:t>
            </w:r>
          </w:p>
        </w:tc>
        <w:tc>
          <w:tcPr>
            <w:tcW w:w="1440" w:type="dxa"/>
            <w:vAlign w:val="bottom"/>
            <w:tcBorders>
              <w:top w:val="single" w:sz="8" w:color="auto"/>
            </w:tcBorders>
            <w:gridSpan w:val="3"/>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 of Shares</w:t>
            </w: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gridSpan w:val="4"/>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 of Shares</w:t>
            </w:r>
          </w:p>
        </w:tc>
        <w:tc>
          <w:tcPr>
            <w:tcW w:w="1420" w:type="dxa"/>
            <w:vAlign w:val="bottom"/>
            <w:tcBorders>
              <w:top w:val="single" w:sz="8" w:color="auto"/>
            </w:tcBorders>
            <w:gridSpan w:val="3"/>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 of Shares</w:t>
            </w:r>
          </w:p>
        </w:tc>
      </w:tr>
      <w:tr>
        <w:trPr>
          <w:trHeight w:val="175"/>
        </w:trPr>
        <w:tc>
          <w:tcPr>
            <w:tcW w:w="5300" w:type="dxa"/>
            <w:vAlign w:val="bottom"/>
            <w:tcBorders>
              <w:top w:val="single" w:sz="8" w:color="CCEEFF"/>
            </w:tcBorders>
          </w:tcPr>
          <w:p>
            <w:pPr>
              <w:ind w:left="980"/>
              <w:spacing w:after="0"/>
              <w:rPr>
                <w:sz w:val="20"/>
                <w:szCs w:val="20"/>
                <w:color w:val="auto"/>
              </w:rPr>
            </w:pPr>
            <w:r>
              <w:rPr>
                <w:rFonts w:ascii="Times New Roman" w:cs="Times New Roman" w:eastAsia="Times New Roman" w:hAnsi="Times New Roman"/>
                <w:sz w:val="14"/>
                <w:szCs w:val="14"/>
                <w:color w:val="auto"/>
              </w:rPr>
              <w:t>Dividends on Unvested Shares of Restricted Stock Grants</w:t>
            </w:r>
          </w:p>
        </w:tc>
        <w:tc>
          <w:tcPr>
            <w:tcW w:w="980" w:type="dxa"/>
            <w:vAlign w:val="bottom"/>
            <w:tcBorders>
              <w:top w:val="single" w:sz="8" w:color="auto"/>
            </w:tcBorders>
            <w:gridSpan w:val="2"/>
          </w:tcPr>
          <w:p>
            <w:pPr>
              <w:jc w:val="right"/>
              <w:ind w:right="183"/>
              <w:spacing w:after="0"/>
              <w:rPr>
                <w:sz w:val="20"/>
                <w:szCs w:val="20"/>
                <w:color w:val="auto"/>
              </w:rPr>
            </w:pPr>
            <w:r>
              <w:rPr>
                <w:rFonts w:ascii="Times New Roman" w:cs="Times New Roman" w:eastAsia="Times New Roman" w:hAnsi="Times New Roman"/>
                <w:sz w:val="14"/>
                <w:szCs w:val="14"/>
                <w:color w:val="auto"/>
              </w:rPr>
              <w:t>6</w:t>
            </w: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$71</w:t>
            </w: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gridSpan w:val="2"/>
          </w:tcPr>
          <w:p>
            <w:pPr>
              <w:jc w:val="right"/>
              <w:ind w:right="183"/>
              <w:spacing w:after="0"/>
              <w:rPr>
                <w:sz w:val="20"/>
                <w:szCs w:val="20"/>
                <w:color w:val="auto"/>
              </w:rPr>
            </w:pPr>
            <w:r>
              <w:rPr>
                <w:rFonts w:ascii="Times New Roman" w:cs="Times New Roman" w:eastAsia="Times New Roman" w:hAnsi="Times New Roman"/>
                <w:sz w:val="14"/>
                <w:szCs w:val="14"/>
                <w:color w:val="auto"/>
              </w:rPr>
              <w:t>5</w:t>
            </w:r>
          </w:p>
        </w:tc>
        <w:tc>
          <w:tcPr>
            <w:tcW w:w="4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$60</w:t>
            </w:r>
          </w:p>
        </w:tc>
        <w:tc>
          <w:tcPr>
            <w:tcW w:w="440" w:type="dxa"/>
            <w:vAlign w:val="bottom"/>
            <w:tcBorders>
              <w:top w:val="single" w:sz="8" w:color="auto"/>
            </w:tcBorders>
          </w:tcPr>
          <w:p>
            <w:pPr>
              <w:spacing w:after="0"/>
              <w:rPr>
                <w:sz w:val="15"/>
                <w:szCs w:val="15"/>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months ended March 31, 2024 and 2023 the Company recognized total stock-based compensation expense of $0.7 million and $0.7 million, respectively.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15—SHAREHOLDERS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2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On February 3, 2023, we entered into a Securities Purchase Agreement (the “Securities Purchase Agreement”) with Patriot Financial Partners IV, L.P., and Patriot Financial Partners Parallel IV, L.P. (collectively, “Patriot”) in respect of 20 thousand shares of the Company’s Series A Convertible Preferred Stock, par value $0.02 per share (the “Series A Preferred Stock”), in a private placement transaction. The aggregate purchase price was $20.0 million. Each share of Series A Preferred Stock was issued at a price of $1.0 thousand per share and is convertible at the holder’s option into 47.54053782 shares of the Company’s Common Stock. The Company had not issued preferred stock prior to February 3,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 for Common Stock</w:t>
      </w:r>
    </w:p>
    <w:p>
      <w:pPr>
        <w:spacing w:after="0" w:line="2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On February 3, 2023, pursuant to the Securities Purchase Agreement, the Company issued warrants to Patriot to purchase, in the aggregate, 47.54 thousand shares of Common Stock for $21.03468 per share. The Warrants are exercisable in whole or in part until the ten year anniversary of the entry into the Securities Purchase Agreement and may be exercised for cash or on a “net share” basis, with the number of shares withheld determined based on the closing price of the Common Stock on the date of such exercise. Warrants are included in Other Liabilities on the Consolidated Statements of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ATM Program</w:t>
      </w:r>
    </w:p>
    <w:p>
      <w:pPr>
        <w:spacing w:after="0" w:line="191"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4"/>
          <w:szCs w:val="14"/>
          <w:color w:val="auto"/>
        </w:rPr>
        <w:t>The Company’s shelf registration statement on Form S-3 was declared effective by the SEC on July 27, 2023. On November 17, 2023, the Company entered into the 2023 ATM Equity Distribution Agreement. The 2023 ATM Equity Distribution Agreement provides that the Company may offer and sell up to 3.0 million shares of Common Stock from time to time through the placement agents (the “ATM Program”). The Company may, subject to market conditions, engage in activity under the ATM Program.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and Distributions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On February 3, 2023, the Company issued 20 thousand shares of the Company’s Series A Convertible Preferred Stock, par value $0.02 per share, in a private placement transaction. The aggregate purchase price was $20.0 million. Each share of Series A Preferred Stock was issued at a price of $1.0 thousand per share and is convertible at the holder’s option into 47.54 shares of the Company’s Common Stock. During the three months ended March 31, 2024 and 2023 the Company had $0.4 million and $0.2 million in dividends on its preferred stock, respectively.</w:t>
      </w:r>
    </w:p>
    <w:p>
      <w:pPr>
        <w:spacing w:after="0" w:line="157"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2024 and 2023, an additional 6,300 and 4,700 shares valued at $0.1 million and $0.1 million, respectively, were issued related to dividends on unvested shares of restricted stock granted.</w:t>
      </w:r>
    </w:p>
    <w:p>
      <w:pPr>
        <w:spacing w:after="0" w:line="145"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4"/>
          <w:szCs w:val="14"/>
          <w:color w:val="auto"/>
        </w:rPr>
        <w:t>The Company’s dividends and distributions on the Company’s common shares are recorded on the declaration date. Effective December 8, 2023, the Company terminated the DRIP. The following table summarizes the Company’s dividend declarations and distributions during the three months ended March 31, 2024 and 2023:</w:t>
      </w: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Date Declared</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Record Date</w:t>
            </w:r>
          </w:p>
        </w:tc>
        <w:tc>
          <w:tcPr>
            <w:tcW w:w="2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Payment Date</w:t>
            </w:r>
          </w:p>
        </w:tc>
        <w:tc>
          <w:tcPr>
            <w:tcW w:w="1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 Per Share</w:t>
            </w:r>
          </w:p>
        </w:tc>
        <w:tc>
          <w:tcPr>
            <w:tcW w:w="100" w:type="dxa"/>
            <w:vAlign w:val="bottom"/>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Cash Distribution</w:t>
            </w:r>
          </w:p>
        </w:tc>
        <w:tc>
          <w:tcPr>
            <w:tcW w:w="80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DRIP Shares</w:t>
            </w:r>
          </w:p>
        </w:tc>
        <w:tc>
          <w:tcPr>
            <w:tcW w:w="140" w:type="dxa"/>
            <w:vAlign w:val="bottom"/>
          </w:tcPr>
          <w:p>
            <w:pPr>
              <w:spacing w:after="0"/>
              <w:rPr>
                <w:sz w:val="10"/>
                <w:szCs w:val="10"/>
                <w:color w:val="auto"/>
              </w:rPr>
            </w:pPr>
          </w:p>
        </w:tc>
        <w:tc>
          <w:tcPr>
            <w:tcW w:w="840" w:type="dxa"/>
            <w:vAlign w:val="bottom"/>
          </w:tcPr>
          <w:p>
            <w:pPr>
              <w:jc w:val="center"/>
              <w:ind w:right="96"/>
              <w:spacing w:after="0" w:line="115" w:lineRule="exact"/>
              <w:rPr>
                <w:sz w:val="20"/>
                <w:szCs w:val="20"/>
                <w:color w:val="auto"/>
              </w:rPr>
            </w:pPr>
            <w:r>
              <w:rPr>
                <w:rFonts w:ascii="Times New Roman" w:cs="Times New Roman" w:eastAsia="Times New Roman" w:hAnsi="Times New Roman"/>
                <w:sz w:val="11"/>
                <w:szCs w:val="11"/>
                <w:b w:val="1"/>
                <w:bCs w:val="1"/>
                <w:color w:val="auto"/>
              </w:rPr>
              <w:t>DRIP</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00" w:type="dxa"/>
            <w:vAlign w:val="bottom"/>
            <w:gridSpan w:val="3"/>
            <w:vMerge w:val="continue"/>
          </w:tcPr>
          <w:p>
            <w:pPr>
              <w:spacing w:after="0"/>
              <w:rPr>
                <w:sz w:val="13"/>
                <w:szCs w:val="13"/>
                <w:color w:val="auto"/>
              </w:rPr>
            </w:pPr>
          </w:p>
        </w:tc>
        <w:tc>
          <w:tcPr>
            <w:tcW w:w="1980" w:type="dxa"/>
            <w:vAlign w:val="bottom"/>
            <w:gridSpan w:val="2"/>
            <w:vMerge w:val="continue"/>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Issued</w:t>
            </w:r>
          </w:p>
        </w:tc>
        <w:tc>
          <w:tcPr>
            <w:tcW w:w="140" w:type="dxa"/>
            <w:vAlign w:val="bottom"/>
          </w:tcPr>
          <w:p>
            <w:pPr>
              <w:spacing w:after="0"/>
              <w:rPr>
                <w:sz w:val="13"/>
                <w:szCs w:val="13"/>
                <w:color w:val="auto"/>
              </w:rPr>
            </w:pPr>
          </w:p>
        </w:tc>
        <w:tc>
          <w:tcPr>
            <w:tcW w:w="840" w:type="dxa"/>
            <w:vAlign w:val="bottom"/>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w w:val="99"/>
              </w:rPr>
              <w:t>Shares Value</w:t>
            </w:r>
          </w:p>
        </w:tc>
        <w:tc>
          <w:tcPr>
            <w:tcW w:w="0" w:type="dxa"/>
            <w:vAlign w:val="bottom"/>
          </w:tcPr>
          <w:p>
            <w:pPr>
              <w:spacing w:after="0"/>
              <w:rPr>
                <w:sz w:val="1"/>
                <w:szCs w:val="1"/>
                <w:color w:val="auto"/>
              </w:rPr>
            </w:pPr>
          </w:p>
        </w:tc>
      </w:tr>
      <w:tr>
        <w:trPr>
          <w:trHeight w:val="135"/>
        </w:trPr>
        <w:tc>
          <w:tcPr>
            <w:tcW w:w="20" w:type="dxa"/>
            <w:vAlign w:val="bottom"/>
            <w:tcBorders>
              <w:top w:val="single" w:sz="8" w:color="auto"/>
            </w:tcBorders>
            <w:shd w:val="clear" w:color="auto" w:fill="CCEEFF"/>
          </w:tcPr>
          <w:p>
            <w:pPr>
              <w:spacing w:after="0"/>
              <w:rPr>
                <w:sz w:val="11"/>
                <w:szCs w:val="11"/>
                <w:color w:val="auto"/>
              </w:rPr>
            </w:pPr>
          </w:p>
        </w:tc>
        <w:tc>
          <w:tcPr>
            <w:tcW w:w="3100" w:type="dxa"/>
            <w:vAlign w:val="bottom"/>
            <w:tcBorders>
              <w:top w:val="single" w:sz="8" w:color="auto"/>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Three months ended March 31, 2024</w:t>
            </w:r>
          </w:p>
        </w:tc>
        <w:tc>
          <w:tcPr>
            <w:tcW w:w="100" w:type="dxa"/>
            <w:vAlign w:val="bottom"/>
            <w:tcBorders>
              <w:top w:val="single" w:sz="8" w:color="CCEEFF"/>
            </w:tcBorders>
            <w:shd w:val="clear" w:color="auto" w:fill="CCEEFF"/>
          </w:tcPr>
          <w:p>
            <w:pPr>
              <w:spacing w:after="0"/>
              <w:rPr>
                <w:sz w:val="11"/>
                <w:szCs w:val="11"/>
                <w:color w:val="auto"/>
              </w:rPr>
            </w:pPr>
          </w:p>
        </w:tc>
        <w:tc>
          <w:tcPr>
            <w:tcW w:w="1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March 19, 2024</w:t>
            </w:r>
          </w:p>
        </w:tc>
        <w:tc>
          <w:tcPr>
            <w:tcW w:w="1440" w:type="dxa"/>
            <w:vAlign w:val="bottom"/>
            <w:tcBorders>
              <w:top w:val="single" w:sz="8" w:color="CCEEFF"/>
            </w:tcBorders>
            <w:gridSpan w:val="2"/>
          </w:tcPr>
          <w:p>
            <w:pPr>
              <w:spacing w:after="0"/>
              <w:rPr>
                <w:sz w:val="15"/>
                <w:szCs w:val="15"/>
                <w:color w:val="auto"/>
              </w:rPr>
            </w:pPr>
          </w:p>
        </w:tc>
        <w:tc>
          <w:tcPr>
            <w:tcW w:w="19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April 1, 2024</w:t>
            </w:r>
          </w:p>
        </w:tc>
        <w:tc>
          <w:tcPr>
            <w:tcW w:w="200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April 15, 2024</w:t>
            </w:r>
          </w:p>
        </w:tc>
        <w:tc>
          <w:tcPr>
            <w:tcW w:w="420" w:type="dxa"/>
            <w:vAlign w:val="bottom"/>
            <w:tcBorders>
              <w:top w:val="single" w:sz="8" w:color="CCEEFF"/>
            </w:tcBorders>
          </w:tcPr>
          <w:p>
            <w:pPr>
              <w:jc w:val="right"/>
              <w:ind w:right="27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8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20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Three months ended March 31, 2023</w:t>
            </w: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February 27, 2023</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April 4, 2023</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April 14, 2023</w:t>
            </w: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16—EARNINGS PER SHARE:</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Basic and diluted earnings per share are computed based on the weighted average number of shares outstanding during each period. Diluted earnings per share reflects the potential dilution that could occur upon the exercise of stock options, to the extent outstanding, or upon the vesting of restricted stock grants, any of which would result in the issuance of common stock that would then share in the net income of the Company.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20" w:type="dxa"/>
            <w:vAlign w:val="bottom"/>
            <w:tcBorders>
              <w:bottom w:val="single" w:sz="8" w:color="auto"/>
            </w:tcBorders>
          </w:tcPr>
          <w:p>
            <w:pPr>
              <w:spacing w:after="0"/>
              <w:rPr>
                <w:sz w:val="16"/>
                <w:szCs w:val="16"/>
                <w:color w:val="auto"/>
              </w:rPr>
            </w:pPr>
          </w:p>
        </w:tc>
      </w:tr>
      <w:tr>
        <w:trPr>
          <w:trHeight w:val="171"/>
        </w:trPr>
        <w:tc>
          <w:tcPr>
            <w:tcW w:w="606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0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15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80"/>
        </w:trPr>
        <w:tc>
          <w:tcPr>
            <w:tcW w:w="6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152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9,250</w:t>
            </w:r>
          </w:p>
        </w:tc>
        <w:tc>
          <w:tcPr>
            <w:tcW w:w="80" w:type="dxa"/>
            <w:vAlign w:val="bottom"/>
          </w:tcPr>
          <w:p>
            <w:pPr>
              <w:spacing w:after="0"/>
              <w:rPr>
                <w:sz w:val="15"/>
                <w:szCs w:val="15"/>
                <w:color w:val="auto"/>
              </w:rPr>
            </w:pP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18,301</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basic shares outstanding</w:t>
            </w:r>
          </w:p>
        </w:tc>
        <w:tc>
          <w:tcPr>
            <w:tcW w:w="15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24,287</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060" w:type="dxa"/>
            <w:vAlign w:val="bottom"/>
          </w:tcPr>
          <w:p>
            <w:pPr>
              <w:ind w:left="180"/>
              <w:spacing w:after="0" w:line="143" w:lineRule="exact"/>
              <w:rPr>
                <w:sz w:val="20"/>
                <w:szCs w:val="20"/>
                <w:color w:val="auto"/>
              </w:rPr>
            </w:pPr>
            <w:r>
              <w:rPr>
                <w:rFonts w:ascii="Times New Roman" w:cs="Times New Roman" w:eastAsia="Times New Roman" w:hAnsi="Times New Roman"/>
                <w:sz w:val="14"/>
                <w:szCs w:val="14"/>
                <w:color w:val="auto"/>
              </w:rPr>
              <w:t>Basic earnings per share</w:t>
            </w:r>
          </w:p>
        </w:tc>
        <w:tc>
          <w:tcPr>
            <w:tcW w:w="1520" w:type="dxa"/>
            <w:vAlign w:val="bottom"/>
            <w:tcBorders>
              <w:bottom w:val="single" w:sz="8" w:color="auto"/>
            </w:tcBorders>
          </w:tcPr>
          <w:p>
            <w:pPr>
              <w:jc w:val="right"/>
              <w:ind w:right="13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0.38</w:t>
            </w:r>
          </w:p>
        </w:tc>
        <w:tc>
          <w:tcPr>
            <w:tcW w:w="80" w:type="dxa"/>
            <w:vAlign w:val="bottom"/>
          </w:tcPr>
          <w:p>
            <w:pPr>
              <w:spacing w:after="0"/>
              <w:rPr>
                <w:sz w:val="12"/>
                <w:szCs w:val="12"/>
                <w:color w:val="auto"/>
              </w:rPr>
            </w:pPr>
          </w:p>
        </w:tc>
        <w:tc>
          <w:tcPr>
            <w:tcW w:w="1040" w:type="dxa"/>
            <w:vAlign w:val="bottom"/>
            <w:tcBorders>
              <w:bottom w:val="single" w:sz="8" w:color="auto"/>
            </w:tcBorders>
          </w:tcPr>
          <w:p>
            <w:pPr>
              <w:jc w:val="right"/>
              <w:ind w:right="8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0.76</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42"/>
        </w:trPr>
        <w:tc>
          <w:tcPr>
            <w:tcW w:w="6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1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80"/>
        </w:trPr>
        <w:tc>
          <w:tcPr>
            <w:tcW w:w="6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for diluted earnings per share</w:t>
            </w:r>
          </w:p>
        </w:tc>
        <w:tc>
          <w:tcPr>
            <w:tcW w:w="152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9,250</w:t>
            </w:r>
          </w:p>
        </w:tc>
        <w:tc>
          <w:tcPr>
            <w:tcW w:w="80" w:type="dxa"/>
            <w:vAlign w:val="bottom"/>
          </w:tcPr>
          <w:p>
            <w:pPr>
              <w:spacing w:after="0"/>
              <w:rPr>
                <w:sz w:val="15"/>
                <w:szCs w:val="15"/>
                <w:color w:val="auto"/>
              </w:rPr>
            </w:pP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18,301</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weighted-average basic shares outstanding</w:t>
            </w:r>
          </w:p>
        </w:tc>
        <w:tc>
          <w:tcPr>
            <w:tcW w:w="15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24,287</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24,223</w:t>
            </w:r>
          </w:p>
        </w:tc>
      </w:tr>
      <w:tr>
        <w:trPr>
          <w:trHeight w:val="180"/>
        </w:trPr>
        <w:tc>
          <w:tcPr>
            <w:tcW w:w="606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Add effect of dilutive warrants and restricted stock awards</w:t>
            </w:r>
            <w:r>
              <w:rPr>
                <w:rFonts w:ascii="Times New Roman" w:cs="Times New Roman" w:eastAsia="Times New Roman" w:hAnsi="Times New Roman"/>
                <w:sz w:val="18"/>
                <w:szCs w:val="18"/>
                <w:color w:val="auto"/>
                <w:vertAlign w:val="superscript"/>
              </w:rPr>
              <w:t>3</w:t>
            </w:r>
          </w:p>
        </w:tc>
        <w:tc>
          <w:tcPr>
            <w:tcW w:w="1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w:t>
            </w:r>
          </w:p>
        </w:tc>
      </w:tr>
      <w:tr>
        <w:trPr>
          <w:trHeight w:val="17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weighted-average diluted shares outstanding</w:t>
            </w:r>
          </w:p>
        </w:tc>
        <w:tc>
          <w:tcPr>
            <w:tcW w:w="15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24,358</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24,881</w:t>
            </w:r>
          </w:p>
        </w:tc>
      </w:tr>
      <w:tr>
        <w:trPr>
          <w:trHeight w:val="171"/>
        </w:trPr>
        <w:tc>
          <w:tcPr>
            <w:tcW w:w="6060" w:type="dxa"/>
            <w:vAlign w:val="bottom"/>
          </w:tcPr>
          <w:p>
            <w:pPr>
              <w:ind w:left="180"/>
              <w:spacing w:after="0" w:line="171" w:lineRule="exact"/>
              <w:rPr>
                <w:sz w:val="20"/>
                <w:szCs w:val="20"/>
                <w:color w:val="auto"/>
              </w:rPr>
            </w:pPr>
            <w:r>
              <w:rPr>
                <w:rFonts w:ascii="Times New Roman" w:cs="Times New Roman" w:eastAsia="Times New Roman" w:hAnsi="Times New Roman"/>
                <w:sz w:val="14"/>
                <w:szCs w:val="14"/>
                <w:color w:val="auto"/>
              </w:rPr>
              <w:t>Diluted earnings per share</w:t>
            </w:r>
            <w:r>
              <w:rPr>
                <w:rFonts w:ascii="Times New Roman" w:cs="Times New Roman" w:eastAsia="Times New Roman" w:hAnsi="Times New Roman"/>
                <w:sz w:val="18"/>
                <w:szCs w:val="18"/>
                <w:color w:val="auto"/>
                <w:vertAlign w:val="superscript"/>
              </w:rPr>
              <w:t>1,2</w:t>
            </w:r>
          </w:p>
        </w:tc>
        <w:tc>
          <w:tcPr>
            <w:tcW w:w="152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0.74</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Anti-dilutive warrants and restricted stock awards</w:t>
            </w:r>
          </w:p>
        </w:tc>
        <w:tc>
          <w:tcPr>
            <w:tcW w:w="15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three months ended March 31, 2024 and 2023, the convertible preferred stock was not included in the diluted share count because the result would have been anti-dilutive under the if-</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converted method.</w:t>
      </w:r>
    </w:p>
    <w:p>
      <w:pPr>
        <w:ind w:left="80" w:hanging="75"/>
        <w:spacing w:after="0" w:line="204" w:lineRule="auto"/>
        <w:tabs>
          <w:tab w:leader="none" w:pos="80"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three months ended March 31, 2024 and 2023, the Warrants have an anti-dilutive impact on earnings per share.</w:t>
      </w:r>
    </w:p>
    <w:p>
      <w:pPr>
        <w:spacing w:after="0" w:line="2"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Incremental diluted shares from restricted stock awards under the treasury stock method.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17—BENEFIT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Contribution Plan</w:t>
      </w:r>
    </w:p>
    <w:p>
      <w:pPr>
        <w:spacing w:after="0" w:line="18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The Company’s employees participate in a defined contribution 401(k) plan (the “Plan”) adopted in 2004 which covers substantially all employees based on eligibility. The Plan is designed to encourage savings on the part of eligible employees and qualifies under Section 401(k) of the Code. Under the Plan, eligible employees may elect to have a portion of their pay, including overtime and bonuses, reduced each pay period, as pre-tax contributions up to the maximum allowed by law. The Company may elect to make a matching contribution equal to a specified percentage of the participant’s contribution, on their behalf as a pre-tax contribution.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 (ESPP)</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On June 14, 2023, the Company's stockholders approved the ESPP. The initial aggregate number of shares of Common Stock that may be purchased under the ESPP will not exceed 0.2 million shares. Under the terms of the ESPP, employees may authorize the withholding of up to 15% of their eligible compensation to purchase our shares of Common Stock, not to exceed $25 thousand of Common Stock for any calendar year. The purchase price per shares acquired under the ESPP will never be less than 85% of the fair market value of the lesser of our Common Stock on the offering date or purchase date. The Compensation, Corporate Governance and Nominating Committee of our Board of Directors in its discretion may terminate the ESPP at any time with respect to any shares for which options have not been granted and has the right to amend the ESPP with stockholder approval within 12 months before or after the adoption of the amendment. The difference between the Common Stock’s fair value and the employee’s discounted purchase price is expensed at the time of purchase.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color w:val="auto"/>
        </w:rPr>
        <w:t>The following table summarizes the Company’s ESPP activity from inception through March 31, 2024:</w:t>
      </w:r>
    </w:p>
    <w:p>
      <w:pPr>
        <w:sectPr>
          <w:pgSz w:w="11900" w:h="16838" w:orient="portrait"/>
          <w:cols w:equalWidth="0" w:num="1">
            <w:col w:w="11280"/>
          </w:cols>
          <w:pgMar w:left="300" w:top="730" w:right="319" w:bottom="1440" w:gutter="0" w:footer="0" w:header="0"/>
        </w:sectPr>
      </w:pPr>
    </w:p>
    <w:p>
      <w:pPr>
        <w:spacing w:after="0" w:line="23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Period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15875</wp:posOffset>
            </wp:positionV>
            <wp:extent cx="198056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80565" cy="6985"/>
                    </a:xfrm>
                    <a:prstGeom prst="rect">
                      <a:avLst/>
                    </a:prstGeom>
                    <a:noFill/>
                  </pic:spPr>
                </pic:pic>
              </a:graphicData>
            </a:graphic>
          </wp:anchor>
        </w:drawing>
      </w:r>
    </w:p>
    <w:p>
      <w:pPr>
        <w:spacing w:after="0" w:line="10"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Offering Period 2</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198755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87550" cy="6985"/>
                    </a:xfrm>
                    <a:prstGeom prst="rect">
                      <a:avLst/>
                    </a:prstGeom>
                    <a:noFill/>
                  </pic:spPr>
                </pic:pic>
              </a:graphicData>
            </a:graphic>
          </wp:anchor>
        </w:drawing>
      </w:r>
    </w:p>
    <w:p>
      <w:pPr>
        <w:spacing w:after="0" w:line="10"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Offering Period 1</w:t>
      </w:r>
    </w:p>
    <w:p>
      <w:pPr>
        <w:spacing w:after="0" w:line="25" w:lineRule="exact"/>
        <w:rPr>
          <w:sz w:val="20"/>
          <w:szCs w:val="20"/>
          <w:color w:val="auto"/>
        </w:rPr>
      </w:pPr>
    </w:p>
    <w:p>
      <w:pPr>
        <w:sectPr>
          <w:pgSz w:w="11900" w:h="16838" w:orient="portrait"/>
          <w:cols w:equalWidth="0" w:num="2">
            <w:col w:w="7440" w:space="720"/>
            <w:col w:w="3120"/>
          </w:cols>
          <w:pgMar w:left="300" w:top="730"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32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10/1/2023</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10/1/2023</w:t>
            </w:r>
          </w:p>
        </w:tc>
      </w:tr>
      <w:tr>
        <w:trPr>
          <w:trHeight w:val="18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date</w:t>
            </w:r>
          </w:p>
        </w:tc>
        <w:tc>
          <w:tcPr>
            <w:tcW w:w="13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3/15/2024</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12/15/2023</w:t>
            </w:r>
          </w:p>
        </w:tc>
      </w:tr>
      <w:tr>
        <w:trPr>
          <w:trHeight w:val="18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purchased</w:t>
            </w:r>
          </w:p>
        </w:tc>
        <w:tc>
          <w:tcPr>
            <w:tcW w:w="132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 price</w:t>
            </w:r>
          </w:p>
        </w:tc>
        <w:tc>
          <w:tcPr>
            <w:tcW w:w="1320" w:type="dxa"/>
            <w:vAlign w:val="bottom"/>
          </w:tcPr>
          <w:p>
            <w:pPr>
              <w:jc w:val="right"/>
              <w:ind w:right="114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tcPr>
          <w:p>
            <w:pPr>
              <w:spacing w:after="0"/>
              <w:rPr>
                <w:sz w:val="15"/>
                <w:szCs w:val="15"/>
                <w:color w:val="auto"/>
              </w:rPr>
            </w:pPr>
          </w:p>
        </w:tc>
        <w:tc>
          <w:tcPr>
            <w:tcW w:w="1280" w:type="dxa"/>
            <w:vAlign w:val="bottom"/>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w:t>
            </w:r>
          </w:p>
        </w:tc>
      </w:tr>
      <w:tr>
        <w:trPr>
          <w:trHeight w:val="18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purchased</w:t>
            </w:r>
          </w:p>
        </w:tc>
        <w:tc>
          <w:tcPr>
            <w:tcW w:w="132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18—INCOME TAXES:</w:t>
      </w:r>
    </w:p>
    <w:p>
      <w:pPr>
        <w:spacing w:after="0" w:line="202"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The Company elected to be treated as a RIC under the Code beginning with the 2015 tax year and, through the year ended December 31, 2022, operated in a manner so as to continue to qualify for the tax treatment applicable to RICs. The Company filed its final RIC tax return for the year ended December 31, 2022. Beginning with 2023, the Company no longer qualifies as a RIC and instead will file a consolidated U.S. federal income tax return. Financial holding companies are subject to federal and state income taxes in essentially the same manner as other corporations.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One of the Company’s former consolidated holding companies is undergoing a NYS tax audit for the fiscal years ended December 31, 2020 and December 31,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Effective Tax Rate and Net Operating Losses</w:t>
      </w:r>
    </w:p>
    <w:p>
      <w:pPr>
        <w:spacing w:after="0" w:line="20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effective tax rate was 26.33% for the three months ended March 31, 2024. The effective tax rate differs from the federal tax rate of 21% for the three months ended March 31, 2024 due primarily to the addition of estimated state tax.</w:t>
      </w:r>
    </w:p>
    <w:p>
      <w:pPr>
        <w:spacing w:after="0" w:line="14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At December 31, 2022, the Company had NOLs in the amount of $35.4 million. Certain of these NOLs ($4.6 million) expire in 2029 through 2037 with the remainder NOLs ($30.8 million) having indefinite lives. The Company expects to apply $31.7 million of the total NOLs against 2023 taxable income and will carry forward the remaining balance of $3.7 million to apply against future taxable income. The Tax Cuts &amp; Jobs Act of 2017 limits the amount of net operating loss utilized each year after December 31, 2020 to 80% of taxable income.</w:t>
      </w:r>
    </w:p>
    <w:p>
      <w:pPr>
        <w:spacing w:after="0" w:line="157"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Company’s and its subsidiaries’ federal income tax returns are generally open to review by the tax authorities for the tax years ended in 2020 and beyond. However, the Company’s NOLs continue to be subject to review by tax authorities in the period utilized notwithstanding origination in closed periods.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does not have any material interest and penalties recorded in the income statement for the periods ended March 31,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19—SEGMENTS:</w:t>
      </w:r>
    </w:p>
    <w:p>
      <w:pPr>
        <w:spacing w:after="0" w:line="19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The Company's management reporting process measures the performance of its operating segments based on internal operating structure, which is subject to change from time to time. Accordingly, the Company operates four reportable segments for management reporting purposes as discussed below:</w:t>
      </w:r>
    </w:p>
    <w:p>
      <w:pPr>
        <w:spacing w:after="0" w:line="146"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4"/>
          <w:szCs w:val="14"/>
          <w:u w:val="single" w:color="auto"/>
          <w:color w:val="auto"/>
        </w:rPr>
        <w:t>Banking</w:t>
      </w:r>
      <w:r>
        <w:rPr>
          <w:rFonts w:ascii="Times New Roman" w:cs="Times New Roman" w:eastAsia="Times New Roman" w:hAnsi="Times New Roman"/>
          <w:sz w:val="14"/>
          <w:szCs w:val="14"/>
          <w:color w:val="auto"/>
        </w:rPr>
        <w:t xml:space="preserve"> - Newtek Bank originates, services and sells SBA 7(a) loans in a similar manner to NSBF’s historic business model (see Non-Bank Lending below) and originates and services SBA 504 loans, C&amp;I loans, CRE loans and ABL loans. In addition, Newtek Bank offers depository services.</w:t>
      </w:r>
    </w:p>
    <w:p>
      <w:pPr>
        <w:spacing w:after="0" w:line="14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u w:val="single" w:color="auto"/>
          <w:color w:val="auto"/>
        </w:rPr>
        <w:t>NSBF</w:t>
      </w:r>
      <w:r>
        <w:rPr>
          <w:rFonts w:ascii="Times New Roman" w:cs="Times New Roman" w:eastAsia="Times New Roman" w:hAnsi="Times New Roman"/>
          <w:sz w:val="14"/>
          <w:szCs w:val="14"/>
          <w:color w:val="auto"/>
        </w:rPr>
        <w:t xml:space="preserve"> - relates to NSBF’s legacy portfolio held outside Newtek Bank, no new originating activity takes place. NSBF’s legacy portfolio consists of SBA 7(a) Loans, a material portion of which reside in securitization trusts.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xml:space="preserve"> - Includes NMS, POS and Mobil Money. NMS markets credit and debit card processing services, check approval services, processing equipment, and software and:</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Assist merchants with initial installation of equipment and on-going service, as well as any other special processing needs that they may have.</w:t>
      </w:r>
    </w:p>
    <w:p>
      <w:pPr>
        <w:ind w:left="260"/>
        <w:spacing w:after="0"/>
        <w:rPr>
          <w:sz w:val="20"/>
          <w:szCs w:val="20"/>
          <w:color w:val="auto"/>
        </w:rPr>
      </w:pPr>
      <w:r>
        <w:rPr>
          <w:rFonts w:ascii="Times New Roman" w:cs="Times New Roman" w:eastAsia="Times New Roman" w:hAnsi="Times New Roman"/>
          <w:sz w:val="14"/>
          <w:szCs w:val="14"/>
          <w:color w:val="auto"/>
        </w:rPr>
        <w:t>–   Handles payment processing for Mobil Money’s merchant portfolio of taxi cabs and related licensed payment processing software.</w:t>
      </w:r>
    </w:p>
    <w:p>
      <w:pPr>
        <w:spacing w:after="0" w:line="7" w:lineRule="exact"/>
        <w:rPr>
          <w:sz w:val="20"/>
          <w:szCs w:val="20"/>
          <w:color w:val="auto"/>
        </w:rPr>
      </w:pPr>
    </w:p>
    <w:p>
      <w:pPr>
        <w:ind w:left="520" w:right="20" w:hanging="255"/>
        <w:spacing w:after="0" w:line="243" w:lineRule="auto"/>
        <w:rPr>
          <w:sz w:val="20"/>
          <w:szCs w:val="20"/>
          <w:color w:val="auto"/>
        </w:rPr>
      </w:pPr>
      <w:r>
        <w:rPr>
          <w:rFonts w:ascii="Times New Roman" w:cs="Times New Roman" w:eastAsia="Times New Roman" w:hAnsi="Times New Roman"/>
          <w:sz w:val="14"/>
          <w:szCs w:val="14"/>
          <w:color w:val="auto"/>
        </w:rPr>
        <w:t>– POS is a provider of a cloud based Point of Sale (POS) system for a variety of restaurant, retail, assisted living, parks and golf course businesses, which provides not only payments and purchase technology solutions, but also inventory, customer management, reporting, employee time clock, table and menu layouts, and ecommerce solutions as the central operating system for an SMB.</w:t>
      </w:r>
    </w:p>
    <w:p>
      <w:pPr>
        <w:spacing w:after="0" w:line="16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u w:val="single" w:color="auto"/>
          <w:color w:val="auto"/>
        </w:rPr>
        <w:t>Technology</w:t>
      </w:r>
      <w:r>
        <w:rPr>
          <w:rFonts w:ascii="Times New Roman" w:cs="Times New Roman" w:eastAsia="Times New Roman" w:hAnsi="Times New Roman"/>
          <w:sz w:val="14"/>
          <w:szCs w:val="14"/>
          <w:color w:val="auto"/>
        </w:rPr>
        <w:t xml:space="preserve"> - NTS provides website hosting, web design and development, dedicated server hosting, cloud hosting, internet marketing, ecommerce, data storage, backup and disaster recovery, and other related services including consulting and implementing technology solutions for enterprise and commercial clients across the U.S. As a result of commitments made to the Federal Reserve, the Company will divest or otherwise terminate the activities conducted by NTS within two years of becoming a financial holding company, subject to any extension of the two-year period.</w:t>
      </w:r>
    </w:p>
    <w:p>
      <w:pPr>
        <w:spacing w:after="0" w:line="16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4"/>
          <w:szCs w:val="14"/>
          <w:u w:val="single" w:color="auto"/>
          <w:color w:val="auto"/>
        </w:rPr>
        <w:t>Corporate and Other</w:t>
      </w:r>
      <w:r>
        <w:rPr>
          <w:rFonts w:ascii="Times New Roman" w:cs="Times New Roman" w:eastAsia="Times New Roman" w:hAnsi="Times New Roman"/>
          <w:sz w:val="14"/>
          <w:szCs w:val="14"/>
          <w:color w:val="auto"/>
        </w:rPr>
        <w:t xml:space="preserve"> - The information provided under the caption “Corporate and Other” represents operations not considered to be reportable segments and/or general operating expenses of the Company, and includes the parent company, other non-bank subsidiaries including Newtek Insurance and Newtek Payroll, and elimination adjustments to reconcile the results of the operating segments to the condensed consolidated financial statements prepared in conformity with GAAP.</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 financial information for the Company's segments: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 March 31, 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Corporate and</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Banking</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Technology</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NSBF</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Payments</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Eliminations</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1"/>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13,571</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10,744</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27,067</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18,161</w:t>
            </w:r>
          </w:p>
        </w:tc>
        <w:tc>
          <w:tcPr>
            <w:tcW w:w="0" w:type="dxa"/>
            <w:vAlign w:val="bottom"/>
          </w:tcPr>
          <w:p>
            <w:pPr>
              <w:spacing w:after="0"/>
              <w:rPr>
                <w:sz w:val="1"/>
                <w:szCs w:val="1"/>
                <w:color w:val="auto"/>
              </w:rPr>
            </w:pPr>
          </w:p>
        </w:tc>
      </w:tr>
      <w:tr>
        <w:trPr>
          <w:trHeight w:val="171"/>
        </w:trPr>
        <w:tc>
          <w:tcPr>
            <w:tcW w:w="2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interest income/(loss)</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7,718</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loan credit losses</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4,015</w:t>
            </w:r>
          </w:p>
        </w:tc>
        <w:tc>
          <w:tcPr>
            <w:tcW w:w="0" w:type="dxa"/>
            <w:vAlign w:val="bottom"/>
          </w:tcPr>
          <w:p>
            <w:pPr>
              <w:spacing w:after="0"/>
              <w:rPr>
                <w:sz w:val="1"/>
                <w:szCs w:val="1"/>
                <w:color w:val="auto"/>
              </w:rPr>
            </w:pPr>
          </w:p>
        </w:tc>
      </w:tr>
      <w:tr>
        <w:trPr>
          <w:trHeight w:val="124"/>
        </w:trPr>
        <w:tc>
          <w:tcPr>
            <w:tcW w:w="260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color w:val="auto"/>
              </w:rPr>
              <w:t>Net interest income after provision for loan</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losses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4,891</w:t>
            </w:r>
          </w:p>
        </w:tc>
        <w:tc>
          <w:tcPr>
            <w:tcW w:w="0" w:type="dxa"/>
            <w:vAlign w:val="bottom"/>
          </w:tcPr>
          <w:p>
            <w:pPr>
              <w:spacing w:after="0"/>
              <w:rPr>
                <w:sz w:val="1"/>
                <w:szCs w:val="1"/>
                <w:color w:val="auto"/>
              </w:rPr>
            </w:pPr>
          </w:p>
        </w:tc>
      </w:tr>
      <w:tr>
        <w:trPr>
          <w:trHeight w:val="181"/>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49,367</w:t>
            </w:r>
          </w:p>
        </w:tc>
        <w:tc>
          <w:tcPr>
            <w:tcW w:w="0" w:type="dxa"/>
            <w:vAlign w:val="bottom"/>
          </w:tcPr>
          <w:p>
            <w:pPr>
              <w:spacing w:after="0"/>
              <w:rPr>
                <w:sz w:val="1"/>
                <w:szCs w:val="1"/>
                <w:color w:val="auto"/>
              </w:rPr>
            </w:pPr>
          </w:p>
        </w:tc>
      </w:tr>
      <w:tr>
        <w:trPr>
          <w:trHeight w:val="180"/>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20,249</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7,212</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4,486</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8,102</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9,865</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(8,755)</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41,159</w:t>
            </w:r>
          </w:p>
        </w:tc>
        <w:tc>
          <w:tcPr>
            <w:tcW w:w="0" w:type="dxa"/>
            <w:vAlign w:val="bottom"/>
          </w:tcPr>
          <w:p>
            <w:pPr>
              <w:spacing w:after="0"/>
              <w:rPr>
                <w:sz w:val="1"/>
                <w:szCs w:val="1"/>
                <w:color w:val="auto"/>
              </w:rPr>
            </w:pPr>
          </w:p>
        </w:tc>
      </w:tr>
      <w:tr>
        <w:trPr>
          <w:trHeight w:val="171"/>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13,099</w:t>
            </w:r>
          </w:p>
        </w:tc>
        <w:tc>
          <w:tcPr>
            <w:tcW w:w="0" w:type="dxa"/>
            <w:vAlign w:val="bottom"/>
          </w:tcPr>
          <w:p>
            <w:pPr>
              <w:spacing w:after="0"/>
              <w:rPr>
                <w:sz w:val="1"/>
                <w:szCs w:val="1"/>
                <w:color w:val="auto"/>
              </w:rPr>
            </w:pPr>
          </w:p>
        </w:tc>
      </w:tr>
      <w:tr>
        <w:trPr>
          <w:trHeight w:val="18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0" w:type="dxa"/>
            <w:vAlign w:val="bottom"/>
          </w:tcPr>
          <w:p>
            <w:pPr>
              <w:spacing w:after="0"/>
              <w:rPr>
                <w:sz w:val="1"/>
                <w:szCs w:val="1"/>
                <w:color w:val="auto"/>
              </w:rPr>
            </w:pPr>
          </w:p>
        </w:tc>
      </w:tr>
      <w:tr>
        <w:trPr>
          <w:trHeight w:val="196"/>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600" w:type="dxa"/>
            <w:vAlign w:val="bottom"/>
            <w:vMerge w:val="continue"/>
          </w:tcPr>
          <w:p>
            <w:pPr>
              <w:spacing w:after="0"/>
              <w:rPr>
                <w:sz w:val="12"/>
                <w:szCs w:val="12"/>
                <w:color w:val="auto"/>
              </w:rPr>
            </w:pPr>
          </w:p>
        </w:tc>
        <w:tc>
          <w:tcPr>
            <w:tcW w:w="1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736,100</w:t>
            </w:r>
          </w:p>
        </w:tc>
        <w:tc>
          <w:tcPr>
            <w:tcW w:w="80" w:type="dxa"/>
            <w:vAlign w:val="bottom"/>
          </w:tcPr>
          <w:p>
            <w:pPr>
              <w:spacing w:after="0"/>
              <w:rPr>
                <w:sz w:val="12"/>
                <w:szCs w:val="12"/>
                <w:color w:val="auto"/>
              </w:rPr>
            </w:pPr>
          </w:p>
        </w:tc>
        <w:tc>
          <w:tcPr>
            <w:tcW w:w="160" w:type="dxa"/>
            <w:vAlign w:val="bottom"/>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22,523</w:t>
            </w:r>
          </w:p>
        </w:tc>
        <w:tc>
          <w:tcPr>
            <w:tcW w:w="80" w:type="dxa"/>
            <w:vAlign w:val="bottom"/>
          </w:tcPr>
          <w:p>
            <w:pPr>
              <w:spacing w:after="0"/>
              <w:rPr>
                <w:sz w:val="12"/>
                <w:szCs w:val="12"/>
                <w:color w:val="auto"/>
              </w:rPr>
            </w:pPr>
          </w:p>
        </w:tc>
        <w:tc>
          <w:tcPr>
            <w:tcW w:w="22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600,877</w:t>
            </w:r>
          </w:p>
        </w:tc>
        <w:tc>
          <w:tcPr>
            <w:tcW w:w="80" w:type="dxa"/>
            <w:vAlign w:val="bottom"/>
          </w:tcPr>
          <w:p>
            <w:pPr>
              <w:spacing w:after="0"/>
              <w:rPr>
                <w:sz w:val="12"/>
                <w:szCs w:val="12"/>
                <w:color w:val="auto"/>
              </w:rPr>
            </w:pPr>
          </w:p>
        </w:tc>
        <w:tc>
          <w:tcPr>
            <w:tcW w:w="160" w:type="dxa"/>
            <w:vAlign w:val="bottom"/>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56,892</w:t>
            </w:r>
          </w:p>
        </w:tc>
        <w:tc>
          <w:tcPr>
            <w:tcW w:w="80" w:type="dxa"/>
            <w:vAlign w:val="bottom"/>
          </w:tcPr>
          <w:p>
            <w:pPr>
              <w:spacing w:after="0"/>
              <w:rPr>
                <w:sz w:val="12"/>
                <w:szCs w:val="12"/>
                <w:color w:val="auto"/>
              </w:rPr>
            </w:pPr>
          </w:p>
        </w:tc>
        <w:tc>
          <w:tcPr>
            <w:tcW w:w="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786,420</w:t>
            </w:r>
          </w:p>
        </w:tc>
        <w:tc>
          <w:tcPr>
            <w:tcW w:w="80" w:type="dxa"/>
            <w:vAlign w:val="bottom"/>
          </w:tcPr>
          <w:p>
            <w:pPr>
              <w:spacing w:after="0"/>
              <w:rPr>
                <w:sz w:val="12"/>
                <w:szCs w:val="12"/>
                <w:color w:val="auto"/>
              </w:rPr>
            </w:pPr>
          </w:p>
        </w:tc>
        <w:tc>
          <w:tcPr>
            <w:tcW w:w="1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(693,235)</w:t>
            </w:r>
          </w:p>
        </w:tc>
        <w:tc>
          <w:tcPr>
            <w:tcW w:w="80" w:type="dxa"/>
            <w:vAlign w:val="bottom"/>
          </w:tcPr>
          <w:p>
            <w:pPr>
              <w:spacing w:after="0"/>
              <w:rPr>
                <w:sz w:val="12"/>
                <w:szCs w:val="12"/>
                <w:color w:val="auto"/>
              </w:rPr>
            </w:pPr>
          </w:p>
        </w:tc>
        <w:tc>
          <w:tcPr>
            <w:tcW w:w="1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1,509,577</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20—SUBSEQUENT EVENTS:</w:t>
      </w:r>
    </w:p>
    <w:p>
      <w:pPr>
        <w:spacing w:after="0" w:line="202" w:lineRule="exact"/>
        <w:rPr>
          <w:sz w:val="20"/>
          <w:szCs w:val="20"/>
          <w:color w:val="auto"/>
        </w:rPr>
      </w:pPr>
    </w:p>
    <w:p>
      <w:pPr>
        <w:jc w:val="both"/>
        <w:ind w:right="160"/>
        <w:spacing w:after="0" w:line="287" w:lineRule="auto"/>
        <w:rPr>
          <w:sz w:val="20"/>
          <w:szCs w:val="20"/>
          <w:color w:val="auto"/>
        </w:rPr>
      </w:pPr>
      <w:r>
        <w:rPr>
          <w:rFonts w:ascii="Times New Roman" w:cs="Times New Roman" w:eastAsia="Times New Roman" w:hAnsi="Times New Roman"/>
          <w:sz w:val="14"/>
          <w:szCs w:val="14"/>
          <w:color w:val="auto"/>
        </w:rPr>
        <w:t>The Company performed a review of events subsequent to the balance sheet date through the date the financial statements were issued and determined that there were no material events requiring recognition or disclosure in the financial statements.</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19" w:right="4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Forward-Looking Statements</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The matters discussed in this report, as well as in future oral and written statements by Company management that are forward-looking statements are based on current management expectations that involve substantial risks and uncertainties which could cause actual results to differ materially from the results expressed in, or implied by, these forward-looking statements. These forward-looking statements are not historical facts, but rather are based on current expectations, estimates and projections about us, our industry, our beliefs, and our assumptions. Words such as “may,” “will,” “should,” “expects,” “plans,” “anticipates,” “could,” “intends,” “target,” “projects,” “contemplates,” “believes,” “estimates,” “predicts,” “potential” or “continue” or the negative of these terms or variations of these words and similar expressions are intended to identify forward-looking statements. Important assumptions include our ability to originate new investments, achieve certain margins and levels of profitability, the availability of additional capital, and the ability to maintain certain debt to asset ratios. In light of these and other uncertainties, including recent economic and market events and unrelated bank failures and declines in depositor confidence in certain types of depository institutions, the inclusion of a projection or forward-looking statement in this report should not be regarded as a representation by us that our plans or objectives will be achieved. The forward-looking statements contained in this report, including the documents we incorporate by reference, involve risks and uncertainties, including statements as to:</w:t>
      </w:r>
    </w:p>
    <w:p>
      <w:pPr>
        <w:spacing w:after="0" w:line="4"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subsidiaries;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9"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business to achieve its objectives;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as a financial holding company and increased compliance and other costs associated with such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adequately manage liquidity, deposits, capital levels and interest rate risk;</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our subsidiary Newtek Bank, a national bank regulated and supervised by the OCC, and increased compliance and other costs associated with such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subsidiaries;</w:t>
      </w:r>
    </w:p>
    <w:p>
      <w:pPr>
        <w:spacing w:after="0" w:line="9" w:lineRule="exact"/>
        <w:rPr>
          <w:sz w:val="20"/>
          <w:szCs w:val="20"/>
          <w:color w:val="auto"/>
        </w:rPr>
      </w:pPr>
    </w:p>
    <w:p>
      <w:pPr>
        <w:ind w:right="40" w:firstLine="287"/>
        <w:spacing w:after="0" w:line="266" w:lineRule="auto"/>
        <w:rPr>
          <w:sz w:val="20"/>
          <w:szCs w:val="20"/>
          <w:color w:val="auto"/>
        </w:rPr>
      </w:pPr>
      <w:r>
        <w:rPr>
          <w:rFonts w:ascii="Times New Roman" w:cs="Times New Roman" w:eastAsia="Times New Roman" w:hAnsi="Times New Roman"/>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59"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economic downturn, which could impair our subsidiaries’ ability to continue to operate or repay their borrowings, which could adversely affect our results;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contraction of available credit and/or an inability to access the equity markets could impair our lending and business activities;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interest rates and the impacts on macroeconomic conditions and Company’s funding costs;</w:t>
      </w:r>
    </w:p>
    <w:p>
      <w:pPr>
        <w:ind w:left="520" w:hanging="260"/>
        <w:spacing w:after="0" w:line="236" w:lineRule="auto"/>
        <w:tabs>
          <w:tab w:leader="none" w:pos="520" w:val="left"/>
        </w:tabs>
        <w:numPr>
          <w:ilvl w:val="0"/>
          <w:numId w:val="29"/>
        </w:numPr>
        <w:rPr>
          <w:rFonts w:ascii="Arial" w:cs="Arial" w:eastAsia="Arial" w:hAnsi="Arial"/>
          <w:sz w:val="14"/>
          <w:szCs w:val="14"/>
          <w:color w:val="auto"/>
        </w:rPr>
      </w:pPr>
      <w:r>
        <w:rPr>
          <w:rFonts w:ascii="Times New Roman" w:cs="Times New Roman" w:eastAsia="Times New Roman" w:hAnsi="Times New Roman"/>
          <w:sz w:val="14"/>
          <w:szCs w:val="14"/>
          <w:color w:val="auto"/>
        </w:rPr>
        <w:t>changes to the SBA 7(a) loan program, including recent revisions to SBA Standard Operating Procedure (“SOP”); and</w:t>
      </w: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uncertainties and other factors we identify in “Risk Factors” and elsewhere in this report and in our filings with the SEC, including the documents we incorporate by reference.</w:t>
      </w:r>
    </w:p>
    <w:p>
      <w:pPr>
        <w:spacing w:after="0" w:line="173"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4"/>
          <w:szCs w:val="14"/>
          <w:color w:val="auto"/>
        </w:rPr>
        <w:t>The following discussion should be read in conjunction with our consolidated financial statements and related notes and other financial information appearing elsewhere in this report. In addition to historical information, the following discussion and other parts of this report contain forward-looking information that involves risks and uncertainties. 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the ability of Newtek Bank to originate loans under the SBA 7(a) program, maintain PLP status, sell SBA guaranteed portions of SBA 7(a) loans at premiums and grow deposits; our ability to originate new loans; our subsidiaries’ ability to generate revenue and obtain and maintain certain margins and levels of profitability; and the availability of additional capital. In light of these and other uncertainties, the inclusion of a projection or forward-looking statement in this report, including the documents that we incorporate by reference herein, should not be regarded as a representation by us that our plans and objectives will be achieved. Our actual results could differ materially from those anticipated by such forward-looking information due to the factors discussed under Part II “Item 1A. Risk Factors” of this quarterly report on Form 10-Q and “Item 1A. Risk Factors” of our 2023 Form 10-K, and in any subsequent filings we have made with the SEC that are incorporated by reference into this report.</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51" w:name="page52"/>
    <w:bookmarkEnd w:id="51"/>
    <w:p>
      <w:pPr>
        <w:spacing w:after="0" w:line="245" w:lineRule="auto"/>
        <w:rPr>
          <w:sz w:val="20"/>
          <w:szCs w:val="20"/>
          <w:color w:val="auto"/>
        </w:rPr>
      </w:pPr>
      <w:r>
        <w:rPr>
          <w:rFonts w:ascii="Times New Roman" w:cs="Times New Roman" w:eastAsia="Times New Roman" w:hAnsi="Times New Roman"/>
          <w:sz w:val="14"/>
          <w:szCs w:val="14"/>
          <w:color w:val="auto"/>
        </w:rPr>
        <w:t>You should not place undue reliance on these forward-looking statements, which apply only as of the date of this report.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Any forward-looking statements made by or on behalf of the Company speak only as to the date they are made, and the Company does not undertake to update forward-looking statements to reflect the impact of circumstances or events that arise after the date the forward-looking statements were made, except as required by applicable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Overview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Conversion to a Financial Holding Company</w:t>
      </w:r>
    </w:p>
    <w:p>
      <w:pPr>
        <w:spacing w:after="0" w:line="18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As of January 6, 2023, we are a financial holding company that, together with our consolidated subsidiaries, provides a wide range of business and financial solutions under the NewtekOne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brand to the independent business owner market. Effective January 6, 2023, following authorization by our shareholders, we withdrew our previous election to be regulated as a BDC under the 1940 Act. Prior to such time, we operated as a BDC under the 1940 Act. Contemporaneously with withdrawing our election to be regulated as a BDC, on January 6, 2023, we completed the Acquisition of NBNYC, a national bank regulated and supervised by the OCC, pursuant to which we acquired from NBNYC’s shareholders all of the issued and outstanding stock of NBNYC. NBNYC has been renamed Newtek Bank and has become our wholly owned bank subsidiary. In connection with the completion of the Acquisition, we contributed to Newtek Bank $31 million of cash and two of our subsidiaries, NBL and SBL (subsequently, NBL was merged into SBL). As a result of the Acquisition, we are now a financial holding company subject to the regulation and supervision of the Federal Reserve and the Federal Reserve Bank of Atlanta. We no longer qualify as a RIC under Subchapter M of the Code for federal income tax purposes and no longer qualify for accounting treatment as an investment company. As a result, in addition to Newtek Bank and its consolidated subsidiary SBL, the following former portfolio companies and subsidiaries are now consolidated non-bank subsidiaries in our financial statements: NSBF; NMS; Mobil Money; NBC; PMT; NIA; TAM; Holdco 6; NCL; NTS and POS. In addition, as a result of commitments made to the Federal Reserve, we will divest or otherwise terminate the activities conducted by NTS by January 6, 2025, subject to any extension. See “Item 1A. Risk Factors – Risks Related to Operating as a Financial Holding Company – We are subject to extensive regulation and supervision as a financial holding company, which may adversely affect our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January 13, 2023, we filed Articles of Amendment amending our Charter to change the name of the Company to “NewtekOne, Inc.”</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On April 13, 2023, the Company, NSBF and the SBA entered into the Wind-down Agreement, pursuant to which NSBF has begun to wind-down its operations and NSBF’s SBA 7(a) pipeline of new loans was transitioned to Newtek Bank. During this wind-down process, NSBF will continue to own the SBA 7(a) loans and PPP Loans currently in its SBA loan portfolio to maturity, liquidation, charge-off or (subject to SBA’s prior written approval) sale or transfer. SBL will service and liquidate NSBF’s SBA loan portfolio pursuant to an SBA approved lender service provider agreement. In addition, during the wind-down process, NSBF will be subject to minimum capital requirements established by the SBA, be required to continue to maintain certain amounts of restricted cash available to meet any obligations to the SBA, have restrictions on its ability to make dividends and distributions to the Company, and remain liable to the SBA for post-purchase denials and repairs on the guaranteed portions of SBA 7(a) loans originated and sold by NSBF, from the proceeds generated by NSBF’s SBA loan portfolio. The Company has guaranteed certain of NSBF’s obligations to the SBA and has funded a $10 million account at Newtek Bank to secure these potential obligations.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Historical Business Regulation and Taxation</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Prior to January 6, 2023, we operated as an internally managed non-diversified closed-end management investment company that elected to be regulated as a BDC under the 1940 Act. As a BDC under the 1940 Act we were not permitted to acquire any asset other than assets of the type listed in Section 55(a) of the 1940 Act, which are referred to as qualifying assets, unless, at the time the acquisition is made, qualifying assets represent at least 70% of the company’s total assets, and we were not permitted to issue senior securities unless the ratio of its total assets (less total liabilities other than indebtedness represented by senior securities) to its total indebtedness represented by senior securities plus preferred stock, if any, was at least 150%. As of December 31 2022, our asset coverage was 169%. Although we are no longer regulated as a BDC, certain covenants in our outstanding 2024 and 2026 Notes require us to maintain an asset coverage of at least 150% as long as the 2024 and 2026 Notes are outstanding. See “Item 1A. Risk Factors – Risks Related to Our Notes – We are subject to 150% asset coverage requirements due to covenants contained in the indentures under which the 2024 and 2026 Notes were issued.”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0" w:right="319" w:bottom="1440" w:gutter="0" w:footer="0" w:header="0"/>
        </w:sectPr>
      </w:pPr>
    </w:p>
    <w:bookmarkStart w:id="52" w:name="page53"/>
    <w:bookmarkEnd w:id="52"/>
    <w:p>
      <w:pPr>
        <w:spacing w:after="0" w:line="276" w:lineRule="auto"/>
        <w:rPr>
          <w:sz w:val="20"/>
          <w:szCs w:val="20"/>
          <w:color w:val="auto"/>
        </w:rPr>
      </w:pPr>
      <w:r>
        <w:rPr>
          <w:rFonts w:ascii="Times New Roman" w:cs="Times New Roman" w:eastAsia="Times New Roman" w:hAnsi="Times New Roman"/>
          <w:sz w:val="14"/>
          <w:szCs w:val="14"/>
          <w:color w:val="auto"/>
        </w:rPr>
        <w:t>Additionally, prior to January 6, 2023, due to our status as a BDC, we elected to be treated as a RIC for U.S. federal income tax purposes, beginning with our 2015 tax year. As an entity electing to be treated as a RIC, we generally did not have to pay U.S. federal income taxes at corporate rates on any ordinary income or capital gains that we distributed to our shareholders as dividends. To</w:t>
      </w:r>
    </w:p>
    <w:p>
      <w:pPr>
        <w:spacing w:after="0" w:line="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maintain our qualification as a RIC for U.S. federal income tax purposes, we were required to, among other things, meet certain source-of-income and asset diversification requirements (as described below). In addition, in order to obtain tax benefits applicable to an entity treated as a RIC for U.S. federal income tax purposes, we were required to distribute to our shareholders, for each taxable year, at least 90% of our “investment company taxable income,” which is generally our ordinary income plus the excess of realized net short-term capital gains over realized net long-term capital losses.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Company and its subsidiaries no longer qualify as a RIC for U.S. federal income tax purposes and will file a consolidated U.S. federal income tax return beginning with the 2023 fiscal year. Financial holding companies are subject to federal and state income taxes in essentially the same manner as other corporations. Taxable income is generally calculated under applicable sections of the Internal Revenue Code of 1986, as amended (the “Code”), including Sections 581 through 597 that apply specifically to financial institutions. Some modifications are required by state law and the 2017 tax legislation commonly referred to as the Tax Cuts and Jobs Act (the "Tax Act"). Among other things, the Tax Act (i) established a new, flat corporate federal statutory income tax rate of 21%,</w:t>
      </w:r>
    </w:p>
    <w:p>
      <w:pPr>
        <w:spacing w:after="0" w:line="1" w:lineRule="exact"/>
        <w:rPr>
          <w:sz w:val="20"/>
          <w:szCs w:val="20"/>
          <w:color w:val="auto"/>
        </w:rPr>
      </w:pPr>
    </w:p>
    <w:p>
      <w:pPr>
        <w:ind w:right="40" w:firstLine="5"/>
        <w:spacing w:after="0" w:line="256" w:lineRule="auto"/>
        <w:tabs>
          <w:tab w:leader="none" w:pos="208"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eliminates the corporate alternative minimum tax and allowed the use of any such carryforwards to offset regular tax liability for any taxable year, (iii) limited the deduction for net interest expense incurred by U.S. corporations, (iv) allowed businesses to immediately expense, for tax purposes, the cost of new investments in certain qualified depreciable assets, (v) eliminated or reduced certain deductions related to meals and entertainment expenses, (vi) modified the limitation on excessive employee remuneration to eliminate the exception for performance-based compensation and clarified the definition of a covered employee and (vii) limited the deductibility of deposit insurance premiums. There can be no assurance as to the actual effective rate because it will be dependent upon the nature and amount of future income and expenses as well as actual investments generating investment tax credits and transactions with discrete tax effects.</w:t>
      </w:r>
    </w:p>
    <w:p>
      <w:pPr>
        <w:spacing w:after="0" w:line="16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From 2012 through December 31, 2022, NSBF, a wholly-owned subsidiary, was consistently the largest non-bank SBA 7(a) lender in the U.S. based on dollar volume of loan approvals, and, as of December 31, 2022, was the third largest SBA 7(a) lender in the United States. Currently, Newtek Bank is ranked as the second largest SBA 7(a) lender based on dollar volume of loans approved. Historically, NSBF structured its loans so that it could both sell the government guaranteed portions of SBA 7(a) loans and securitize the unguaranteed portions. This structure generally allowed NSBF to recover its capital and earn excess capital on each loan, typically within a year. Pursuant to the Wind-down Agreement described above, in April 2023 NSBF transitioned its SBA 7(a) loan originations to Newtek Bank and is in the process of winding down its operations and will continue to own the 7(a) Loans and PPP Loans in its SBA loan portfolio to maturity, liquidation, charge-off or (subject to SBA’s prior written approval) sale or transfer.</w:t>
      </w:r>
    </w:p>
    <w:p>
      <w:pPr>
        <w:spacing w:after="0" w:line="16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Additionally, we and our subsidiaries have historically provided a wide range of business and financial solutions to independent business owner relationships, including Business Lending, which includes SBA 7(a) loans, SBA 504 loans and our ALP loans, Electronic Payment Processing, Managed Technology Solutions (Cloud Computing), Technology Consulting, eCommerce, Accounts Receivable and Inventory Financing, personal and commercial lines Insurance Services, Web Services, Data Backup, Storage and Retrieval, and Payroll and Benefits Solutions to independent business owner relationships nationwide across all industries. We support the operations of our subsidiaries by providing access to our proprietary and patented technology platform, including NewTracker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patented prospect management software. We have historically defined independent business owners (SMBs) as companies having revenues of $1 million to $100 million, and we have generally estimated the SMB market to be over 33 million businesses in the United States. We have historically made loans and provided business and financial solutions to the SMB market through NSBF and our controlled portfolio companies (now subsidiaries). In addition, we have begun to offer the Newtek Advantage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One Dashboard for All of Your Business Needs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provides independent business owners with instant access to a team of NewtekOne business and financial solutions experts in the areas of Business Lending, Electronic Payment Processing, Managed Technology Solutions, personal and commercial lines Insurance Services and Payroll and Benefits Solutions. Moreover, we believe that the Newtek Advantage can provide our independent business owner clients with analytics on their businesses, as well as transactional capabilities that other organizations do not presently offer.</w:t>
      </w:r>
    </w:p>
    <w:p>
      <w:pPr>
        <w:spacing w:after="0" w:line="211"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Following the Acquisition, there can be no assurance regarding our continued lending prospects or operations as a financial holding company. See “Item 1A. Risk Factors – Risks Related to Operating as a Financial Holding Company – We have a limited operating history as a financial holding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shares are currently listed on the Nasdaq Global Market under the symbol “NEWT”.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53" w:name="page54"/>
    <w:bookmarkEnd w:id="53"/>
    <w:p>
      <w:pPr>
        <w:ind w:right="220"/>
        <w:spacing w:after="0" w:line="250" w:lineRule="auto"/>
        <w:rPr>
          <w:sz w:val="20"/>
          <w:szCs w:val="20"/>
          <w:color w:val="auto"/>
        </w:rPr>
      </w:pPr>
      <w:r>
        <w:rPr>
          <w:rFonts w:ascii="Times New Roman" w:cs="Times New Roman" w:eastAsia="Times New Roman" w:hAnsi="Times New Roman"/>
          <w:sz w:val="14"/>
          <w:szCs w:val="14"/>
          <w:color w:val="auto"/>
        </w:rPr>
        <w:t>Newtek Bank is a national bank and nationally licensed SBA lender under the federal Section 7(a) loan program, and originates, sells and services SBA 7(a) loans. Newtek Bank has been granted PLP status and is authorized to place SBA guarantees on loans without seeking prior SBA review and approval. Being a national lender with PLP status allows Newtek Bank to expedite the origination of loans since Newtek Bank is not required to present applications to the SBA for concurrent review and approval. The loss of PLP status would adversely impact our marketing efforts and ultimately our loan origination volume, which would negatively impact our results of operations. See “Item 1A. Risk Factors - Risks Related to SBA Lending - There can be no guarantee that Newtek Bank and NSBF will be able to maintain their SBA 7(a) lending licenses” and “Item 1A. Risk Factors - Risks Related to SBA Lending - A governmental failure to fund the SBA could adversely affect NSBF’s and Newtek Bank’s SBA 7(a) loan originations and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Developments</w:t>
      </w:r>
    </w:p>
    <w:p>
      <w:pPr>
        <w:spacing w:after="0" w:line="20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We have observed and continue to observe supply chain interruptions, significant labor and resource shortages, commodity inflation, rising interest rates, unrelated bank failures and declines in depositor confidence in certain types of depository institutions. Additionally geopolitical events, such as trade disruptions, the ongoing war between Russia and Ukraine, the Israel conflict with Hamas, rising tensions in Asia, and elements of economic and financial market instability in the United States, the United Kingdom, the European Union and China have led to increased economic uncertainty. One or more of these factors may contribute to increased market volatility, may have long term effects in the United States and worldwide financial markets, and may cause economic uncertainties or deterioration in the United States and worldwide. Additionally, in the event that the U.S. economy enters into a protracted recession, it is possible that the businesses and industries in which our customers operate and to which we lend to could experience deterioration, which could ultimately lead to difficulty in meeting debt service requirements and an increase in defaults. While we are not seeing signs of an overall, broad deterioration in our operating results at this time, there can be no assurance that the performance of certain of our subsidiaries and our current and prospective borrowers will not be negatively impacted by economic conditions, which could have a negative impact on our future results.</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addition, concerns have arisen with respect to the financial condition of a number of banking organizations in the United States, in particular those with exposure to certain types of depositors, large portfolios of investment securities and exposures to CRE. On March 10, 2023 Silicon Valley Bank was closed by the California Department of Financial Protection and Innovation and the Federal Deposit Insurance Corporation was appointed receiver of Silicon Valley Bank. On March 11, 2023, Signature Bank was similarly closed and placed into receivership and concurrently the Federal Reserve Board announced it will make available additional funding to eligible depository institutions to assist eligible banking organizations with potential liquidity needs. Subsequently, First Republic Bank entered FDIC receivership and its assets were sold to JPMorgan Chase Bank, N.A. While the Company’s business, balance sheet and depositor profile differ substantially from banking institutions that are the focus of the greatest scrutiny, the operating environment and public trading prices of financial services sector securities can be highly correlated, in particular in times of stress, which may adversely affect the trading price of the Company’s Common Stock and potentially its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For the quarterly period ended March 31, 2024, we generated income in the form of interest, net gains on sale of the guaranteed portions of SBA 7(a) loans originated, dividends, electronic payment processing income, technology and IT support income, servicing income, and other fee income generated by loan originations and by our subsidiaries. We originated loans that typically have terms of 10 to 25 years and bear interest at prime plus a margin. In some instances, we received payments on our loans based on scheduled amortization of the outstanding balances. In addition, we received repayments of some of our loans prior to their scheduled maturity date. The frequency or volume of these repayments fluctuated significantly from period to period. Our portfolio activity for the quarterly period ended March 31, 2024 also reflects the proceeds of sales of guaranteed portions of SBA 7(a) loans we originated. In addition, we received servicing income related to the guaranteed portions of SBA 7(a) loans which we originated and sold into the secondary market. These recurring fees were earned daily and recorded when earned. In addition, we generated revenue in the form of loan packaging, loan prepayment, legal and late fees. We recorded such fees related to loans as other income. Distributions of earnings from our joint ventures were evaluated to determine if the distribution was income, return of capital or realized gain.</w:t>
      </w:r>
    </w:p>
    <w:p>
      <w:pPr>
        <w:spacing w:after="0" w:line="17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recognized realized gains or losses on loans based on the difference between the net proceeds from the disposition and the cost basis of the loan without regard to unrealized gains or losses previously recognized. We recorded current period changes in fair value of loans and assets that were measured at fair value as a component of the net change in unrealized appreciation (depreciation) on the loans or servicing assets, as appropriate, in the consolidated statements of operations.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8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4"/>
          <w:szCs w:val="14"/>
          <w:color w:val="auto"/>
        </w:rPr>
        <w:t>For the quarterly period ended March 31, 2024, our primary operating expenses were salaries and benefits, interest expense including interest on deposits, electronic payment processing expense, technology services expenses, origination and servicing and other general and administrative costs, such as professional fees, marketing, referral fees, servicing costs and 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Alternative Lending Program (ALP)</w:t>
      </w:r>
    </w:p>
    <w:p>
      <w:pPr>
        <w:spacing w:after="0" w:line="18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NCL JV: In 2019, we launched a 50/50 joint venture, NCL JV, between NCL, a wholly-owned subsidiary of Newtek, and Conventional Lending TCP Holding, LLC, a wholly-owned, indirect subsidiary of BlackRock TCP Capital Corp. (Nasdaq:TCPC). NCL JV provided ALP loans to U.S. middle-market companies and small businesses. NCL JV ceased funding new loans during 2020. On January 28, 2022, NCL JV closed an ALP loan securitization with the sale of $56.3 million Class A Notes, NCL Business Loan Trust 2022-1, Business Loan-Backed Notes, Series 2022-1, secured by a segregated asset pool consisting primarily of NCL JV’s portfolio of ALP loans, including loans secured by liens on commercial or residential mortgaged properties, originated by NCL JV and NBL. The Notes were rated “A” (sf) by DBRS Morningstar. The Notes were priced at a yield of 3.209%. The proceeds of the securitization were used, in part, to repay the Deutsche Bank credit facility and return capital to the NCL partners. Refer to NOTE 4—INVESTMENTS for selected financial information and a schedule of investments of NCL as of March 31, 2024.</w:t>
      </w:r>
    </w:p>
    <w:p>
      <w:pPr>
        <w:spacing w:after="0" w:line="1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TSO JV: On August 5, 2022, NCL and TSO II Booster Aggregator, L.P. (“TSO II”) entered into a joint venture, TSO JV, governed by the Amended and Restated Limited Partnership Agreement for the TSO JV. NCL and TSO II each committed to contribute an equal share of equity funding to the TSO JV and each have equal voting rights on all material matters. The TSO JV intends to deploy capital over the course of time with additional leverage supported by a warehouse line of credit for the purpose of investing ALP loans made to middle-market companies as well as small businesses. TSO JV began making investments in ALP loans during the fourth quarter of 2022. Refer to NOTE 4—INVESTMENTS for selected financial information and a schedule of investments of TSO JV as of March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Unfunded Commitments</w:t>
      </w:r>
    </w:p>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At March 31, 2024, the Company had $108.8 million of unfunded commitments consisting of $15.9 million in connection with its SBA 7(a) loans, $87.7 million in connection with its SBA 504 loans, and $5.3 million relating to commercial and industrial loans. The Company funds these commitments from the same sources it uses to fund its other loan commitments.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Discussion and Analysis of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March 31, 2024 vs.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assets at March 31, 2024 were $1.5 billion, an increase of $80.1 million, or 7.0%, compared to total assets of $1.4 billion at December 31,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2"/>
        </w:trPr>
        <w:tc>
          <w:tcPr>
            <w:tcW w:w="49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7"/>
                <w:szCs w:val="17"/>
                <w:color w:val="auto"/>
              </w:rPr>
            </w:pPr>
          </w:p>
        </w:tc>
        <w:tc>
          <w:tcPr>
            <w:tcW w:w="90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49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19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187,104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68,237</w:t>
            </w:r>
          </w:p>
        </w:tc>
      </w:tr>
      <w:tr>
        <w:trPr>
          <w:trHeight w:val="180"/>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w:t>
            </w:r>
          </w:p>
        </w:tc>
      </w:tr>
      <w:tr>
        <w:trPr>
          <w:trHeight w:val="180"/>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1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(26,873)</w:t>
            </w:r>
          </w:p>
        </w:tc>
      </w:tr>
      <w:tr>
        <w:trPr>
          <w:trHeight w:val="180"/>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61,320</w:t>
            </w:r>
          </w:p>
        </w:tc>
      </w:tr>
      <w:tr>
        <w:trPr>
          <w:trHeight w:val="18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9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w:t>
            </w:r>
          </w:p>
        </w:tc>
      </w:tr>
      <w:tr>
        <w:trPr>
          <w:trHeight w:val="171"/>
        </w:trPr>
        <w:tc>
          <w:tcPr>
            <w:tcW w:w="4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Loans held for investment, at amortized cost, net</w:t>
            </w:r>
          </w:p>
        </w:tc>
        <w:tc>
          <w:tcPr>
            <w:tcW w:w="19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381,499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323,731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57,768</w:t>
            </w:r>
          </w:p>
        </w:tc>
      </w:tr>
      <w:tr>
        <w:trPr>
          <w:trHeight w:val="171"/>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19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1,071,411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969,006</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102,405</w:t>
            </w:r>
          </w:p>
        </w:tc>
      </w:tr>
      <w:tr>
        <w:trPr>
          <w:trHeight w:val="860"/>
        </w:trPr>
        <w:tc>
          <w:tcPr>
            <w:tcW w:w="4960" w:type="dxa"/>
            <w:vAlign w:val="bottom"/>
          </w:tcPr>
          <w:p>
            <w:pPr>
              <w:spacing w:after="0"/>
              <w:rPr>
                <w:sz w:val="24"/>
                <w:szCs w:val="24"/>
                <w:color w:val="auto"/>
              </w:rPr>
            </w:pPr>
          </w:p>
        </w:tc>
        <w:tc>
          <w:tcPr>
            <w:tcW w:w="1920" w:type="dxa"/>
            <w:vAlign w:val="bottom"/>
          </w:tcPr>
          <w:p>
            <w:pPr>
              <w:jc w:val="right"/>
              <w:ind w:right="1089"/>
              <w:spacing w:after="0"/>
              <w:rPr>
                <w:sz w:val="20"/>
                <w:szCs w:val="20"/>
                <w:color w:val="auto"/>
              </w:rPr>
            </w:pPr>
            <w:r>
              <w:rPr>
                <w:rFonts w:ascii="Times New Roman" w:cs="Times New Roman" w:eastAsia="Times New Roman" w:hAnsi="Times New Roman"/>
                <w:sz w:val="14"/>
                <w:szCs w:val="14"/>
                <w:color w:val="auto"/>
              </w:rPr>
              <w:t>55</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7"/>
        </w:trPr>
        <w:tc>
          <w:tcPr>
            <w:tcW w:w="496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i w:val="1"/>
          <w:iCs w:val="1"/>
          <w:color w:val="auto"/>
        </w:rPr>
        <w:t>Loans held for sale</w:t>
      </w:r>
    </w:p>
    <w:p>
      <w:pPr>
        <w:spacing w:after="0" w:line="20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Loans held for sale, at fair value increased $68.2 million during the three months ended March 31, 2024, while loans held for sale, at LCM increased $3.3 million during the same period. The overall increase was primarily the result of new loan originations during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held for investment</w:t>
      </w:r>
    </w:p>
    <w:p>
      <w:pPr>
        <w:spacing w:after="0" w:line="20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At Fair value: </w:t>
      </w:r>
      <w:r>
        <w:rPr>
          <w:rFonts w:ascii="Times New Roman" w:cs="Times New Roman" w:eastAsia="Times New Roman" w:hAnsi="Times New Roman"/>
          <w:sz w:val="14"/>
          <w:szCs w:val="14"/>
          <w:color w:val="auto"/>
        </w:rPr>
        <w:t>Loans held for investment, at fair value was $442.9 million at March 31, 2024 compared to $469.8 million at December 31, 2023. The balance consists primarily of SBA 7(a) loans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well as $7.1 million of loans that the Company owns 100% as a result of originating the loan and subsequently repurchasing the guaranteed portion from the SBA. As previously discussed, NSBF ceased originating loans during 2023, resulting in the decrease in the balance of loans held for investment from December 31, 2023 to March 31, 2024 due to the principal payments of existing loans held by NSBF.</w:t>
      </w:r>
    </w:p>
    <w:p>
      <w:pPr>
        <w:spacing w:after="0" w:line="15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At Amortized Cost: </w:t>
      </w:r>
      <w:r>
        <w:rPr>
          <w:rFonts w:ascii="Times New Roman" w:cs="Times New Roman" w:eastAsia="Times New Roman" w:hAnsi="Times New Roman"/>
          <w:sz w:val="14"/>
          <w:szCs w:val="14"/>
          <w:color w:val="auto"/>
        </w:rPr>
        <w:t>Loans held for investment, at amortized cost consists of loans originated at Newtek Bank. The $61.3 million increase in loans held for investment, at amortized cost is the result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 increase in originations in three months ended March 31, 2024 over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Credit Quality: </w:t>
      </w:r>
      <w:r>
        <w:rPr>
          <w:rFonts w:ascii="Times New Roman" w:cs="Times New Roman" w:eastAsia="Times New Roman" w:hAnsi="Times New Roman"/>
          <w:sz w:val="14"/>
          <w:szCs w:val="14"/>
          <w:color w:val="auto"/>
        </w:rPr>
        <w:t>The following table presents an analysis of loans held for investment with credit metrics, including a breakdown by days aged: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Borders>
              <w:bottom w:val="single" w:sz="8" w:color="CCEEFF"/>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Credit Quality Ratios</w:t>
            </w:r>
          </w:p>
        </w:tc>
        <w:tc>
          <w:tcPr>
            <w:tcW w:w="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40" w:type="dxa"/>
            <w:vAlign w:val="bottom"/>
            <w:tcBorders>
              <w:bottom w:val="single" w:sz="8" w:color="auto"/>
            </w:tcBorders>
          </w:tcPr>
          <w:p>
            <w:pPr>
              <w:spacing w:after="0"/>
              <w:rPr>
                <w:sz w:val="16"/>
                <w:szCs w:val="16"/>
                <w:color w:val="auto"/>
              </w:rPr>
            </w:pPr>
          </w:p>
        </w:tc>
      </w:tr>
      <w:tr>
        <w:trPr>
          <w:trHeight w:val="171"/>
        </w:trPr>
        <w:tc>
          <w:tcPr>
            <w:tcW w:w="61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4"/>
                <w:szCs w:val="14"/>
                <w:color w:val="auto"/>
              </w:rPr>
            </w:pPr>
          </w:p>
        </w:tc>
      </w:tr>
      <w:tr>
        <w:trPr>
          <w:trHeight w:val="16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At Amortized Cost</w:t>
            </w: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378,206</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325,643</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96.9 %</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Past Due 31-89 Days</w:t>
            </w:r>
          </w:p>
        </w:tc>
        <w:tc>
          <w:tcPr>
            <w:tcW w:w="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11,090</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4,896</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6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8,015</w:t>
            </w:r>
          </w:p>
        </w:tc>
        <w:tc>
          <w:tcPr>
            <w:tcW w:w="7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w:t>
            </w:r>
          </w:p>
        </w:tc>
        <w:tc>
          <w:tcPr>
            <w:tcW w:w="7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171"/>
        </w:trPr>
        <w:tc>
          <w:tcPr>
            <w:tcW w:w="6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at amortized cost</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397,311</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335,912</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w:t>
            </w:r>
          </w:p>
        </w:tc>
        <w:tc>
          <w:tcPr>
            <w:tcW w:w="6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71"/>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 net of deferred fees and costs</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397,625</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(16,126)</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212"/>
        </w:trPr>
        <w:tc>
          <w:tcPr>
            <w:tcW w:w="6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At Fair Value</w:t>
            </w: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331,236</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74.7 %</w:t>
            </w:r>
          </w:p>
        </w:tc>
        <w:tc>
          <w:tcPr>
            <w:tcW w:w="80" w:type="dxa"/>
            <w:vAlign w:val="bottom"/>
          </w:tcPr>
          <w:p>
            <w:pPr>
              <w:spacing w:after="0"/>
              <w:rPr>
                <w:sz w:val="15"/>
                <w:szCs w:val="15"/>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385,172</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 Due 31-89 Days</w:t>
            </w: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61,862</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36,455</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Past Due 90+ Days and accruing</w:t>
            </w:r>
          </w:p>
        </w:tc>
        <w:tc>
          <w:tcPr>
            <w:tcW w:w="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6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46,001</w:t>
            </w:r>
          </w:p>
        </w:tc>
        <w:tc>
          <w:tcPr>
            <w:tcW w:w="7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48,174</w:t>
            </w:r>
          </w:p>
        </w:tc>
        <w:tc>
          <w:tcPr>
            <w:tcW w:w="7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r>
      <w:tr>
        <w:trPr>
          <w:trHeight w:val="171"/>
        </w:trPr>
        <w:tc>
          <w:tcPr>
            <w:tcW w:w="6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442,928</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 due and nonaccrual loans as % of Outstanding UPB</w:t>
            </w: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111,692</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84,629</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75.2 %</w:t>
            </w:r>
          </w:p>
        </w:tc>
      </w:tr>
      <w:tr>
        <w:trPr>
          <w:trHeight w:val="212"/>
        </w:trPr>
        <w:tc>
          <w:tcPr>
            <w:tcW w:w="6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Nonperforming Assets, as a percentage of total assets</w:t>
            </w: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HFI, at amortized cost</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8,015</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80" w:type="dxa"/>
            <w:vAlign w:val="bottom"/>
          </w:tcPr>
          <w:p>
            <w:pPr>
              <w:spacing w:after="0"/>
              <w:rPr>
                <w:sz w:val="15"/>
                <w:szCs w:val="15"/>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HFI, at fair value</w:t>
            </w: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46,001</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48,174</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80"/>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6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71"/>
        </w:trPr>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56,454</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54,657</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i w:val="1"/>
          <w:iCs w:val="1"/>
          <w:color w:val="auto"/>
        </w:rPr>
        <w:t>CRE exposure</w:t>
      </w:r>
    </w:p>
    <w:p>
      <w:pPr>
        <w:spacing w:after="0" w:line="202"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The Company’s loan portfolio consists of loans to independent business owners (SMBs). The Company’s Loans HFI at amortized cost and Loans HFS at LCM include a total of $216.6 million of loans, including unfunded commitments, backed by CRE and considered non-owner occupied as of March 31, 2024. The average loan-to-value for this CRE portfolio was 59.4%. The table below presents a detail of the loans considered non-owner occupied CRE that are not carried at fair value: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
        </w:trPr>
        <w:tc>
          <w:tcPr>
            <w:tcW w:w="2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28"/>
        </w:trPr>
        <w:tc>
          <w:tcPr>
            <w:tcW w:w="2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180"/>
              <w:spacing w:after="0" w:line="129" w:lineRule="exact"/>
              <w:rPr>
                <w:sz w:val="20"/>
                <w:szCs w:val="20"/>
                <w:color w:val="auto"/>
              </w:rPr>
            </w:pPr>
            <w:r>
              <w:rPr>
                <w:rFonts w:ascii="Times New Roman" w:cs="Times New Roman" w:eastAsia="Times New Roman" w:hAnsi="Times New Roman"/>
                <w:sz w:val="13"/>
                <w:szCs w:val="13"/>
                <w:color w:val="auto"/>
                <w:w w:val="97"/>
              </w:rPr>
              <w:t>HFI at Amortized</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180"/>
              <w:spacing w:after="0" w:line="129" w:lineRule="exact"/>
              <w:rPr>
                <w:sz w:val="20"/>
                <w:szCs w:val="20"/>
                <w:color w:val="auto"/>
              </w:rPr>
            </w:pPr>
            <w:r>
              <w:rPr>
                <w:rFonts w:ascii="Times New Roman" w:cs="Times New Roman" w:eastAsia="Times New Roman" w:hAnsi="Times New Roman"/>
                <w:sz w:val="13"/>
                <w:szCs w:val="13"/>
                <w:color w:val="auto"/>
                <w:w w:val="97"/>
              </w:rPr>
              <w:t>HFI at Amortized</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38"/>
        </w:trPr>
        <w:tc>
          <w:tcPr>
            <w:tcW w:w="2860" w:type="dxa"/>
            <w:vAlign w:val="bottom"/>
            <w:shd w:val="clear" w:color="auto" w:fill="CCEEFF"/>
          </w:tcPr>
          <w:p>
            <w:pPr>
              <w:spacing w:after="0"/>
              <w:rPr>
                <w:sz w:val="11"/>
                <w:szCs w:val="11"/>
                <w:color w:val="auto"/>
              </w:rPr>
            </w:pPr>
          </w:p>
        </w:tc>
        <w:tc>
          <w:tcPr>
            <w:tcW w:w="1220" w:type="dxa"/>
            <w:vAlign w:val="bottom"/>
            <w:gridSpan w:val="3"/>
            <w:shd w:val="clear" w:color="auto" w:fill="CCEEFF"/>
          </w:tcPr>
          <w:p>
            <w:pPr>
              <w:jc w:val="center"/>
              <w:ind w:right="60"/>
              <w:spacing w:after="0" w:line="138" w:lineRule="exact"/>
              <w:rPr>
                <w:sz w:val="20"/>
                <w:szCs w:val="20"/>
                <w:color w:val="auto"/>
              </w:rPr>
            </w:pPr>
            <w:r>
              <w:rPr>
                <w:rFonts w:ascii="Times New Roman" w:cs="Times New Roman" w:eastAsia="Times New Roman" w:hAnsi="Times New Roman"/>
                <w:sz w:val="13"/>
                <w:szCs w:val="13"/>
                <w:color w:val="auto"/>
                <w:w w:val="97"/>
              </w:rPr>
              <w:t>Cost, net of deferred</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120"/>
              <w:spacing w:after="0" w:line="138" w:lineRule="exact"/>
              <w:rPr>
                <w:sz w:val="20"/>
                <w:szCs w:val="20"/>
                <w:color w:val="auto"/>
              </w:rPr>
            </w:pPr>
            <w:r>
              <w:rPr>
                <w:rFonts w:ascii="Times New Roman" w:cs="Times New Roman" w:eastAsia="Times New Roman" w:hAnsi="Times New Roman"/>
                <w:sz w:val="13"/>
                <w:szCs w:val="13"/>
                <w:color w:val="auto"/>
                <w:w w:val="94"/>
              </w:rPr>
              <w:t>LTV</w:t>
            </w:r>
          </w:p>
        </w:tc>
        <w:tc>
          <w:tcPr>
            <w:tcW w:w="1220" w:type="dxa"/>
            <w:vAlign w:val="bottom"/>
            <w:gridSpan w:val="3"/>
            <w:shd w:val="clear" w:color="auto" w:fill="CCEEFF"/>
          </w:tcPr>
          <w:p>
            <w:pPr>
              <w:jc w:val="center"/>
              <w:ind w:right="100"/>
              <w:spacing w:after="0" w:line="138" w:lineRule="exact"/>
              <w:rPr>
                <w:sz w:val="20"/>
                <w:szCs w:val="20"/>
                <w:color w:val="auto"/>
              </w:rPr>
            </w:pPr>
            <w:r>
              <w:rPr>
                <w:rFonts w:ascii="Times New Roman" w:cs="Times New Roman" w:eastAsia="Times New Roman" w:hAnsi="Times New Roman"/>
                <w:sz w:val="13"/>
                <w:szCs w:val="13"/>
                <w:color w:val="auto"/>
                <w:w w:val="97"/>
              </w:rPr>
              <w:t>Cost, net of deferred</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314"/>
              <w:spacing w:after="0" w:line="138" w:lineRule="exact"/>
              <w:rPr>
                <w:sz w:val="20"/>
                <w:szCs w:val="20"/>
                <w:color w:val="auto"/>
              </w:rPr>
            </w:pPr>
            <w:r>
              <w:rPr>
                <w:rFonts w:ascii="Times New Roman" w:cs="Times New Roman" w:eastAsia="Times New Roman" w:hAnsi="Times New Roman"/>
                <w:sz w:val="13"/>
                <w:szCs w:val="13"/>
                <w:color w:val="auto"/>
              </w:rPr>
              <w:t>LTV</w:t>
            </w:r>
          </w:p>
        </w:tc>
      </w:tr>
      <w:tr>
        <w:trPr>
          <w:trHeight w:val="191"/>
        </w:trPr>
        <w:tc>
          <w:tcPr>
            <w:tcW w:w="2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9"/>
              </w:rPr>
              <w:t>fees and costs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HFS at LCM</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by CRE Type</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6"/>
              </w:rPr>
              <w:t>fees and costs</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HFS at LCM</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by CRE Type</w:t>
            </w:r>
          </w:p>
        </w:tc>
      </w:tr>
      <w:tr>
        <w:trPr>
          <w:trHeight w:val="183"/>
        </w:trPr>
        <w:tc>
          <w:tcPr>
            <w:tcW w:w="2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Loans not backed by CRE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259,183</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22,646</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281,829</w:t>
            </w: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203,405</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203,405</w:t>
            </w: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backed by CRE</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138,442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175,676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132,900</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189,507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83"/>
        </w:trPr>
        <w:tc>
          <w:tcPr>
            <w:tcW w:w="286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color w:val="auto"/>
              </w:rPr>
              <w:t>Total loans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397,625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59,880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457,505</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392,912</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73"/>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Loans backed by CRE by type:</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Retail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47,645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49.7 %</w:t>
            </w:r>
          </w:p>
        </w:tc>
      </w:tr>
      <w:tr>
        <w:trPr>
          <w:trHeight w:val="193"/>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1-4 Family</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30,183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57.6 %</w:t>
            </w:r>
          </w:p>
        </w:tc>
      </w:tr>
      <w:tr>
        <w:trPr>
          <w:trHeight w:val="210"/>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Multifamily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51.3 %</w:t>
            </w:r>
          </w:p>
        </w:tc>
      </w:tr>
      <w:tr>
        <w:trPr>
          <w:trHeight w:val="193"/>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Industrial</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47.0 %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47.3 %</w:t>
            </w:r>
          </w:p>
        </w:tc>
      </w:tr>
      <w:tr>
        <w:trPr>
          <w:trHeight w:val="210"/>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Office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48.9 %</w:t>
            </w:r>
          </w:p>
        </w:tc>
      </w:tr>
      <w:tr>
        <w:trPr>
          <w:trHeight w:val="193"/>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73.9 %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51,907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51,907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83.1 %</w:t>
            </w:r>
          </w:p>
        </w:tc>
      </w:tr>
      <w:tr>
        <w:trPr>
          <w:trHeight w:val="210"/>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Hotel</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55.3 %</w:t>
            </w:r>
          </w:p>
        </w:tc>
      </w:tr>
      <w:tr>
        <w:trPr>
          <w:trHeight w:val="193"/>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51.6 %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52.8 %</w:t>
            </w:r>
          </w:p>
        </w:tc>
      </w:tr>
      <w:tr>
        <w:trPr>
          <w:trHeight w:val="201"/>
        </w:trPr>
        <w:tc>
          <w:tcPr>
            <w:tcW w:w="28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non-owner occupied HFI at amortized cost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138,442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175,676</w:t>
            </w:r>
          </w:p>
        </w:tc>
        <w:tc>
          <w:tcPr>
            <w:tcW w:w="10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132,900</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189,507</w:t>
            </w:r>
          </w:p>
        </w:tc>
        <w:tc>
          <w:tcPr>
            <w:tcW w:w="10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60.3 %</w:t>
            </w:r>
          </w:p>
        </w:tc>
      </w:tr>
      <w:tr>
        <w:trPr>
          <w:trHeight w:val="212"/>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Unfunded Commitments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3"/>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40,777</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73.9 %</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83.1 %</w:t>
            </w:r>
          </w:p>
        </w:tc>
      </w:tr>
      <w:tr>
        <w:trPr>
          <w:trHeight w:val="210"/>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Hotel</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55.3 %</w:t>
            </w:r>
          </w:p>
        </w:tc>
      </w:tr>
      <w:tr>
        <w:trPr>
          <w:trHeight w:val="193"/>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Multifamily</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unfunded commitments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40,897</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r>
      <w:tr>
        <w:trPr>
          <w:trHeight w:val="175"/>
        </w:trPr>
        <w:tc>
          <w:tcPr>
            <w:tcW w:w="2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CRE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138,472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78,101</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216,573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59.4 %</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132,900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61,100</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60.8 %</w:t>
            </w:r>
          </w:p>
        </w:tc>
      </w:tr>
    </w:tbl>
    <w:p>
      <w:pPr>
        <w:spacing w:after="0" w:line="44" w:lineRule="exact"/>
        <w:rPr>
          <w:sz w:val="20"/>
          <w:szCs w:val="20"/>
          <w:color w:val="auto"/>
        </w:rPr>
      </w:pPr>
    </w:p>
    <w:p>
      <w:pPr>
        <w:ind w:left="80" w:hanging="75"/>
        <w:spacing w:after="0"/>
        <w:tabs>
          <w:tab w:leader="none" w:pos="80" w:val="left"/>
        </w:tabs>
        <w:numPr>
          <w:ilvl w:val="0"/>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Construction land development includes first and second lien loans. The LTV on first lien is generally 65%. Second liens are typically taken out by the SBA following project completion.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Goodwill and Intangibles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93"/>
        </w:trPr>
        <w:tc>
          <w:tcPr>
            <w:tcW w:w="3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71"/>
        </w:trPr>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Intangible Assets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4"/>
                <w:szCs w:val="14"/>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tcPr>
          <w:p>
            <w:pPr>
              <w:spacing w:after="0"/>
              <w:rPr>
                <w:sz w:val="14"/>
                <w:szCs w:val="14"/>
                <w:color w:val="auto"/>
              </w:rPr>
            </w:pPr>
          </w:p>
        </w:tc>
        <w:tc>
          <w:tcPr>
            <w:tcW w:w="6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NBNYC acquisition</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segment</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13,814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13,827</w:t>
            </w:r>
          </w:p>
        </w:tc>
      </w:tr>
      <w:tr>
        <w:trPr>
          <w:trHeight w:val="18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segment</w:t>
            </w: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8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3,262</w:t>
            </w:r>
          </w:p>
        </w:tc>
        <w:tc>
          <w:tcPr>
            <w:tcW w:w="8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15,062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15,179</w:t>
            </w:r>
          </w:p>
        </w:tc>
      </w:tr>
      <w:tr>
        <w:trPr>
          <w:trHeight w:val="171"/>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25,885</w:t>
            </w:r>
          </w:p>
        </w:tc>
        <w:tc>
          <w:tcPr>
            <w:tcW w:w="80" w:type="dxa"/>
            <w:vAlign w:val="bottom"/>
          </w:tcPr>
          <w:p>
            <w:pPr>
              <w:spacing w:after="0"/>
              <w:rPr>
                <w:sz w:val="14"/>
                <w:szCs w:val="14"/>
                <w:color w:val="auto"/>
              </w:rPr>
            </w:pPr>
          </w:p>
        </w:tc>
        <w:tc>
          <w:tcPr>
            <w:tcW w:w="138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4,059</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29,944</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25,885</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30,120</w:t>
            </w: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goodwill and intangible assets relates to amortization of intangible assets during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Settlement Receivable</w:t>
      </w:r>
    </w:p>
    <w:p>
      <w:pPr>
        <w:spacing w:after="0" w:line="20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Settlement receivables were $56.9 million as of March 31, 2024, a decrease of $5.3 million compared to December 31, 2023. The settlement receivable arises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quarter end.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liabilities at March 31, 2024, were $1.3 billion, an increase of $75.0 million, or 6.4%, compared to total liabilities of $1.2 billion at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Total deposits were $512.9 million at March 31, 2024, consisting of $5.5 million in non-interest bearing deposits and $507.5 million in interest bearing deposits, a $49.4 million increase from the balance as of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Borrowings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 Outstanding</w:t>
            </w:r>
          </w:p>
        </w:tc>
        <w:tc>
          <w:tcPr>
            <w:tcW w:w="340" w:type="dxa"/>
            <w:vAlign w:val="bottom"/>
          </w:tcPr>
          <w:p>
            <w:pPr>
              <w:spacing w:after="0"/>
              <w:rPr>
                <w:sz w:val="16"/>
                <w:szCs w:val="16"/>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320" w:type="dxa"/>
            <w:vAlign w:val="bottom"/>
          </w:tcPr>
          <w:p>
            <w:pPr>
              <w:spacing w:after="0"/>
              <w:rPr>
                <w:sz w:val="16"/>
                <w:szCs w:val="16"/>
                <w:color w:val="auto"/>
              </w:rPr>
            </w:pP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60" w:type="dxa"/>
            <w:vAlign w:val="bottom"/>
          </w:tcPr>
          <w:p>
            <w:pPr>
              <w:spacing w:after="0"/>
              <w:rPr>
                <w:sz w:val="16"/>
                <w:szCs w:val="16"/>
                <w:color w:val="auto"/>
              </w:rPr>
            </w:pPr>
          </w:p>
        </w:tc>
        <w:tc>
          <w:tcPr>
            <w:tcW w:w="1580" w:type="dxa"/>
            <w:vAlign w:val="bottom"/>
          </w:tcPr>
          <w:p>
            <w:pPr>
              <w:jc w:val="right"/>
              <w:ind w:right="75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61"/>
        </w:trPr>
        <w:tc>
          <w:tcPr>
            <w:tcW w:w="5100" w:type="dxa"/>
            <w:vAlign w:val="bottom"/>
            <w:tcBorders>
              <w:top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Other Bank Borrowings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r>
      <w:tr>
        <w:trPr>
          <w:trHeight w:val="180"/>
        </w:trPr>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Webster NMS Note</w:t>
            </w:r>
          </w:p>
        </w:tc>
        <w:tc>
          <w:tcPr>
            <w:tcW w:w="3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36,628</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r>
      <w:tr>
        <w:trPr>
          <w:trHeight w:val="180"/>
        </w:trPr>
        <w:tc>
          <w:tcPr>
            <w:tcW w:w="5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3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16,080</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4,161</w:t>
            </w:r>
          </w:p>
        </w:tc>
      </w:tr>
      <w:tr>
        <w:trPr>
          <w:trHeight w:val="180"/>
        </w:trPr>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3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11,264</w:t>
            </w:r>
          </w:p>
        </w:tc>
      </w:tr>
      <w:tr>
        <w:trPr>
          <w:trHeight w:val="180"/>
        </w:trPr>
        <w:tc>
          <w:tcPr>
            <w:tcW w:w="5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3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29,496</w:t>
            </w:r>
          </w:p>
        </w:tc>
      </w:tr>
      <w:tr>
        <w:trPr>
          <w:trHeight w:val="180"/>
        </w:trPr>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FHLB Advances</w:t>
            </w: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19,726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23,184</w:t>
            </w:r>
          </w:p>
        </w:tc>
        <w:tc>
          <w:tcPr>
            <w:tcW w:w="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(3,458)</w:t>
            </w:r>
          </w:p>
        </w:tc>
      </w:tr>
      <w:tr>
        <w:trPr>
          <w:trHeight w:val="171"/>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Lines of Credit</w:t>
            </w:r>
          </w:p>
        </w:tc>
        <w:tc>
          <w:tcPr>
            <w:tcW w:w="3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123,407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82,948</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40,459</w:t>
            </w:r>
          </w:p>
        </w:tc>
      </w:tr>
      <w:tr>
        <w:trPr>
          <w:trHeight w:val="85"/>
        </w:trPr>
        <w:tc>
          <w:tcPr>
            <w:tcW w:w="5100" w:type="dxa"/>
            <w:vAlign w:val="bottom"/>
            <w:gridSpan w:val="2"/>
          </w:tcPr>
          <w:p>
            <w:pPr>
              <w:spacing w:after="0"/>
              <w:rPr>
                <w:sz w:val="7"/>
                <w:szCs w:val="7"/>
                <w:color w:val="auto"/>
              </w:rPr>
            </w:pPr>
          </w:p>
        </w:tc>
        <w:tc>
          <w:tcPr>
            <w:tcW w:w="3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r>
      <w:tr>
        <w:trPr>
          <w:trHeight w:val="180"/>
        </w:trPr>
        <w:tc>
          <w:tcPr>
            <w:tcW w:w="51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Parent Company Notes due 2024, 2025, 2026, and 2028</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2024</w:t>
            </w:r>
          </w:p>
        </w:tc>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5.75% Notes</w:t>
            </w:r>
          </w:p>
        </w:tc>
        <w:tc>
          <w:tcPr>
            <w:tcW w:w="3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38,124</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3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29,651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29,563</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3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49,564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49,433</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2026</w:t>
            </w: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5.50% Notes</w:t>
            </w:r>
          </w:p>
        </w:tc>
        <w:tc>
          <w:tcPr>
            <w:tcW w:w="3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113,743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113,564</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0"/>
        </w:trPr>
        <w:tc>
          <w:tcPr>
            <w:tcW w:w="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w w:val="99"/>
              </w:rPr>
              <w:t>2028</w:t>
            </w:r>
          </w:p>
        </w:tc>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8.00% Notes</w:t>
            </w: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38,465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38,378</w:t>
            </w:r>
          </w:p>
        </w:tc>
        <w:tc>
          <w:tcPr>
            <w:tcW w:w="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71"/>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2024, 2025, 2026, and 2028 Notes</w:t>
            </w:r>
          </w:p>
        </w:tc>
        <w:tc>
          <w:tcPr>
            <w:tcW w:w="3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269,601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269,062</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85"/>
        </w:trPr>
        <w:tc>
          <w:tcPr>
            <w:tcW w:w="5100" w:type="dxa"/>
            <w:vAlign w:val="bottom"/>
            <w:gridSpan w:val="2"/>
          </w:tcPr>
          <w:p>
            <w:pPr>
              <w:spacing w:after="0"/>
              <w:rPr>
                <w:sz w:val="7"/>
                <w:szCs w:val="7"/>
                <w:color w:val="auto"/>
              </w:rPr>
            </w:pPr>
          </w:p>
        </w:tc>
        <w:tc>
          <w:tcPr>
            <w:tcW w:w="3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r>
      <w:tr>
        <w:trPr>
          <w:trHeight w:val="180"/>
        </w:trPr>
        <w:tc>
          <w:tcPr>
            <w:tcW w:w="51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Payable - Securitization Trusts</w:t>
            </w:r>
            <w:r>
              <w:rPr>
                <w:rFonts w:ascii="Times New Roman" w:cs="Times New Roman" w:eastAsia="Times New Roman" w:hAnsi="Times New Roman"/>
                <w:sz w:val="18"/>
                <w:szCs w:val="18"/>
                <w:color w:val="auto"/>
                <w:vertAlign w:val="superscript"/>
              </w:rPr>
              <w:t>1</w:t>
            </w:r>
          </w:p>
        </w:tc>
        <w:tc>
          <w:tcPr>
            <w:tcW w:w="3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269,480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292,112</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(22,632)</w:t>
            </w:r>
          </w:p>
        </w:tc>
      </w:tr>
      <w:tr>
        <w:trPr>
          <w:trHeight w:val="74"/>
        </w:trPr>
        <w:tc>
          <w:tcPr>
            <w:tcW w:w="400" w:type="dxa"/>
            <w:vAlign w:val="bottom"/>
            <w:tcBorders>
              <w:bottom w:val="single" w:sz="8" w:color="CCEEFF"/>
            </w:tcBorders>
          </w:tcPr>
          <w:p>
            <w:pPr>
              <w:spacing w:after="0"/>
              <w:rPr>
                <w:sz w:val="6"/>
                <w:szCs w:val="6"/>
                <w:color w:val="auto"/>
              </w:rPr>
            </w:pPr>
          </w:p>
        </w:tc>
        <w:tc>
          <w:tcPr>
            <w:tcW w:w="47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r>
      <w:tr>
        <w:trPr>
          <w:trHeight w:val="196"/>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7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662,488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644,122</w:t>
            </w: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18,366</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deferred financing costs.</w:t>
      </w:r>
    </w:p>
    <w:p>
      <w:pPr>
        <w:spacing w:after="0" w:line="17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Borrowings were $662.5 million at March 31, 2024 compared to $644.1 million at December 31, 2023. This increase was primarily due to an additional $4.2 million, $11.3 million, and $29.5 million of borrowings under the SPV I, II, and III facilities, respectively. These increases were partially offset by a $22.6 million reduction in our notes payable on securitization trusts, and $3.5 million paydown of FHLB advances.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Taxes</w:t>
      </w:r>
    </w:p>
    <w:p>
      <w:pPr>
        <w:spacing w:after="0" w:line="25"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4"/>
          <w:szCs w:val="14"/>
          <w:color w:val="auto"/>
        </w:rPr>
        <w:t>The deferred tax assets and liabilities represent the cumulative timing differences between book and tax to the extent such assets or liabilities give rise to taxable income or expense in future periods. Within this balance is the deferred tax asset on net operating loss (NOL) carryforwards not expected to be utilized in the current year. The Company evaluated all NOLS for a valuation allowance and determined that none were required.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Comparison of the three months ended March 31, 2024 and 2023</w:t>
      </w:r>
    </w:p>
    <w:p>
      <w:pPr>
        <w:spacing w:after="0" w:line="181"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As disclosed in our 2023 Form 10-K, the Company’s prior year condensed comparative financial statements have been adjusted to correct errors made in the Company’s financial statements previously issued for the first, second, and third quarters of 2023. Results for the three months ended March 31, 2023 are presented as restated. Refer to our 2023 Form 10-K for further detail.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Summary</w:t>
      </w:r>
    </w:p>
    <w:p>
      <w:pPr>
        <w:spacing w:after="0" w:line="20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2024, the Company reported net income of $9.65 million, or $0.38 per basic and diluted share, compared to net income of $18.55 million, or $0.76 per basic and $0.74 per diluted share, respectively, for the three months ended March 31, 2023,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decrease in net income was attributable to the following items: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6"/>
          </w:tcPr>
          <w:p>
            <w:pPr>
              <w:ind w:left="7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760" w:type="dxa"/>
            <w:vAlign w:val="bottom"/>
          </w:tcPr>
          <w:p>
            <w:pPr>
              <w:spacing w:after="0"/>
              <w:rPr>
                <w:sz w:val="9"/>
                <w:szCs w:val="9"/>
                <w:color w:val="auto"/>
              </w:rPr>
            </w:pPr>
          </w:p>
        </w:tc>
        <w:tc>
          <w:tcPr>
            <w:tcW w:w="9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jc w:val="center"/>
              <w:ind w:right="152"/>
              <w:spacing w:after="0" w:line="108" w:lineRule="exact"/>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53"/>
        </w:trPr>
        <w:tc>
          <w:tcPr>
            <w:tcW w:w="67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92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49,367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42,356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39,023</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before taxes</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(benefit)/expense</w:t>
            </w:r>
          </w:p>
        </w:tc>
        <w:tc>
          <w:tcPr>
            <w:tcW w:w="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(11,952)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15,401</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bottom w:val="single" w:sz="8" w:color="auto"/>
            </w:tcBorders>
            <w:gridSpan w:val="2"/>
          </w:tcPr>
          <w:p>
            <w:pPr>
              <w:jc w:val="right"/>
              <w:ind w:right="77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18,550</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(8,900)</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760" w:type="dxa"/>
            <w:vAlign w:val="bottom"/>
          </w:tcPr>
          <w:p>
            <w:pPr>
              <w:spacing w:after="0"/>
              <w:rPr>
                <w:sz w:val="9"/>
                <w:szCs w:val="9"/>
                <w:color w:val="auto"/>
              </w:rPr>
            </w:pPr>
          </w:p>
        </w:tc>
        <w:tc>
          <w:tcPr>
            <w:tcW w:w="9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jc w:val="center"/>
              <w:ind w:right="172"/>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67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920" w:type="dxa"/>
            <w:vAlign w:val="bottom"/>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and fees on loans</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interest earning assets</w:t>
            </w:r>
          </w:p>
        </w:tc>
        <w:tc>
          <w:tcPr>
            <w:tcW w:w="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interest income</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and securitizations</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Bank and FHLB borrowings</w:t>
            </w:r>
          </w:p>
        </w:tc>
        <w:tc>
          <w:tcPr>
            <w:tcW w:w="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interest expense</w:t>
            </w:r>
          </w:p>
        </w:tc>
        <w:tc>
          <w:tcPr>
            <w:tcW w:w="2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0" w:type="dxa"/>
            <w:vAlign w:val="bottom"/>
          </w:tcPr>
          <w:p>
            <w:pPr>
              <w:spacing w:after="0"/>
              <w:rPr>
                <w:sz w:val="14"/>
                <w:szCs w:val="14"/>
                <w:color w:val="auto"/>
              </w:rPr>
            </w:pPr>
          </w:p>
        </w:tc>
        <w:tc>
          <w:tcPr>
            <w:tcW w:w="90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79"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Loans and fees on loans: </w:t>
      </w:r>
      <w:r>
        <w:rPr>
          <w:rFonts w:ascii="Times New Roman" w:cs="Times New Roman" w:eastAsia="Times New Roman" w:hAnsi="Times New Roman"/>
          <w:sz w:val="14"/>
          <w:szCs w:val="14"/>
          <w:color w:val="auto"/>
        </w:rPr>
        <w:t>The $7.5 million increase in interest income on the Company’s loan portfolio was attributable to an increase in interest rates as well as the average outstanding accrual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portfolio of loans held for investment increasing to $987.5 million from $746.4 million for the three months ended March 31, 2024 and 2023, respectively. The increase in the average outstanding accrual loan portfolio resulted from the origination of new SBA 7(a) loans period over period.</w:t>
      </w:r>
    </w:p>
    <w:p>
      <w:pPr>
        <w:spacing w:after="0" w:line="134"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interest earning assets: </w:t>
      </w:r>
      <w:r>
        <w:rPr>
          <w:rFonts w:ascii="Times New Roman" w:cs="Times New Roman" w:eastAsia="Times New Roman" w:hAnsi="Times New Roman"/>
          <w:sz w:val="14"/>
          <w:szCs w:val="14"/>
          <w:color w:val="auto"/>
        </w:rPr>
        <w:t>The $0.6 million increase in interest income from other interest earnings assets was attributable to rising interest rates on cash and due from banks as well as interest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bearing deposits in banks, including Newtek Bank earning interest on Federal Reserve Bank cash deposits.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interest expense by facility for the three months ended March 31, 2024 and 2023:</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8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75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March 31, 2023</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53"/>
        </w:trPr>
        <w:tc>
          <w:tcPr>
            <w:tcW w:w="480" w:type="dxa"/>
            <w:vAlign w:val="bottom"/>
            <w:tcBorders>
              <w:bottom w:val="single" w:sz="8" w:color="CCEEFF"/>
            </w:tcBorders>
          </w:tcPr>
          <w:p>
            <w:pPr>
              <w:spacing w:after="0"/>
              <w:rPr>
                <w:sz w:val="13"/>
                <w:szCs w:val="13"/>
                <w:color w:val="auto"/>
              </w:rPr>
            </w:pPr>
          </w:p>
        </w:tc>
        <w:tc>
          <w:tcPr>
            <w:tcW w:w="596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280" w:type="dxa"/>
            <w:vAlign w:val="bottom"/>
            <w:shd w:val="clear" w:color="auto" w:fill="CCEEFF"/>
          </w:tcPr>
          <w:p>
            <w:pPr>
              <w:jc w:val="right"/>
              <w:ind w:right="11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5,576</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0" w:type="dxa"/>
            <w:vAlign w:val="bottom"/>
          </w:tcPr>
          <w:p>
            <w:pPr>
              <w:spacing w:after="0"/>
              <w:rPr>
                <w:sz w:val="1"/>
                <w:szCs w:val="1"/>
                <w:color w:val="auto"/>
              </w:rPr>
            </w:pPr>
          </w:p>
        </w:tc>
      </w:tr>
      <w:tr>
        <w:trPr>
          <w:trHeight w:val="202"/>
        </w:trPr>
        <w:tc>
          <w:tcPr>
            <w:tcW w:w="644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and securitizations:</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Notes payable - Securitization Trusts</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5,966</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0" w:type="dxa"/>
            <w:vAlign w:val="bottom"/>
          </w:tcPr>
          <w:p>
            <w:pPr>
              <w:spacing w:after="0"/>
              <w:rPr>
                <w:sz w:val="1"/>
                <w:szCs w:val="1"/>
                <w:color w:val="auto"/>
              </w:rPr>
            </w:pP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2024</w:t>
            </w: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2025</w:t>
            </w:r>
          </w:p>
        </w:tc>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2025</w:t>
            </w: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2026</w:t>
            </w:r>
          </w:p>
        </w:tc>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2028 Notes</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0" w:type="dxa"/>
            <w:vAlign w:val="bottom"/>
          </w:tcPr>
          <w:p>
            <w:pPr>
              <w:spacing w:after="0"/>
              <w:rPr>
                <w:sz w:val="1"/>
                <w:szCs w:val="1"/>
                <w:color w:val="auto"/>
              </w:rPr>
            </w:pPr>
          </w:p>
        </w:tc>
      </w:tr>
      <w:tr>
        <w:trPr>
          <w:trHeight w:val="171"/>
        </w:trPr>
        <w:tc>
          <w:tcPr>
            <w:tcW w:w="64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notes and securitizations</w:t>
            </w:r>
          </w:p>
        </w:tc>
        <w:tc>
          <w:tcPr>
            <w:tcW w:w="12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10,827</w:t>
            </w:r>
          </w:p>
        </w:tc>
        <w:tc>
          <w:tcPr>
            <w:tcW w:w="1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8,718</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0" w:type="dxa"/>
            <w:vAlign w:val="bottom"/>
          </w:tcPr>
          <w:p>
            <w:pPr>
              <w:spacing w:after="0"/>
              <w:rPr>
                <w:sz w:val="1"/>
                <w:szCs w:val="1"/>
                <w:color w:val="auto"/>
              </w:rPr>
            </w:pPr>
          </w:p>
        </w:tc>
      </w:tr>
      <w:tr>
        <w:trPr>
          <w:trHeight w:val="202"/>
        </w:trPr>
        <w:tc>
          <w:tcPr>
            <w:tcW w:w="6440" w:type="dxa"/>
            <w:vAlign w:val="bottom"/>
            <w:gridSpan w:val="2"/>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Bank and FHLB Borrowings:</w:t>
            </w: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Bank notes payable</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0" w:type="dxa"/>
            <w:vAlign w:val="bottom"/>
          </w:tcPr>
          <w:p>
            <w:pPr>
              <w:spacing w:after="0"/>
              <w:rPr>
                <w:sz w:val="1"/>
                <w:szCs w:val="1"/>
                <w:color w:val="auto"/>
              </w:rPr>
            </w:pPr>
          </w:p>
        </w:tc>
      </w:tr>
      <w:tr>
        <w:trPr>
          <w:trHeight w:val="180"/>
        </w:trPr>
        <w:tc>
          <w:tcPr>
            <w:tcW w:w="64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FHLB Advances</w:t>
            </w:r>
          </w:p>
        </w:tc>
        <w:tc>
          <w:tcPr>
            <w:tcW w:w="1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71"/>
        </w:trPr>
        <w:tc>
          <w:tcPr>
            <w:tcW w:w="6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bank and FHLB borrowings</w:t>
            </w:r>
          </w:p>
        </w:tc>
        <w:tc>
          <w:tcPr>
            <w:tcW w:w="1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0" w:type="dxa"/>
            <w:vAlign w:val="bottom"/>
          </w:tcPr>
          <w:p>
            <w:pPr>
              <w:spacing w:after="0"/>
              <w:rPr>
                <w:sz w:val="1"/>
                <w:szCs w:val="1"/>
                <w:color w:val="auto"/>
              </w:rPr>
            </w:pPr>
          </w:p>
        </w:tc>
      </w:tr>
      <w:tr>
        <w:trPr>
          <w:trHeight w:val="202"/>
        </w:trPr>
        <w:tc>
          <w:tcPr>
            <w:tcW w:w="6440" w:type="dxa"/>
            <w:vAlign w:val="bottom"/>
            <w:tcBorders>
              <w:bottom w:val="single" w:sz="8" w:color="CCEEFF"/>
            </w:tcBorders>
            <w:gridSpan w:val="2"/>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1280" w:type="dxa"/>
            <w:vAlign w:val="bottom"/>
            <w:tcBorders>
              <w:bottom w:val="single" w:sz="8" w:color="auto"/>
            </w:tcBorders>
            <w:shd w:val="clear" w:color="auto" w:fill="CCEEFF"/>
          </w:tcPr>
          <w:p>
            <w:pPr>
              <w:jc w:val="right"/>
              <w:ind w:right="11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18,161</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0" w:type="dxa"/>
            <w:vAlign w:val="bottom"/>
          </w:tcPr>
          <w:p>
            <w:pPr>
              <w:spacing w:after="0"/>
              <w:rPr>
                <w:sz w:val="1"/>
                <w:szCs w:val="1"/>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increase in interest expense period over period is primarily from additional interest expense on deposits of $4.1 million, The Company also completed a public offering in August 2023, resulting in an additional $0.9 million of interest relating to the 2028 Notes. The increase is partially offset by a $2.2 million reduction in interest on bank and FHLB borrowings.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Credit Losses</w:t>
      </w:r>
    </w:p>
    <w:p>
      <w:pPr>
        <w:spacing w:after="0" w:line="18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spacing w:after="0" w:line="124"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4"/>
          <w:szCs w:val="14"/>
          <w:color w:val="auto"/>
        </w:rPr>
        <w:t>For the three months ended March 31, 2024 and 2023, there was a provision for credit losses of $4.0 million and $1.3 million, respectively. The increase was due to an increase in loans held for investment at amortized cost, specifically SBA 7(a) loans, as well as a sequential build of the provision year over year as March 31, 2023 was the Company's first quarter as a financial holding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i w:val="1"/>
          <w:iCs w:val="1"/>
          <w:color w:val="auto"/>
        </w:rPr>
        <w:t>Net Interest Income and Margin</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Average Balances and Yields. </w:t>
      </w:r>
      <w:r>
        <w:rPr>
          <w:rFonts w:ascii="Times New Roman" w:cs="Times New Roman" w:eastAsia="Times New Roman" w:hAnsi="Times New Roman"/>
          <w:sz w:val="14"/>
          <w:szCs w:val="14"/>
          <w:color w:val="auto"/>
        </w:rPr>
        <w:t>The following table presents information regarding average balances for assets and liabilities, the total dollar amounts of interest income and dividends from average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249"/>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color w:val="auto"/>
              </w:rPr>
              <w:t>2023 (as restated)</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9"/>
              <w:spacing w:after="0" w:line="129" w:lineRule="exact"/>
              <w:rPr>
                <w:sz w:val="20"/>
                <w:szCs w:val="20"/>
                <w:color w:val="auto"/>
              </w:rPr>
            </w:pPr>
            <w:r>
              <w:rPr>
                <w:rFonts w:ascii="Times New Roman" w:cs="Times New Roman" w:eastAsia="Times New Roman" w:hAnsi="Times New Roman"/>
                <w:sz w:val="14"/>
                <w:szCs w:val="14"/>
                <w:color w:val="auto"/>
              </w:rPr>
              <w:t>Average Yield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29"/>
              <w:spacing w:after="0" w:line="129" w:lineRule="exact"/>
              <w:rPr>
                <w:sz w:val="20"/>
                <w:szCs w:val="20"/>
                <w:color w:val="auto"/>
              </w:rPr>
            </w:pPr>
            <w:r>
              <w:rPr>
                <w:rFonts w:ascii="Times New Roman" w:cs="Times New Roman" w:eastAsia="Times New Roman" w:hAnsi="Times New Roman"/>
                <w:sz w:val="14"/>
                <w:szCs w:val="14"/>
                <w:color w:val="auto"/>
              </w:rPr>
              <w:t>Average Yield /</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Balance</w:t>
            </w:r>
          </w:p>
        </w:tc>
        <w:tc>
          <w:tcPr>
            <w:tcW w:w="20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w:t>
            </w:r>
          </w:p>
        </w:tc>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Rate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Average Balance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Interest</w:t>
            </w:r>
          </w:p>
        </w:tc>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Rate</w:t>
            </w:r>
          </w:p>
        </w:tc>
        <w:tc>
          <w:tcPr>
            <w:tcW w:w="0" w:type="dxa"/>
            <w:vAlign w:val="bottom"/>
          </w:tcPr>
          <w:p>
            <w:pPr>
              <w:spacing w:after="0"/>
              <w:rPr>
                <w:sz w:val="1"/>
                <w:szCs w:val="1"/>
                <w:color w:val="auto"/>
              </w:rPr>
            </w:pPr>
          </w:p>
        </w:tc>
      </w:tr>
      <w:tr>
        <w:trPr>
          <w:trHeight w:val="161"/>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Interest-earning balances in other banks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128,117</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114,911</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3.42 %</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securities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38,883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154,983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5,027</w:t>
            </w:r>
          </w:p>
        </w:tc>
        <w:tc>
          <w:tcPr>
            <w:tcW w:w="8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91,697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2,907</w:t>
            </w:r>
          </w:p>
        </w:tc>
        <w:tc>
          <w:tcPr>
            <w:tcW w:w="100" w:type="dxa"/>
            <w:vAlign w:val="bottom"/>
          </w:tcPr>
          <w:p>
            <w:pPr>
              <w:spacing w:after="0"/>
              <w:rPr>
                <w:sz w:val="15"/>
                <w:szCs w:val="15"/>
                <w:color w:val="auto"/>
              </w:rPr>
            </w:pP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12.86</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903,626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19,958</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701,766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14,595</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8.43</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1,225,609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27,067</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929,248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18,715</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Allowance for credit losses on loans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Noninterest earning assets</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188,558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187,891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1,401,554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1,115,047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Demand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18,730</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0.62 %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24,267</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Savings, Super NOW</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251,766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177,985</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4.94</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113,756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171"/>
        </w:trPr>
        <w:tc>
          <w:tcPr>
            <w:tcW w:w="4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deposits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465,349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w:t>
            </w:r>
          </w:p>
        </w:tc>
        <w:tc>
          <w:tcPr>
            <w:tcW w:w="8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167,302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0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636,523</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12,585</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672,156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12,657</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1,101,872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18,161</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6.63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839,458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14,132</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61,649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237,831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207,101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1,401,554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1,115,047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interest income and interest rate spread</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8,906</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2.25 %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4,583</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Net interest margin</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2.92 %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2.00 %</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28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color w:val="auto"/>
              </w:rPr>
              <w:t>Ratio of average interest-earning assets to average interest bearing</w:t>
            </w: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111.23 %</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110.70 %</w:t>
            </w:r>
          </w:p>
        </w:tc>
        <w:tc>
          <w:tcPr>
            <w:tcW w:w="0" w:type="dxa"/>
            <w:vAlign w:val="bottom"/>
          </w:tcPr>
          <w:p>
            <w:pPr>
              <w:spacing w:after="0"/>
              <w:rPr>
                <w:sz w:val="1"/>
                <w:szCs w:val="1"/>
                <w:color w:val="auto"/>
              </w:rPr>
            </w:pPr>
          </w:p>
        </w:tc>
      </w:tr>
      <w:tr>
        <w:trPr>
          <w:trHeight w:val="19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i w:val="1"/>
          <w:iCs w:val="1"/>
          <w:color w:val="auto"/>
        </w:rPr>
        <w:t>Rate/Volume Analysis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left="9"/>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509"/>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8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2024 vs. 2023</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2023 vs. 2022</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ind w:left="9"/>
              <w:spacing w:after="0"/>
              <w:rPr>
                <w:sz w:val="20"/>
                <w:szCs w:val="20"/>
                <w:color w:val="auto"/>
              </w:rPr>
            </w:pPr>
            <w:r>
              <w:rPr>
                <w:rFonts w:ascii="Times New Roman" w:cs="Times New Roman" w:eastAsia="Times New Roman" w:hAnsi="Times New Roman"/>
                <w:sz w:val="14"/>
                <w:szCs w:val="14"/>
                <w:color w:val="auto"/>
              </w:rPr>
              <w:t>Increase (Decrease) Due to</w:t>
            </w: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center"/>
              <w:ind w:left="509"/>
              <w:spacing w:after="0"/>
              <w:rPr>
                <w:sz w:val="20"/>
                <w:szCs w:val="20"/>
                <w:color w:val="auto"/>
              </w:rPr>
            </w:pPr>
            <w:r>
              <w:rPr>
                <w:rFonts w:ascii="Times New Roman" w:cs="Times New Roman" w:eastAsia="Times New Roman" w:hAnsi="Times New Roman"/>
                <w:sz w:val="14"/>
                <w:szCs w:val="14"/>
                <w:color w:val="auto"/>
              </w:rPr>
              <w:t>Increase (Decrease) Due to</w:t>
            </w:r>
          </w:p>
        </w:tc>
        <w:tc>
          <w:tcPr>
            <w:tcW w:w="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Rate</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2"/>
              </w:rPr>
              <w:t>Volume</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Rate</w:t>
            </w: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240"/>
              <w:spacing w:after="0" w:line="171" w:lineRule="exact"/>
              <w:rPr>
                <w:sz w:val="20"/>
                <w:szCs w:val="20"/>
                <w:color w:val="auto"/>
              </w:rPr>
            </w:pPr>
            <w:r>
              <w:rPr>
                <w:rFonts w:ascii="Times New Roman" w:cs="Times New Roman" w:eastAsia="Times New Roman" w:hAnsi="Times New Roman"/>
                <w:sz w:val="14"/>
                <w:szCs w:val="14"/>
                <w:color w:val="auto"/>
                <w:w w:val="93"/>
              </w:rPr>
              <w:t>Volume</w:t>
            </w:r>
            <w:r>
              <w:rPr>
                <w:rFonts w:ascii="Times New Roman" w:cs="Times New Roman" w:eastAsia="Times New Roman" w:hAnsi="Times New Roman"/>
                <w:sz w:val="18"/>
                <w:szCs w:val="18"/>
                <w:color w:val="auto"/>
                <w:w w:val="93"/>
                <w:vertAlign w:val="superscript"/>
              </w:rPr>
              <w:t>1</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Total</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Interest-earning balances in other banks</w:t>
            </w:r>
          </w:p>
        </w:tc>
        <w:tc>
          <w:tcPr>
            <w:tcW w:w="7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10,972</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w:t>
            </w: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Super NOW</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w:t>
            </w: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8,629</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7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4,048</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5,308</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(3,801)</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5"/>
                <w:szCs w:val="5"/>
                <w:color w:val="auto"/>
                <w:w w:val="78"/>
              </w:rPr>
              <w:t>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Includes income and expense associated with the Acquisition of NBNYC on January 6, 2023, and the associated withdrawal of the election to be treated as a BDC.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4580" w:type="dxa"/>
            <w:vAlign w:val="bottom"/>
          </w:tcPr>
          <w:p>
            <w:pPr>
              <w:spacing w:after="0"/>
              <w:rPr>
                <w:sz w:val="24"/>
                <w:szCs w:val="24"/>
                <w:color w:val="auto"/>
              </w:rPr>
            </w:pPr>
          </w:p>
        </w:tc>
        <w:tc>
          <w:tcPr>
            <w:tcW w:w="3040" w:type="dxa"/>
            <w:vAlign w:val="bottom"/>
            <w:tcBorders>
              <w:bottom w:val="single" w:sz="8" w:color="auto"/>
            </w:tcBorders>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2024/2023 Increase/(Decrease)</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11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ind w:right="169"/>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4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1120" w:type="dxa"/>
            <w:vAlign w:val="bottom"/>
            <w:tcBorders>
              <w:top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servicing asset revaluation</w:t>
            </w: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80" w:type="dxa"/>
            <w:vAlign w:val="bottom"/>
          </w:tcPr>
          <w:p>
            <w:pPr>
              <w:spacing w:after="0"/>
              <w:rPr>
                <w:sz w:val="15"/>
                <w:szCs w:val="15"/>
                <w:color w:val="auto"/>
              </w:rPr>
            </w:pPr>
          </w:p>
        </w:tc>
        <w:tc>
          <w:tcPr>
            <w:tcW w:w="1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(288.8)</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income</w:t>
            </w: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5,357</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20,292</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80" w:type="dxa"/>
            <w:vAlign w:val="bottom"/>
          </w:tcPr>
          <w:p>
            <w:pPr>
              <w:spacing w:after="0"/>
              <w:rPr>
                <w:sz w:val="15"/>
                <w:szCs w:val="15"/>
                <w:color w:val="auto"/>
              </w:rPr>
            </w:pPr>
          </w:p>
        </w:tc>
        <w:tc>
          <w:tcPr>
            <w:tcW w:w="1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218.7</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 on loans under the fair value option</w:t>
            </w: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IT support income</w:t>
            </w: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5,770</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80" w:type="dxa"/>
            <w:vAlign w:val="bottom"/>
          </w:tcPr>
          <w:p>
            <w:pPr>
              <w:spacing w:after="0"/>
              <w:rPr>
                <w:sz w:val="15"/>
                <w:szCs w:val="15"/>
                <w:color w:val="auto"/>
              </w:rPr>
            </w:pPr>
          </w:p>
        </w:tc>
        <w:tc>
          <w:tcPr>
            <w:tcW w:w="1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income</w:t>
            </w: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10,987</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noninterest income</w:t>
            </w: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5,512</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49,367</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7,011</w:t>
            </w:r>
          </w:p>
        </w:tc>
        <w:tc>
          <w:tcPr>
            <w:tcW w:w="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months ended March 31, 2024 and 2023, dividend income was dependent on the earnings of our joint ventures.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i w:val="1"/>
          <w:iCs w:val="1"/>
          <w:color w:val="auto"/>
        </w:rPr>
        <w:t>Loan Servicing Asset Revaluation</w:t>
      </w:r>
    </w:p>
    <w:p>
      <w:pPr>
        <w:spacing w:after="0" w:line="17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The Company accounts for servicing assets in accordance with ASC Topic 860-50 - Transfers and Servicing - Servicing Assets and Liabilities. The Company earns servicing fees from the guaranteed portions of SBA 7(a) loans it originates and sells.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decrease in loan servicing asset revaluation is due to the decrease in NSBF”s total portfolio of investments during the wind-down.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Servicing Income, Net of Amortization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servicing income was related to an increase of $210.9 million in the average total loan portfolio for which we earn servicing income period over period.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Gains on Sales of Loans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gains on sales of loans for the years ended three months ended March 31, 2024 and 2023 were $20.3 million and $6.4 million, respectively.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 w:type="dxa"/>
            <w:vAlign w:val="bottom"/>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gridSpan w:val="5"/>
            <w:shd w:val="clear" w:color="auto" w:fill="CCEEFF"/>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jc w:val="center"/>
              <w:ind w:right="1"/>
              <w:spacing w:after="0" w:line="97" w:lineRule="exact"/>
              <w:rPr>
                <w:sz w:val="20"/>
                <w:szCs w:val="20"/>
                <w:color w:val="auto"/>
              </w:rPr>
            </w:pPr>
            <w:r>
              <w:rPr>
                <w:rFonts w:ascii="Times New Roman" w:cs="Times New Roman" w:eastAsia="Times New Roman" w:hAnsi="Times New Roman"/>
                <w:sz w:val="11"/>
                <w:szCs w:val="11"/>
                <w:b w:val="1"/>
                <w:bCs w:val="1"/>
                <w:color w:val="auto"/>
              </w:rPr>
              <w:t>March 31, 2023</w:t>
            </w: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57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 Amount</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Realized gains recognized on sale of SBA loans</w:t>
            </w: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20,777</w:t>
            </w:r>
          </w:p>
        </w:tc>
        <w:tc>
          <w:tcPr>
            <w:tcW w:w="100" w:type="dxa"/>
            <w:vAlign w:val="bottom"/>
          </w:tcPr>
          <w:p>
            <w:pPr>
              <w:spacing w:after="0"/>
              <w:rPr>
                <w:sz w:val="15"/>
                <w:szCs w:val="15"/>
                <w:color w:val="auto"/>
              </w:rPr>
            </w:pPr>
          </w:p>
        </w:tc>
        <w:tc>
          <w:tcPr>
            <w:tcW w:w="620" w:type="dxa"/>
            <w:vAlign w:val="bottom"/>
          </w:tcPr>
          <w:p>
            <w:pPr>
              <w:jc w:val="right"/>
              <w:ind w:right="474"/>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13,882</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losses recognized on sale of SBA loans</w:t>
            </w:r>
          </w:p>
        </w:tc>
        <w:tc>
          <w:tcPr>
            <w:tcW w:w="5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(7,515)</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20,292</w:t>
            </w:r>
          </w:p>
        </w:tc>
        <w:tc>
          <w:tcPr>
            <w:tcW w:w="100" w:type="dxa"/>
            <w:vAlign w:val="bottom"/>
          </w:tcPr>
          <w:p>
            <w:pPr>
              <w:spacing w:after="0"/>
              <w:rPr>
                <w:sz w:val="15"/>
                <w:szCs w:val="15"/>
                <w:color w:val="auto"/>
              </w:rPr>
            </w:pPr>
          </w:p>
        </w:tc>
        <w:tc>
          <w:tcPr>
            <w:tcW w:w="620" w:type="dxa"/>
            <w:vAlign w:val="bottom"/>
          </w:tcPr>
          <w:p>
            <w:pPr>
              <w:jc w:val="right"/>
              <w:ind w:right="474"/>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6,367</w:t>
            </w:r>
          </w:p>
        </w:tc>
        <w:tc>
          <w:tcPr>
            <w:tcW w:w="0" w:type="dxa"/>
            <w:vAlign w:val="bottom"/>
          </w:tcPr>
          <w:p>
            <w:pPr>
              <w:spacing w:after="0"/>
              <w:rPr>
                <w:sz w:val="1"/>
                <w:szCs w:val="1"/>
                <w:color w:val="auto"/>
              </w:rPr>
            </w:pPr>
          </w:p>
        </w:tc>
      </w:tr>
      <w:tr>
        <w:trPr>
          <w:trHeight w:val="272"/>
        </w:trPr>
        <w:tc>
          <w:tcPr>
            <w:tcW w:w="6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60" w:type="dxa"/>
            <w:vAlign w:val="bottom"/>
            <w:shd w:val="clear" w:color="auto" w:fill="CCEEFF"/>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gridSpan w:val="5"/>
            <w:shd w:val="clear" w:color="auto" w:fill="CCEEFF"/>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gridSpan w:val="2"/>
          </w:tcPr>
          <w:p>
            <w:pPr>
              <w:jc w:val="center"/>
              <w:ind w:right="121"/>
              <w:spacing w:after="0" w:line="104" w:lineRule="exact"/>
              <w:rPr>
                <w:sz w:val="20"/>
                <w:szCs w:val="20"/>
                <w:color w:val="auto"/>
              </w:rPr>
            </w:pPr>
            <w:r>
              <w:rPr>
                <w:rFonts w:ascii="Times New Roman" w:cs="Times New Roman" w:eastAsia="Times New Roman" w:hAnsi="Times New Roman"/>
                <w:sz w:val="11"/>
                <w:szCs w:val="11"/>
                <w:b w:val="1"/>
                <w:bCs w:val="1"/>
                <w:color w:val="auto"/>
              </w:rPr>
              <w:t>March 31, 2023</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0" w:type="dxa"/>
            <w:vAlign w:val="bottom"/>
            <w:tcBorders>
              <w:bottom w:val="single" w:sz="8" w:color="CCEEFF"/>
            </w:tcBorders>
          </w:tcPr>
          <w:p>
            <w:pPr>
              <w:spacing w:after="0"/>
              <w:rPr>
                <w:sz w:val="13"/>
                <w:szCs w:val="13"/>
                <w:color w:val="auto"/>
              </w:rPr>
            </w:pPr>
          </w:p>
        </w:tc>
        <w:tc>
          <w:tcPr>
            <w:tcW w:w="57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121"/>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0" w:type="dxa"/>
            <w:vAlign w:val="bottom"/>
            <w:shd w:val="clear" w:color="auto" w:fill="CCEEFF"/>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 of Loans</w:t>
            </w: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of Loans</w:t>
            </w:r>
          </w:p>
        </w:tc>
        <w:tc>
          <w:tcPr>
            <w:tcW w:w="26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SBA loans originated</w:t>
            </w:r>
          </w:p>
        </w:tc>
        <w:tc>
          <w:tcPr>
            <w:tcW w:w="5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0" w:type="dxa"/>
            <w:vAlign w:val="bottom"/>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211,504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820" w:type="dxa"/>
            <w:vAlign w:val="bottom"/>
          </w:tcPr>
          <w:p>
            <w:pPr>
              <w:jc w:val="center"/>
              <w:ind w:right="38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147,911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guaranteed loans sold</w:t>
            </w: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156,417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109,551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Average sale price as a percent of principal balance</w:t>
            </w:r>
            <w:r>
              <w:rPr>
                <w:rFonts w:ascii="Times New Roman" w:cs="Times New Roman" w:eastAsia="Times New Roman" w:hAnsi="Times New Roman"/>
                <w:sz w:val="18"/>
                <w:szCs w:val="18"/>
                <w:color w:val="auto"/>
                <w:vertAlign w:val="superscript"/>
              </w:rPr>
              <w:t>1</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111.23 %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111.83 %</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80" w:hanging="75"/>
        <w:spacing w:after="0" w:line="206" w:lineRule="auto"/>
        <w:tabs>
          <w:tab w:leader="none" w:pos="8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Realized gains greater than 110.00% must be split 50/50 with the SBA in accordance with SBA regulations. The realized gains recognized above reflect amounts net of split with the SBA.</w:t>
      </w:r>
    </w:p>
    <w:p>
      <w:pPr>
        <w:spacing w:after="0" w:line="17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For the three months ended March 31, 2024, the average sale price as a percent of principal balance was 111.23% compared to 111.83% for the prior period. The decrease in sales prices in 2024 resulted from more loan originations than anticipated coupled with higher demand, leading to the Company selling more loans than anticipated while forward rates increased. The increase in overall net gains on sales of loans resulted from higher volumes of sales compared to the prior year.</w:t>
      </w:r>
    </w:p>
    <w:p>
      <w:pPr>
        <w:spacing w:after="0" w:line="14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4"/>
          <w:szCs w:val="14"/>
          <w:color w:val="auto"/>
        </w:rPr>
        <w:t>During the wind-down of NSBF’s operations, NSBF will be required to continue to own its SBA 7(a) loans and PPP Loans in its SBA loan portfolio to maturity, liquidation, charge-off, or (subject to SBA’s prior written approval) sale or transfer. In addition, NSBF will be required to continue to service and liquidate its SBA Loan Portfolio, including processing forgiveness and loan reviews for</w:t>
      </w:r>
    </w:p>
    <w:p>
      <w:pPr>
        <w:ind w:right="320" w:firstLine="5"/>
        <w:spacing w:after="0" w:line="247" w:lineRule="auto"/>
        <w:tabs>
          <w:tab w:leader="none" w:pos="27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pursuant to an SBA approved lender service provider agreement with SBL. The Company will continue to measure NSBF’s SBA 7(a) loan portfolio at fair value until the portfolio is completely runoff. The Company will report both realized and unrealized gains and losses relating to the fair value adjustments on the legacy NSBF SBA 7(a) portfolio.</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 (Loss) on Loans Accounted for under the Fair Value Option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gains (losses) on loans accounted for under the fair value option amounted to $2.8 million and $5.9 million for the three months ended March 31, 2024 and 2023, respectively.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0" w:type="dxa"/>
            <w:vAlign w:val="bottom"/>
            <w:shd w:val="clear" w:color="auto" w:fill="CCEEFF"/>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3980" w:type="dxa"/>
            <w:vAlign w:val="bottom"/>
            <w:tcBorders>
              <w:bottom w:val="single" w:sz="8" w:color="auto"/>
            </w:tcBorders>
            <w:gridSpan w:val="4"/>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29"/>
        </w:trPr>
        <w:tc>
          <w:tcPr>
            <w:tcW w:w="58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jc w:val="right"/>
              <w:ind w:right="29"/>
              <w:spacing w:after="0" w:line="129" w:lineRule="exact"/>
              <w:rPr>
                <w:sz w:val="20"/>
                <w:szCs w:val="20"/>
                <w:color w:val="auto"/>
              </w:rPr>
            </w:pPr>
            <w:r>
              <w:rPr>
                <w:rFonts w:ascii="Times New Roman" w:cs="Times New Roman" w:eastAsia="Times New Roman" w:hAnsi="Times New Roman"/>
                <w:sz w:val="14"/>
                <w:szCs w:val="14"/>
                <w:color w:val="auto"/>
              </w:rPr>
              <w:t>March 31, 2023</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91"/>
        </w:trPr>
        <w:tc>
          <w:tcPr>
            <w:tcW w:w="58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March 31, 2024</w:t>
            </w:r>
          </w:p>
        </w:tc>
        <w:tc>
          <w:tcPr>
            <w:tcW w:w="52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(as restated)</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Change</w:t>
            </w:r>
          </w:p>
        </w:tc>
      </w:tr>
      <w:tr>
        <w:trPr>
          <w:trHeight w:val="171"/>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Unguaranteed Loans</w:t>
            </w:r>
          </w:p>
        </w:tc>
        <w:tc>
          <w:tcPr>
            <w:tcW w:w="1600" w:type="dxa"/>
            <w:vAlign w:val="bottom"/>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(7,967)</w:t>
            </w:r>
          </w:p>
        </w:tc>
      </w:tr>
      <w:tr>
        <w:trPr>
          <w:trHeight w:val="180"/>
        </w:trPr>
        <w:tc>
          <w:tcPr>
            <w:tcW w:w="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Loans</w:t>
            </w:r>
          </w:p>
        </w:tc>
        <w:tc>
          <w:tcPr>
            <w:tcW w:w="16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18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 and Non-SBA Loans</w:t>
            </w:r>
          </w:p>
        </w:tc>
        <w:tc>
          <w:tcPr>
            <w:tcW w:w="16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4,676</w:t>
            </w:r>
          </w:p>
        </w:tc>
        <w:tc>
          <w:tcPr>
            <w:tcW w:w="240" w:type="dxa"/>
            <w:vAlign w:val="bottom"/>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5,104</w:t>
            </w:r>
          </w:p>
        </w:tc>
      </w:tr>
      <w:tr>
        <w:trPr>
          <w:trHeight w:val="171"/>
        </w:trPr>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w:t>
            </w:r>
          </w:p>
        </w:tc>
        <w:tc>
          <w:tcPr>
            <w:tcW w:w="1600" w:type="dxa"/>
            <w:vAlign w:val="bottom"/>
            <w:tcBorders>
              <w:bottom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240" w:type="dxa"/>
            <w:vAlign w:val="bottom"/>
          </w:tcPr>
          <w:p>
            <w:pPr>
              <w:spacing w:after="0"/>
              <w:rPr>
                <w:sz w:val="14"/>
                <w:szCs w:val="14"/>
                <w:color w:val="auto"/>
              </w:rPr>
            </w:pPr>
          </w:p>
        </w:tc>
        <w:tc>
          <w:tcPr>
            <w:tcW w:w="162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5,905</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(3,107)</w:t>
            </w: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 relates to the guaranteed portions of SBA loans made which the Company sells into a secondary market, the unguaranteed portions</w:t>
      </w:r>
    </w:p>
    <w:p>
      <w:pPr>
        <w:spacing w:after="0" w:line="2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4"/>
          <w:szCs w:val="14"/>
          <w:color w:val="auto"/>
        </w:rPr>
        <w:t>of SBA loans made which the Company holds, SBA 504 loans that are held for sale, and ALP loans that are held for sale. This unrealized gain (loss) represents the fair value adjustment of loans</w:t>
      </w:r>
      <w:r>
        <w:rPr>
          <w:rFonts w:ascii="Arial" w:cs="Arial" w:eastAsia="Arial" w:hAnsi="Arial"/>
          <w:sz w:val="15"/>
          <w:szCs w:val="15"/>
          <w:color w:val="auto"/>
        </w:rPr>
        <w:t>.</w:t>
      </w:r>
      <w:r>
        <w:rPr>
          <w:rFonts w:ascii="Times New Roman" w:cs="Times New Roman" w:eastAsia="Times New Roman" w:hAnsi="Times New Roman"/>
          <w:sz w:val="14"/>
          <w:szCs w:val="14"/>
          <w:color w:val="auto"/>
        </w:rPr>
        <w:t xml:space="preserve"> The amount of the unrealized appreciation (depreciation) is determined by the quantity of guaranteed loans held for sale at quarter end, the change in secondary market pricing conditions, and the valuation of the loans that are not held for sale. During the three months ended March 31, 2024, there was an increase in the gain-on-sale pricing as compared to the prior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and IT Support Income</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Technology and IT support income decreased by $0.9 million from $6.7 million for the three months ended March 31, 2023 to $5.8 million for the three months ended March 31, 2024. The overall decrease was due to a decrease in procurement and professional services revenue, offset by an increase in managed technology services revenue.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Noninterest Income</w:t>
      </w:r>
    </w:p>
    <w:p>
      <w:pPr>
        <w:spacing w:after="0" w:line="20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For the three months ended March 31, 2024 and 2023, other income related primarily to legal, packaging, prepayment, and late fees earned from SBA 7(a) loans. The decrease was related to an unrealized gain in the first quarter of 2023 on joint ventures of $2.0 million, offset by an increase in legal, prepayment and packaging fees earned as a result of the higher volume of SBA 7(a) loans originated of 489 loans compared to 321 loans for the three months ended March 31, 2024 and 2023, respectively.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3680" w:type="dxa"/>
            <w:vAlign w:val="bottom"/>
          </w:tcPr>
          <w:p>
            <w:pPr>
              <w:spacing w:after="0"/>
              <w:rPr>
                <w:sz w:val="24"/>
                <w:szCs w:val="24"/>
                <w:color w:val="auto"/>
              </w:rPr>
            </w:pPr>
          </w:p>
        </w:tc>
        <w:tc>
          <w:tcPr>
            <w:tcW w:w="322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3"/>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2024/2023 Increase/(Decrease)</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2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ind w:right="209"/>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Amount</w:t>
            </w:r>
          </w:p>
        </w:tc>
        <w:tc>
          <w:tcPr>
            <w:tcW w:w="19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7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1200" w:type="dxa"/>
            <w:vAlign w:val="bottom"/>
            <w:tcBorders>
              <w:top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20,506</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19,073</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8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services expense</w:t>
            </w:r>
          </w:p>
        </w:tc>
        <w:tc>
          <w:tcPr>
            <w:tcW w:w="1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5"/>
                <w:szCs w:val="15"/>
                <w:color w:val="auto"/>
              </w:rPr>
            </w:pPr>
          </w:p>
        </w:tc>
        <w:tc>
          <w:tcPr>
            <w:tcW w:w="1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1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1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80" w:type="dxa"/>
            <w:vAlign w:val="bottom"/>
          </w:tcPr>
          <w:p>
            <w:pPr>
              <w:spacing w:after="0"/>
              <w:rPr>
                <w:sz w:val="15"/>
                <w:szCs w:val="15"/>
                <w:color w:val="auto"/>
              </w:rPr>
            </w:pPr>
          </w:p>
        </w:tc>
        <w:tc>
          <w:tcPr>
            <w:tcW w:w="1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loan origination and maintenance expense</w:t>
            </w:r>
          </w:p>
        </w:tc>
        <w:tc>
          <w:tcPr>
            <w:tcW w:w="1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5"/>
                <w:szCs w:val="15"/>
                <w:color w:val="auto"/>
              </w:rPr>
            </w:pPr>
          </w:p>
        </w:tc>
        <w:tc>
          <w:tcPr>
            <w:tcW w:w="1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1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5,058</w:t>
            </w:r>
          </w:p>
        </w:tc>
        <w:tc>
          <w:tcPr>
            <w:tcW w:w="8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7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expense</w:t>
            </w:r>
          </w:p>
        </w:tc>
        <w:tc>
          <w:tcPr>
            <w:tcW w:w="120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41,159</w:t>
            </w:r>
          </w:p>
        </w:tc>
        <w:tc>
          <w:tcPr>
            <w:tcW w:w="80" w:type="dxa"/>
            <w:vAlign w:val="bottom"/>
          </w:tcPr>
          <w:p>
            <w:pPr>
              <w:spacing w:after="0"/>
              <w:rPr>
                <w:sz w:val="14"/>
                <w:szCs w:val="14"/>
                <w:color w:val="auto"/>
              </w:rPr>
            </w:pPr>
          </w:p>
        </w:tc>
        <w:tc>
          <w:tcPr>
            <w:tcW w:w="132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39,023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80" w:type="dxa"/>
            <w:vAlign w:val="bottom"/>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Salaries and Benefits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salaries and benefits was primarily attributable to an increase in entity headcount from 530 employees at March 31, 2023 to 559 employees at March 31,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i w:val="1"/>
          <w:iCs w:val="1"/>
          <w:color w:val="auto"/>
        </w:rPr>
        <w:t>Professional Fees</w:t>
      </w:r>
    </w:p>
    <w:p>
      <w:pPr>
        <w:spacing w:after="0" w:line="20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increase in professional fees period over period is primarily attributable to additional audit fees related to the Company’s first audit reporting as a financial holding company after the Acquisition of NBNYC.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Loan Origination and Maintenance Expense</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Origination and loan processing expenses during the three months ended March 31, 2024, was $2.2 million compared to $2.8 million for the three months ended March 31, 2023. During the first quarter of 2024, the majority of loans were funded by Newtek Bank, which accounts for loans at amortized cost, net of deferred fees and costs, resulting in a portion of the loan origination fees being deferred and amortized over the life of the loan, compared to the first quarter of 2023, when most loans were funded by NSBF, which accounts for loans at fair value and expenses all origination fees at the time they are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Segment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four reportable segments Banking, Technology, NSBF, and Payments. A description of each segment and the methodologies used to measure financial performance is described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19—SEGMENTS in the accompanying Notes to the Consolidated Financial Statements. Net income (loss) by operating segment is presented below:</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3640" w:type="dxa"/>
            <w:vAlign w:val="bottom"/>
            <w:tcBorders>
              <w:bottom w:val="single" w:sz="8" w:color="auto"/>
            </w:tcBorders>
            <w:gridSpan w:val="4"/>
          </w:tcPr>
          <w:p>
            <w:pPr>
              <w:jc w:val="right"/>
              <w:ind w:right="729"/>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3"/>
          </w:tcPr>
          <w:p>
            <w:pPr>
              <w:jc w:val="right"/>
              <w:ind w:right="1209"/>
              <w:spacing w:after="0"/>
              <w:rPr>
                <w:sz w:val="20"/>
                <w:szCs w:val="20"/>
                <w:color w:val="auto"/>
              </w:rPr>
            </w:pPr>
            <w:r>
              <w:rPr>
                <w:rFonts w:ascii="Times New Roman" w:cs="Times New Roman" w:eastAsia="Times New Roman" w:hAnsi="Times New Roman"/>
                <w:sz w:val="14"/>
                <w:szCs w:val="14"/>
                <w:color w:val="auto"/>
              </w:rPr>
              <w:t>2024/2023 Increase/(Decrease)</w:t>
            </w:r>
          </w:p>
        </w:tc>
      </w:tr>
      <w:tr>
        <w:trPr>
          <w:trHeight w:val="129"/>
        </w:trPr>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March 31, 2023</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191"/>
        </w:trPr>
        <w:tc>
          <w:tcPr>
            <w:tcW w:w="26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 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(as restated)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Amount</w:t>
            </w:r>
          </w:p>
        </w:tc>
        <w:tc>
          <w:tcPr>
            <w:tcW w:w="21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Percent</w:t>
            </w:r>
          </w:p>
        </w:tc>
      </w:tr>
      <w:tr>
        <w:trPr>
          <w:trHeight w:val="17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Banking</w:t>
            </w:r>
          </w:p>
        </w:tc>
        <w:tc>
          <w:tcPr>
            <w:tcW w:w="1520" w:type="dxa"/>
            <w:vAlign w:val="bottom"/>
            <w:tcBorders>
              <w:top w:val="single" w:sz="8" w:color="auto"/>
            </w:tcBorders>
            <w:shd w:val="clear" w:color="auto" w:fill="CCEEFF"/>
          </w:tcPr>
          <w:p>
            <w:pPr>
              <w:jc w:val="right"/>
              <w:ind w:right="139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9,401</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11,319</w:t>
            </w:r>
          </w:p>
        </w:tc>
        <w:tc>
          <w:tcPr>
            <w:tcW w:w="8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r>
      <w:tr>
        <w:trPr>
          <w:trHeight w:val="18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Technology</w:t>
            </w:r>
          </w:p>
        </w:tc>
        <w:tc>
          <w:tcPr>
            <w:tcW w:w="15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8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NSBF</w:t>
            </w:r>
          </w:p>
        </w:tc>
        <w:tc>
          <w:tcPr>
            <w:tcW w:w="15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(14,467)</w:t>
            </w: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8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Payments</w:t>
            </w:r>
          </w:p>
        </w:tc>
        <w:tc>
          <w:tcPr>
            <w:tcW w:w="15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8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8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5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10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(6,328)</w:t>
            </w:r>
          </w:p>
        </w:tc>
        <w:tc>
          <w:tcPr>
            <w:tcW w:w="80" w:type="dxa"/>
            <w:vAlign w:val="bottom"/>
            <w:shd w:val="clear" w:color="auto" w:fill="CCEEFF"/>
          </w:tcPr>
          <w:p>
            <w:pPr>
              <w:spacing w:after="0"/>
              <w:rPr>
                <w:sz w:val="15"/>
                <w:szCs w:val="15"/>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171"/>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net income</w:t>
            </w:r>
          </w:p>
        </w:tc>
        <w:tc>
          <w:tcPr>
            <w:tcW w:w="1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18,550</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(8,900)</w:t>
            </w:r>
          </w:p>
        </w:tc>
        <w:tc>
          <w:tcPr>
            <w:tcW w:w="80" w:type="dxa"/>
            <w:vAlign w:val="bottom"/>
          </w:tcPr>
          <w:p>
            <w:pPr>
              <w:spacing w:after="0"/>
              <w:rPr>
                <w:sz w:val="14"/>
                <w:szCs w:val="14"/>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
        </w:trPr>
        <w:tc>
          <w:tcPr>
            <w:tcW w:w="26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u w:val="single" w:color="auto"/>
          <w:color w:val="auto"/>
        </w:rPr>
        <w:t>Banking</w:t>
      </w:r>
      <w:r>
        <w:rPr>
          <w:rFonts w:ascii="Times New Roman" w:cs="Times New Roman" w:eastAsia="Times New Roman" w:hAnsi="Times New Roman"/>
          <w:sz w:val="14"/>
          <w:szCs w:val="14"/>
          <w:color w:val="auto"/>
        </w:rPr>
        <w:t xml:space="preserve"> - The banking segment includes Newtek Bank as well as its consolidated subsidiary SBL. The financial results include the origination, sale, and servicing of SBA 7(a) loans, 504 loans, C&amp;I loans, CRE loans and ABL loans. In addition, the bank offers depository services. The results include $7.7 million of net interest income during the three months ended March 31, 2024 compared to $2.1 million of net interest income during the three months ended March 31, 2023. During the first quarter of 2024, the majority of loans were funded by Newtek Bank compared to the first quarter of 2023, when most loans were funded by NSBF.</w:t>
      </w:r>
    </w:p>
    <w:p>
      <w:pPr>
        <w:spacing w:after="0" w:line="16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u w:val="single" w:color="auto"/>
          <w:color w:val="auto"/>
        </w:rPr>
        <w:t>Technology</w:t>
      </w:r>
      <w:r>
        <w:rPr>
          <w:rFonts w:ascii="Times New Roman" w:cs="Times New Roman" w:eastAsia="Times New Roman" w:hAnsi="Times New Roman"/>
          <w:sz w:val="14"/>
          <w:szCs w:val="14"/>
          <w:color w:val="auto"/>
        </w:rPr>
        <w:t xml:space="preserve"> - Technology (NTS) provides website hosting, dedicated server hosting, cloud hosting, web design and development, internet marketing, e-commerce, data storage, backup and disaster recovery, and other related services including consulting and implementing technology solutions for enterprise and commercial clients across the U.S. As a result of commitments made to the Federal Reserve, the Company will divest or otherwise terminate the activities conducted by NTS within two years of becoming a financial holding company (i.e., by January 6, 2025), subject to any extension of the two-year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NSBF</w:t>
      </w:r>
      <w:r>
        <w:rPr>
          <w:rFonts w:ascii="Times New Roman" w:cs="Times New Roman" w:eastAsia="Times New Roman" w:hAnsi="Times New Roman"/>
          <w:sz w:val="14"/>
          <w:szCs w:val="14"/>
          <w:color w:val="auto"/>
        </w:rPr>
        <w:t xml:space="preserve"> - Relates to NSBF’s legacy portfolio of SBA 7(a) loans held outside Newtek Bank. The decrease in net income (loss) is due to the wind-down of NSBF’s operations.</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xml:space="preserve"> - Payments includes NMS, POS and Mobil Money. Within the segment’s results are $11.7 million of noninterest income for the three months ended March 31, 2024 resulting from marketing credit and debit card processing services, check approval services, processing equipment, and software compared to $11.1 million during the three months ended March 31, 2023. The net income also included $8.1 million and $7.9 million of noninterest expense for the three months ended March 31, 2024 and 2023, respectively.</w:t>
      </w:r>
    </w:p>
    <w:p>
      <w:pPr>
        <w:spacing w:after="0" w:line="157"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4"/>
          <w:szCs w:val="14"/>
          <w:u w:val="single" w:color="auto"/>
          <w:color w:val="auto"/>
        </w:rPr>
        <w:t>Corporate and Other</w:t>
      </w:r>
      <w:r>
        <w:rPr>
          <w:rFonts w:ascii="Times New Roman" w:cs="Times New Roman" w:eastAsia="Times New Roman" w:hAnsi="Times New Roman"/>
          <w:sz w:val="14"/>
          <w:szCs w:val="14"/>
          <w:color w:val="auto"/>
        </w:rPr>
        <w:t xml:space="preserve"> - Represents operations not considered to be reportable segments and/or general operating expenses of the Company, and includes the parent company, other non-bank subsidiaries including NIA, PMT, non-bank lending, including Holdco 6 and our joint ventures, and elimination adjustments to reconcile the results of the operating segments to the consolidated financial statements prepared in conformity with GAAP.</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9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4"/>
          <w:szCs w:val="14"/>
          <w:color w:val="auto"/>
        </w:rPr>
        <w:t>Our liquidity and capital resources are derived from our Notes payable - related parties, 2024 Notes, 2025 5.00% Notes, 2025 8.125% Notes, 2026 Notes, 2028 Notes, securitization transactions and cash flows from operations, including investment sales and repayments, and income earned. In the three months ended March 31, 2024, our primary use of funds from operations included originations of loans and payments of fees and other operating expenses we incurred. We may raise additional equity or debt capital through both registered offerings off of a shelf registration, including “at-the-market”, or ATM, and private offerings of securities. On January 27, 2023, the Company submitted a Form S-3 with the SEC in order to commence the process of re-establishing an effective shelf registration statement. The registration statement on Form S-3 was declared effective by the SEC on July 27, 2023. On November 17, 2023, the Company entered into the 2023 ATM Equity Distribution Agreement. The 2023 ATM Equity Distribution Agreement provides that the Company may offer and sell up to 3,000,000 shares of Common Stock from time to time through the placement agents.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Capital</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Company strives to maintain prudent capital levels to absorb risk and maximizing returns to shareholders. The Company and Newtek Bank are primarily constrained by the Total Capital and Leverage ratios given the mix of assets vis a vie capital.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amounts and ratios for the Company as of March 31, 2024 are presented in the table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7"/>
                <w:szCs w:val="7"/>
                <w:b w:val="1"/>
                <w:bCs w:val="1"/>
                <w:color w:val="auto"/>
              </w:rPr>
              <w:t>1</w:t>
            </w: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99"/>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NewtekOne, Inc. - March 31, 2024</w:t>
            </w:r>
          </w:p>
        </w:tc>
        <w:tc>
          <w:tcPr>
            <w:tcW w:w="200" w:type="dxa"/>
            <w:vAlign w:val="bottom"/>
          </w:tcPr>
          <w:p>
            <w:pPr>
              <w:spacing w:after="0"/>
              <w:rPr>
                <w:sz w:val="17"/>
                <w:szCs w:val="17"/>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00" w:type="dxa"/>
            <w:vAlign w:val="bottom"/>
            <w:gridSpan w:val="3"/>
          </w:tcPr>
          <w:p>
            <w:pPr>
              <w:jc w:val="right"/>
              <w:ind w:right="649"/>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2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185,313</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54,100</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48,567</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185,313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64,755</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4"/>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218,574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86,341</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bl>
    <w:p>
      <w:pPr>
        <w:spacing w:after="0" w:line="33" w:lineRule="exact"/>
        <w:rPr>
          <w:sz w:val="20"/>
          <w:szCs w:val="20"/>
          <w:color w:val="auto"/>
        </w:rPr>
      </w:pPr>
    </w:p>
    <w:p>
      <w:pPr>
        <w:ind w:left="80" w:hanging="75"/>
        <w:spacing w:after="0"/>
        <w:tabs>
          <w:tab w:leader="none" w:pos="8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Exclusive of the capital conservation buffer of 2.5% of risk-weighted assets.</w:t>
      </w:r>
    </w:p>
    <w:p>
      <w:pPr>
        <w:spacing w:after="0" w:line="177"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4"/>
          <w:szCs w:val="14"/>
          <w:color w:val="auto"/>
        </w:rPr>
        <w:t>Capital amounts and ratios for Newtek Bank as of March 31, 2024, are presented in the table below. As of March 31, 2024, Newtek Bank was categorized as “well-capitalized” under the prompt corrective action measures and met the capital conservation buffer requirements.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2100" w:type="dxa"/>
            <w:vAlign w:val="bottom"/>
            <w:gridSpan w:val="3"/>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8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Newtek Bank - March 31, 2024</w:t>
            </w:r>
          </w:p>
        </w:tc>
        <w:tc>
          <w:tcPr>
            <w:tcW w:w="200" w:type="dxa"/>
            <w:vAlign w:val="bottom"/>
          </w:tcPr>
          <w:p>
            <w:pPr>
              <w:spacing w:after="0"/>
              <w:rPr>
                <w:sz w:val="16"/>
                <w:szCs w:val="16"/>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00" w:type="dxa"/>
            <w:vAlign w:val="bottom"/>
            <w:gridSpan w:val="3"/>
          </w:tcPr>
          <w:p>
            <w:pPr>
              <w:jc w:val="right"/>
              <w:ind w:right="629"/>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320" w:type="dxa"/>
            <w:vAlign w:val="bottom"/>
            <w:gridSpan w:val="3"/>
          </w:tcPr>
          <w:p>
            <w:pPr>
              <w:jc w:val="right"/>
              <w:ind w:right="569"/>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100,383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15.5 %</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25,905</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36,957</w:t>
            </w: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100,383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25,586</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56,858</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100,383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45,486</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107,603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45,486</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32,381</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33" w:lineRule="exact"/>
        <w:rPr>
          <w:sz w:val="20"/>
          <w:szCs w:val="20"/>
          <w:color w:val="auto"/>
        </w:rPr>
      </w:pPr>
    </w:p>
    <w:p>
      <w:pPr>
        <w:ind w:left="80" w:hanging="75"/>
        <w:spacing w:after="0"/>
        <w:tabs>
          <w:tab w:leader="none" w:pos="80"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Exclusive of the capital conservation buffer of 2.5% of risk-weighted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Public Offerings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ATM Program</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Company’s shelf registration statement on Form S-3 was declared effective by the SEC on July 27, 2023. On November 17, 2023, the Company entered into the 2023 ATM Equity Distribution Agreement. The 2023 ATM Equity Distribution Agreement provides that the Company may offer and sell up to three million shares of Common Stock from time to time through the placement agents (the “ATM Program”). The Company may, subject to market conditions, engage in activity under the ATM Program.</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i w:val="1"/>
          <w:iCs w:val="1"/>
          <w:color w:val="auto"/>
        </w:rPr>
        <w:t>2028 Notes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On August 31, 2023, the Company completed a registered offering of $40.0 million in aggregate principal amount of its 8.00% 2028 Notes, which includes the underwriters’ exercise of the option granted by the Company to purchase an additional $5.0 million in aggregate principal amount of the 2028 Notes. The Company received $38.0 million in proceeds, before expenses, from the sale of the 2028 Notes. The 2028 Notes bear interest at a rate of 8.00% per year payable quarterly on March 1, June 1, September 1 and December 1 of each year, commencing on December 1, 2023, and trade on the Nasdaq Global Market under the trading symbol “NEWTI.” At March 31, 2024, the Company was in compliance with all covenants related to the 2028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 xml:space="preserve">In January 2021, the Company and the Trustee entered into the Seventh Supplemental Indenture to the Base Indenture between the Company and the Trustee, relating to the Company’s issuance, offer and sale of $115.0 million aggregate principal amount of 5.50% 2026 Notes, including $15.0 million in aggregate principal amount sold pursuant to a fully-exercised overallotment option. The sale of the 2026 Notes generated proceeds of approximately $111.3 million, net of underwriter's fees and expenses. The 2026 Notes are the Company’s direct unsecured obligations and rank: (i)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Company’s other outstanding and future unsecured indebtedness; (ii) senior to any of the Company’s future indebtedness that expressly provides it is subordinated to the 2026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w:t>
      </w:r>
    </w:p>
    <w:p>
      <w:pPr>
        <w:spacing w:after="0" w:line="16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4"/>
          <w:szCs w:val="14"/>
          <w:color w:val="auto"/>
        </w:rPr>
        <w:t>The 2026 Notes will mature on February 1, 2026 and may be redeemed in whole or in part at any time or from time to time at the Company’s option upon not less than 30 days nor more than 60 days written notice by mail prior to the date fixed for redemption thereof, at a redemption price equal to 100% of the principal amount of the 2026 Notes to be redeemed, plus accrued and unpaid interest, if any, to, but excluding, the date of redemption. The 2026 Notes bear interest at a rate of 5.50% per year payable quarterly on February 1, May 1, August 1 and November 1 of each year, commencing on May 1, 2021, and trade on the Nasdaq Global Market under the trading symbol “NEWTZ.” At March 31, 2024, the Company was in compliance with all covenants related to the 2026 Notes.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Notes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 xml:space="preserve">In July 2019, the Company and the Trustee entered into the Fourth Supplemental Indenture to the Base Indenture between the Company and the Trustee, relating to the Company’s issuance, offer and sale of $55.0 million aggregate principal amount of 5.75% 2024 Notes. The Company granted an overallotment option of up to $8.25 million in aggregate principal amount of the 2024 Notes. The sale of the 2024 Notes generated proceeds of approximately $53.2 million, net of underwriter's fees and expenses. In July 2019 the underwriters exercised their option to purchase $8.25 million in aggregate principal amount of 2024 Notes for an additional $8.0 million in net proceeds. The 2024 Notes are the Company’s direct unsecured obligations and rank: (i)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Company’s other outstanding and future unsecured indebtedness; (ii) senior to any of the Company’s future indebtedness that expressly provides it is subordinated to the 2024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w:t>
      </w:r>
    </w:p>
    <w:p>
      <w:pPr>
        <w:spacing w:after="0" w:line="16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2024 Notes will mature on August 1, 2024 and may be redeemed in whole or in part at the Company’s option at any time or from time to time on or after August 1, 2021, at a redemption price of 100% of the outstanding principal amount thereof plus accrued and unpaid interest payments otherwise payable for the then-current quarterly interest period accrued to but not including the date fixed for redemption. The 2024 Notes bear interest at a rate of 5.75% per year payable quarterly on February 1, May 1, August 1, and November 1 of each year, commencing on November 1, 2019, and trade on the Nasdaq Global Market under the trading symbol “NEWTL.” At March 31, 2024, the Company was in compliance with all covenants related to the 2024 Notes.</w:t>
      </w:r>
    </w:p>
    <w:p>
      <w:pPr>
        <w:spacing w:after="0" w:line="1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On February 16, 2021 and May 20, 2021, the Company issued an additional $5.0 million and $10.0 million in aggregate principal amount of its 2024 Notes, respectively. The new 2024 Notes are treated as a single series with the prior 2024 Notes and have the same terms as the prior 2024 Notes. The existing 2024 Notes have the same CUSIP number and are fungible and rank equally with the prior 2024 Notes.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auto"/>
        </w:rPr>
        <w:t>On December 29, 2021, the Company redeemed $40.0 million in aggregate principal amount of the $78.25 million of principal amount of 2024 Notes outstanding at 100% of their principal amount</w:t>
      </w:r>
    </w:p>
    <w:p>
      <w:pPr>
        <w:spacing w:after="0" w:line="2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($25 per Note), plus the accrued and unpaid interest thereon from November 1, 2021 through, but excluding, the redemption date. As of March 31, 2024, the outstanding principal balance of the 2024 Notes was $38.25 million.</w:t>
      </w:r>
    </w:p>
    <w:p>
      <w:pPr>
        <w:spacing w:after="0" w:line="15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Base Indenture, and each supplemental indenture thereto, contains certain covenants. The Base Indenture provides for customary events of default and further provides that the Trustee or the holders of 25% in aggregate principal amount of the outstanding Notes may declare such Notes immediately due and payable upon the occurrence of any event of default after expiration of any applicable grace period. Each supplemental indenture (except for the Tenth Supplemental Indenture) includes covenants requiring the Company to comply with (regardless of whether it is subject to) the asset coverage requirements set forth in Section 18(a)(1)(A) of the 1940 Act as modified by Section 61(a) of the 1940 Act (or any successor provisions), to comply with (regardless of whether it is subject to) the restrictions on dividends, distributions and purchase of capital stock set forth in Section 18(a)(1)(B) of the 1940 Act as modified by Section 61(a) of the 1940 Act and to provide financial information to the holders of the Notes and the Trustee if the Company should no longer be subject to the reporting requirements under the Exchange Act. These covenants are subject to important limitations and exceptions that are described in the Base Indenture, as supplemented by each supplemental indenture thereto. These covenants currently apply to the 2024 and 2026 Notes. At March 31, 2024, the Company was in compliance with all covenants related to the Notes.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Notes (Private Placements)</w:t>
      </w:r>
    </w:p>
    <w:p>
      <w:pPr>
        <w:spacing w:after="0" w:line="19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On November 27, 2020, the Company and Trustee entered into the Fifth Supplemental Indenture to the Base Indenture between the Company and the Trustee, relating to the issuance, offer and sale of $5.0 million aggregate principal amount of its 2025 6.85% Notes. The offering was consummated pursuant to the terms of a purchase agreement among the Company and an accredited investor, which provided for the 2025 6.85% Notes to be issued to the purchaser in a private placement in reliance on Section 4(a)(2) of the Securities Act. The net proceeds from the sale of the notes were approximately $4.8 million, after deducting structuring fees and estimated offering expenses, each payable by the Company. The Company exercised its option to issue up to $10.0 million of additional 2025 6.85% Notes to the purchaser, and issued $10.0 million in additional 2025 6.85% Notes to the purchaser in an exempt offering in January 2021.</w:t>
      </w:r>
    </w:p>
    <w:p>
      <w:pPr>
        <w:spacing w:after="0" w:line="159"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4"/>
          <w:szCs w:val="14"/>
          <w:color w:val="auto"/>
        </w:rPr>
        <w:t>On March 31, 2022, the Company caused notices to be issued to the holder of its 2025 6.85% Notes regarding the Company’s exercise of its option to redeem all $15.0 million in aggregate principal amount of the Notes on May 2, 2022. The Notes were redeemed on May 2, 2022 100% of their principal amount ($25 per Note), plus the accrued and unpaid interest thereon from February 28, 2022 through, but excluding, May 2, 2022.</w:t>
      </w:r>
    </w:p>
    <w:p>
      <w:pPr>
        <w:spacing w:after="0" w:line="15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 xml:space="preserve">On March 31, 2022, the Company completed a private placement of $15.0 million aggregate principal amount of its 5.00% notes due 2025 (2025 5.00% Notes). The offering was consummated pursuant to the terms of a purchase agreement dated March 31, 2022 among the Company and an accredited investor, which provided for the 2025 5.00% Notes to be issued to the purchaser in a transaction that relied on Section 4(a)(2) of the Securities Act to be exempt from registration under the Securities Act. The net proceeds from the sale of the notes were approximately $14.5 million, after deducting structuring fees and estimated offering expenses, each payable by the Company. The 2025 5.00% Notes are the Company’s direct unsecured obligations and rank: (i)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Company’s other outstanding and future unsecured indebtedness; (ii) senior to any of the Company’s future indebtedness that expressly provides it is subordinated to the 2025 5.00%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 Under the purchase agreement, the Company also issued an additional $15.0 million in aggregate principal amount of the 2025 5.0% Notes to the purchaser on May 2, 2022. The 2025 5.00% Notes were issued under the Base Indenture and the Tenth Supplemental Indenture, dated as of March 31, 2022. The 2025 5.00% Notes will mature on March 31, 2025, and under the terms of the Indenture, the Notes are redeemable at any time, at the option of the Company, at a redemption price of 100% of the outstanding principal amount thereof.</w:t>
      </w:r>
    </w:p>
    <w:p>
      <w:pPr>
        <w:spacing w:after="0" w:line="16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On January 23, 2023, we completed a private placement offering of $50.0 million aggregate principal amount of 8.125% notes due 2025. The net proceeds from the sale of the notes were approximately $48.94 million after deducting estimated offering expenses payable by the Company. The Notes will mature on February 1, 2025. The Notes bear interest at a rate of 8.125% per year payable semiannually on February 1 and August 1 each year, commencing on August 1, 2023.</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color w:val="auto"/>
        </w:rPr>
        <w:t>NSBF Capital One Facility</w:t>
      </w:r>
    </w:p>
    <w:p>
      <w:pPr>
        <w:spacing w:after="0" w:line="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Prior to October 2023, NSBF maintained a $150.0 million Capital One facility to finance NSBF’s origination of unguaranteed and guaranteed portions of SBA 7(a) loans. The portion of the facility collateralized by the government guaranteed portion of SBA 7(a) loans had an interest rate of Prime minus 0.75% and the interest rate on the portion of the facility collateralized by the non-guaranteed portion of SBA 7(a) loans was Prime plus 0.25% . The facility provided for a 55% advance rate on the non-guaranteed portions of the SBA 7(a) loans NSBF originated, and a 90% advance rate on the guaranteed portions of SBA 7(a) loans NSBF originated and a 90% advance rate on the guaranteed portions of SBA 7(a) loans NSBF originated. NSBF ceased originating new loans in April 2023. On May 7, 2020, NSBF amended the facility to, among other things, extend the maturity date on which the credit facility converted into a term loan for a period of three years to May 7, 2023, with the term loan maturing on May 7, 2025. The NSBF Capital One facility was paid off and terminated in October of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Securitization Transactions</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From 2010 through June 2023, NSBF engaged in thirteen (13) securitizations of the unguaranteed portions of its SBA 7(a) loans. In the securitizations, NSBF used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legacy portfolio of SBA 7(a) loans and reflects the associated financing in Notes Payable - Securitization trusts on the Consolidated Statements of Financial Condition.</w:t>
      </w:r>
    </w:p>
    <w:p>
      <w:pPr>
        <w:spacing w:after="0" w:line="16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June 2023, NSBF completed its thirteenth securitization which resulted in the transfer of $103.9 million of unguaranteed portions of SBA loans to the 2023-1 Trust. The 2023-1 Trust in turn issued securitization notes for the par amount of $103.9 million, consisting of $84.3 million of Class A notes and $19.6 million Class B notes, against the 2023-1 Trust assets in a private placement. The Class A and Class B notes received an “A-” and “BBB-” rating by S&amp;P, respectively, and the final maturity date of the notes is October 2049. The Class A and Class B notes bear interest at an average rate of 30-day average compounded SOFR plus 3.24% across both classes.</w:t>
      </w:r>
    </w:p>
    <w:p>
      <w:pPr>
        <w:spacing w:after="0" w:line="162"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4"/>
          <w:szCs w:val="14"/>
          <w:color w:val="auto"/>
        </w:rPr>
        <w:t>In September 2022, NSBF completed its twelfth securitization which resulted in the transfer of $116.2 million of unguaranteed portions of SBA loans to the 2022-1 Trust. The 2022-1 Trust in turn issued securitization notes for the par amount of $116.2 million, consisting of $95.4 million of Class A notes and $20.8 million Class B notes, against the 2022-1 Trust assets in a private placement. The Class A and Class B notes received an “A-” and “BBB-” rating by S&amp;P, respectively, and the final maturity date of the notes is October 2049. The Class A and Class B notes bear interest at an average rate of 30-day average compounded SOFR plus 2.97% across both classes.</w:t>
      </w:r>
    </w:p>
    <w:p>
      <w:pPr>
        <w:spacing w:after="0" w:line="162"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In December 2021, NSBF completed its eleventh securitization which resulted in the transfer of $103.4 million of unguaranteed portions of SBA loans to the 2021-1 Trust. The 2021-1 Trust in turn issued securitization notes for the par amount of $103.4 million, consisting of $79.7 million of Class A notes and $23.8 million Class B notes, against the 2021-1 Trust assets in a private placement. The Class A and Class B notes received an “A” and “BBB-” rating by S&amp;P, respectively, and the final maturity date of the notes is December 2048. The Class A and Class B notes bear interest at an average rate of adjusted SOFR plus 1.92% across both classes.</w:t>
      </w:r>
    </w:p>
    <w:p>
      <w:pPr>
        <w:spacing w:after="0" w:line="16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October 2019, NSBF completed its tenth securitization which resulted in the transfer of $118.9 million of unguaranteed portions of SBA loans to the 2019-1 Trust. The 2019-1 Trust in turn issued securitization notes for the par amount of $118.9 million, consisting of $93.5 million of Class A notes and $25.4 million Class B notes, against the 2019-1 Trust assets in a private placement. The Class A and Class B notes received an “A” and “BBB-” rating by S&amp;P, respectively, and the final maturity date of the notes is December 2044. The Class A and Class B notes bear interest at an average rate of adjusted SOFR plus 1.83% across both classes.</w:t>
      </w:r>
    </w:p>
    <w:p>
      <w:pPr>
        <w:spacing w:after="0" w:line="16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In November 2018, NSBF completed its ninth securitization which resulted in the transfer of $108.6 million of unguaranteed portions of SBA loans to the 2018-1 Trust. The 2018-1 Trust in turn issued securitization notes for the par amount of $108.6 million, consisting of $82.9 million Class A notes and $25.7 million of Class B notes, against the assets in a private placement. The Class A and Class B notes received an “A” and “BBB-” rating by S&amp;P, respectively, and the final maturity date of the notes is February 2044.</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69" w:name="page70"/>
    <w:bookmarkEnd w:id="69"/>
    <w:p>
      <w:pPr>
        <w:spacing w:after="0" w:line="264" w:lineRule="auto"/>
        <w:rPr>
          <w:sz w:val="20"/>
          <w:szCs w:val="20"/>
          <w:color w:val="auto"/>
        </w:rPr>
      </w:pPr>
      <w:r>
        <w:rPr>
          <w:rFonts w:ascii="Times New Roman" w:cs="Times New Roman" w:eastAsia="Times New Roman" w:hAnsi="Times New Roman"/>
          <w:sz w:val="14"/>
          <w:szCs w:val="14"/>
          <w:color w:val="auto"/>
        </w:rPr>
        <w:t>In December 2017, NSBF completed its eighth securitization which resulted in the transfer of $76.2 million of unguaranteed portions of SBA loans to the 2017-1 Trust. The 2017-1 Trust in turn issued securitization notes for the par amount of $75.4 million, consisting of $58.1 million Class A notes and $17.3 million of Class B notes, against the assets in a private placement. The Class A and Class B notes received an “A” and “BBB-” rating by S&amp;P, respectively, and the final maturity date of the notes is February 2043. On February 27, 2023, the 2017-1 Trust was terminated as a result of NSBF purchasing the 2017-1 Trust assets, with the 2017-1 Trust’s noteholders receiving the redemption price.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and Liquidity</w:t>
            </w: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29"/>
        </w:trPr>
        <w:tc>
          <w:tcPr>
            <w:tcW w:w="90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available sources of liquidity as of March 31, 2024:</w:t>
            </w: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66"/>
        </w:trPr>
        <w:tc>
          <w:tcPr>
            <w:tcW w:w="9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Availability as of</w:t>
            </w:r>
          </w:p>
        </w:tc>
      </w:tr>
      <w:tr>
        <w:trPr>
          <w:trHeight w:val="186"/>
        </w:trPr>
        <w:tc>
          <w:tcPr>
            <w:tcW w:w="9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71"/>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Unrestricted cash</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12,295</w:t>
            </w:r>
          </w:p>
        </w:tc>
      </w:tr>
      <w:tr>
        <w:trPr>
          <w:trHeight w:val="350"/>
        </w:trPr>
        <w:tc>
          <w:tcPr>
            <w:tcW w:w="9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Lines of credit at other commercial banks</w:t>
            </w:r>
          </w:p>
        </w:tc>
        <w:tc>
          <w:tcPr>
            <w:tcW w:w="340" w:type="dxa"/>
            <w:vAlign w:val="bottom"/>
          </w:tcPr>
          <w:p>
            <w:pPr>
              <w:spacing w:after="0"/>
              <w:rPr>
                <w:sz w:val="24"/>
                <w:szCs w:val="24"/>
                <w:color w:val="auto"/>
              </w:rPr>
            </w:pPr>
          </w:p>
        </w:tc>
        <w:tc>
          <w:tcPr>
            <w:tcW w:w="1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23,397</w:t>
            </w:r>
          </w:p>
        </w:tc>
      </w:tr>
      <w:tr>
        <w:trPr>
          <w:trHeight w:val="181"/>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Bank:</w:t>
            </w: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350"/>
        </w:trPr>
        <w:tc>
          <w:tcPr>
            <w:tcW w:w="9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340" w:type="dxa"/>
            <w:vAlign w:val="bottom"/>
          </w:tcPr>
          <w:p>
            <w:pPr>
              <w:spacing w:after="0"/>
              <w:rPr>
                <w:sz w:val="24"/>
                <w:szCs w:val="24"/>
                <w:color w:val="auto"/>
              </w:rPr>
            </w:pPr>
          </w:p>
        </w:tc>
        <w:tc>
          <w:tcPr>
            <w:tcW w:w="1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115,152</w:t>
            </w:r>
          </w:p>
        </w:tc>
      </w:tr>
      <w:tr>
        <w:trPr>
          <w:trHeight w:val="181"/>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FHLB borrowing availability</w:t>
            </w: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54,876</w:t>
            </w:r>
          </w:p>
        </w:tc>
      </w:tr>
      <w:tr>
        <w:trPr>
          <w:trHeight w:val="180"/>
        </w:trPr>
        <w:tc>
          <w:tcPr>
            <w:tcW w:w="9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Lines of credit at other financial institutions</w:t>
            </w: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10,000</w:t>
            </w:r>
          </w:p>
        </w:tc>
      </w:tr>
      <w:tr>
        <w:trPr>
          <w:trHeight w:val="171"/>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liquidity sources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215,720</w:t>
            </w:r>
          </w:p>
        </w:tc>
      </w:tr>
    </w:tbl>
    <w:p>
      <w:pPr>
        <w:spacing w:after="0" w:line="240"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4"/>
          <w:szCs w:val="14"/>
          <w:color w:val="auto"/>
        </w:rPr>
        <w:t>Restricted cash of $35.8 million as of March 31, 2024. NSBF holds $17.5 million of the Company’s restricted cash, which includes reserves in the event payments are insufficient to cover interest and/or principal with respect to securitizations and loan principal and interest collected which are due to loan participants. In addition, the Company has $10.0 million in a restricted cash account to fund certain of NSBF’s potential obligations to the SBA pursuant to the Wind-down Agreement. of which the Company is a guarantor. The majority of the Company’s remaining restricted cash is related to payroll processing by PMT, our subsidiary.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generated and used cash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460" w:type="dxa"/>
            <w:vAlign w:val="bottom"/>
          </w:tcPr>
          <w:p>
            <w:pPr>
              <w:spacing w:after="0"/>
              <w:rPr>
                <w:sz w:val="11"/>
                <w:szCs w:val="11"/>
                <w:color w:val="auto"/>
              </w:rPr>
            </w:pPr>
          </w:p>
        </w:tc>
        <w:tc>
          <w:tcPr>
            <w:tcW w:w="1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March 31, 2023</w:t>
            </w:r>
          </w:p>
        </w:tc>
        <w:tc>
          <w:tcPr>
            <w:tcW w:w="0" w:type="dxa"/>
            <w:vAlign w:val="bottom"/>
          </w:tcPr>
          <w:p>
            <w:pPr>
              <w:spacing w:after="0"/>
              <w:rPr>
                <w:sz w:val="1"/>
                <w:szCs w:val="1"/>
                <w:color w:val="auto"/>
              </w:rPr>
            </w:pPr>
          </w:p>
        </w:tc>
      </w:tr>
      <w:tr>
        <w:trPr>
          <w:trHeight w:val="154"/>
        </w:trPr>
        <w:tc>
          <w:tcPr>
            <w:tcW w:w="7460" w:type="dxa"/>
            <w:vAlign w:val="bottom"/>
          </w:tcPr>
          <w:p>
            <w:pPr>
              <w:spacing w:after="0"/>
              <w:rPr>
                <w:sz w:val="13"/>
                <w:szCs w:val="13"/>
                <w:color w:val="auto"/>
              </w:rPr>
            </w:pPr>
          </w:p>
        </w:tc>
        <w:tc>
          <w:tcPr>
            <w:tcW w:w="194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0" w:type="dxa"/>
            <w:vAlign w:val="bottom"/>
          </w:tcPr>
          <w:p>
            <w:pPr>
              <w:spacing w:after="0"/>
              <w:rPr>
                <w:sz w:val="1"/>
                <w:szCs w:val="1"/>
                <w:color w:val="auto"/>
              </w:rPr>
            </w:pPr>
          </w:p>
        </w:tc>
      </w:tr>
      <w:tr>
        <w:trPr>
          <w:trHeight w:val="176"/>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70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(38,674)</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(116,359)</w:t>
            </w:r>
          </w:p>
        </w:tc>
        <w:tc>
          <w:tcPr>
            <w:tcW w:w="0" w:type="dxa"/>
            <w:vAlign w:val="bottom"/>
          </w:tcPr>
          <w:p>
            <w:pPr>
              <w:spacing w:after="0"/>
              <w:rPr>
                <w:sz w:val="1"/>
                <w:szCs w:val="1"/>
                <w:color w:val="auto"/>
              </w:rPr>
            </w:pPr>
          </w:p>
        </w:tc>
      </w:tr>
      <w:tr>
        <w:trPr>
          <w:trHeight w:val="180"/>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7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(23,898)</w:t>
            </w:r>
          </w:p>
        </w:tc>
        <w:tc>
          <w:tcPr>
            <w:tcW w:w="0" w:type="dxa"/>
            <w:vAlign w:val="bottom"/>
          </w:tcPr>
          <w:p>
            <w:pPr>
              <w:spacing w:after="0"/>
              <w:rPr>
                <w:sz w:val="1"/>
                <w:szCs w:val="1"/>
                <w:color w:val="auto"/>
              </w:rPr>
            </w:pPr>
          </w:p>
        </w:tc>
      </w:tr>
      <w:tr>
        <w:trPr>
          <w:trHeight w:val="18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7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61,679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186,899</w:t>
            </w:r>
          </w:p>
        </w:tc>
        <w:tc>
          <w:tcPr>
            <w:tcW w:w="0" w:type="dxa"/>
            <w:vAlign w:val="bottom"/>
          </w:tcPr>
          <w:p>
            <w:pPr>
              <w:spacing w:after="0"/>
              <w:rPr>
                <w:sz w:val="1"/>
                <w:szCs w:val="1"/>
                <w:color w:val="auto"/>
              </w:rPr>
            </w:pPr>
          </w:p>
        </w:tc>
      </w:tr>
      <w:tr>
        <w:trPr>
          <w:trHeight w:val="17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restricted cash</w:t>
            </w:r>
          </w:p>
        </w:tc>
        <w:tc>
          <w:tcPr>
            <w:tcW w:w="7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46,642</w:t>
            </w:r>
          </w:p>
        </w:tc>
        <w:tc>
          <w:tcPr>
            <w:tcW w:w="0" w:type="dxa"/>
            <w:vAlign w:val="bottom"/>
          </w:tcPr>
          <w:p>
            <w:pPr>
              <w:spacing w:after="0"/>
              <w:rPr>
                <w:sz w:val="1"/>
                <w:szCs w:val="1"/>
                <w:color w:val="auto"/>
              </w:rPr>
            </w:pPr>
          </w:p>
        </w:tc>
      </w:tr>
      <w:tr>
        <w:trPr>
          <w:trHeight w:val="18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cash—beginning of period (Note 2)</w:t>
            </w:r>
          </w:p>
        </w:tc>
        <w:tc>
          <w:tcPr>
            <w:tcW w:w="7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125,606</w:t>
            </w:r>
          </w:p>
        </w:tc>
        <w:tc>
          <w:tcPr>
            <w:tcW w:w="0" w:type="dxa"/>
            <w:vAlign w:val="bottom"/>
          </w:tcPr>
          <w:p>
            <w:pPr>
              <w:spacing w:after="0"/>
              <w:rPr>
                <w:sz w:val="1"/>
                <w:szCs w:val="1"/>
                <w:color w:val="auto"/>
              </w:rPr>
            </w:pPr>
          </w:p>
        </w:tc>
      </w:tr>
      <w:tr>
        <w:trPr>
          <w:trHeight w:val="180"/>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Consolidation of cash and restricted cash from controlled investments and business combinations, net of cash paid</w:t>
            </w:r>
          </w:p>
        </w:tc>
        <w:tc>
          <w:tcPr>
            <w:tcW w:w="7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24,896</w:t>
            </w:r>
          </w:p>
        </w:tc>
        <w:tc>
          <w:tcPr>
            <w:tcW w:w="0" w:type="dxa"/>
            <w:vAlign w:val="bottom"/>
          </w:tcPr>
          <w:p>
            <w:pPr>
              <w:spacing w:after="0"/>
              <w:rPr>
                <w:sz w:val="1"/>
                <w:szCs w:val="1"/>
                <w:color w:val="auto"/>
              </w:rPr>
            </w:pPr>
          </w:p>
        </w:tc>
      </w:tr>
      <w:tr>
        <w:trPr>
          <w:trHeight w:val="196"/>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cash—end of period (Note 2)</w:t>
            </w:r>
          </w:p>
        </w:tc>
        <w:tc>
          <w:tcPr>
            <w:tcW w:w="70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197,144</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During the three months ended March 31, 2024, operating activities used cash of $38.7 million, consisting primarily of $255.7 million of loans held for sale. This use of cash was offset by (i) $184.3 million of proceeds from the sale of loans and (ii) $1.6 million of principal payments received from loans held for sale and (iii) a $5.3 million decrease in broker receivables which arise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quarter end.</w:t>
      </w:r>
    </w:p>
    <w:p>
      <w:pPr>
        <w:spacing w:after="0" w:line="140"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Cash used by investing activities primarily comprised of (i) $62.1 million in the net increase in loans held for investment, at cost and (ii) $7.2 million in contributions to non-consolidating joint ventures. These uses were partially offset by a $21.7 million in the net decrease in loans held for investment, at fair value.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financing activities was $61.7 million consisting primarily of a (i) $49.1 million net increase in deposits; and (ii) $43.8 million of net payments under our bank notes payable.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sources of cash were offset by (i) $23.0 million of principal payments related to securitization notes payable and $4.8 million of dividends paid.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8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following table represents the Company’s obligations and commitments as of March 31, 2024. Amounts represent principal only and are not shown net of unamortized debt issuance costs. See NOTE 11—BORROWINGS.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Payments due by period</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17"/>
        </w:trPr>
        <w:tc>
          <w:tcPr>
            <w:tcW w:w="296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Contractual Obligations</w:t>
            </w:r>
          </w:p>
        </w:tc>
        <w:tc>
          <w:tcPr>
            <w:tcW w:w="280" w:type="dxa"/>
            <w:vAlign w:val="bottom"/>
          </w:tcPr>
          <w:p>
            <w:pPr>
              <w:spacing w:after="0"/>
              <w:rPr>
                <w:sz w:val="10"/>
                <w:szCs w:val="10"/>
                <w:color w:val="auto"/>
              </w:rPr>
            </w:pPr>
          </w:p>
        </w:tc>
        <w:tc>
          <w:tcPr>
            <w:tcW w:w="10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b w:val="1"/>
                <w:bCs w:val="1"/>
                <w:color w:val="auto"/>
              </w:rPr>
              <w:t>Total</w:t>
            </w:r>
          </w:p>
        </w:tc>
        <w:tc>
          <w:tcPr>
            <w:tcW w:w="260" w:type="dxa"/>
            <w:vAlign w:val="bottom"/>
          </w:tcPr>
          <w:p>
            <w:pPr>
              <w:spacing w:after="0"/>
              <w:rPr>
                <w:sz w:val="10"/>
                <w:szCs w:val="10"/>
                <w:color w:val="auto"/>
              </w:rPr>
            </w:pPr>
          </w:p>
        </w:tc>
        <w:tc>
          <w:tcPr>
            <w:tcW w:w="800" w:type="dxa"/>
            <w:vAlign w:val="bottom"/>
          </w:tcPr>
          <w:p>
            <w:pPr>
              <w:jc w:val="right"/>
              <w:ind w:right="350"/>
              <w:spacing w:after="0" w:line="117"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jc w:val="right"/>
              <w:ind w:right="350"/>
              <w:spacing w:after="0" w:line="117"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right"/>
              <w:ind w:right="350"/>
              <w:spacing w:after="0" w:line="117"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350"/>
              <w:spacing w:after="0" w:line="117" w:lineRule="exact"/>
              <w:rPr>
                <w:sz w:val="20"/>
                <w:szCs w:val="20"/>
                <w:color w:val="auto"/>
              </w:rPr>
            </w:pPr>
            <w:r>
              <w:rPr>
                <w:rFonts w:ascii="Times New Roman" w:cs="Times New Roman" w:eastAsia="Times New Roman" w:hAnsi="Times New Roman"/>
                <w:sz w:val="11"/>
                <w:szCs w:val="11"/>
                <w:b w:val="1"/>
                <w:bCs w:val="1"/>
                <w:color w:val="auto"/>
              </w:rPr>
              <w:t>2027</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right"/>
              <w:ind w:right="370"/>
              <w:spacing w:after="0" w:line="117" w:lineRule="exact"/>
              <w:rPr>
                <w:sz w:val="20"/>
                <w:szCs w:val="20"/>
                <w:color w:val="auto"/>
              </w:rPr>
            </w:pPr>
            <w:r>
              <w:rPr>
                <w:rFonts w:ascii="Times New Roman" w:cs="Times New Roman" w:eastAsia="Times New Roman" w:hAnsi="Times New Roman"/>
                <w:sz w:val="11"/>
                <w:szCs w:val="11"/>
                <w:b w:val="1"/>
                <w:bCs w:val="1"/>
                <w:color w:val="auto"/>
              </w:rPr>
              <w:t>2028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ind w:right="230"/>
              <w:spacing w:after="0" w:line="117" w:lineRule="exact"/>
              <w:rPr>
                <w:sz w:val="20"/>
                <w:szCs w:val="20"/>
                <w:color w:val="auto"/>
              </w:rPr>
            </w:pPr>
            <w:r>
              <w:rPr>
                <w:rFonts w:ascii="Times New Roman" w:cs="Times New Roman" w:eastAsia="Times New Roman" w:hAnsi="Times New Roman"/>
                <w:sz w:val="11"/>
                <w:szCs w:val="11"/>
                <w:b w:val="1"/>
                <w:bCs w:val="1"/>
                <w:color w:val="auto"/>
              </w:rPr>
              <w:t>Thereafter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0"/>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Demand</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5,466</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5,466</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Checking</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Money market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Savings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Time deposits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92,829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64,999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296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Webster NMS Note</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FHLB Advances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SPV I Capital One Facility</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4"/>
                <w:szCs w:val="14"/>
                <w:color w:val="auto"/>
              </w:rPr>
              <w:t>SPV II Deutsche Bank Facility</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SPV III One Florida Bank Facility</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Securitization Notes Payable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273,269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273,269</w:t>
            </w:r>
          </w:p>
        </w:tc>
      </w:tr>
      <w:tr>
        <w:trPr>
          <w:trHeight w:val="180"/>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Parent Company Notes: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Notes due 2024</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Notes due 2025</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Notes due 2026</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0A2299"/>
              </w:rPr>
              <w:t>—</w:t>
            </w: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Notes due 2028</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Employment Agreements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2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1,193,271</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464,261</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203,352</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150,459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61,141</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40,711</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273,347</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Guaranteed by the parent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 is a guarantor on several warehouse lines of credit as noted in the above table under Contractual Obligations. Refer to NOTE 11—BORROWINGS to the consolidated financial statements for the amounts outstanding, line availability, and term. The Company is also a guarantor on an NMS term loan facility. At March 31, 2024, the Company determined that it is not probable that payments would be required to be made under the guarantees. The Company is also a guarantor on certain of NSBF’s potential obligations to the SBA pursuant to the Wind-down Agreement. Specifically, pursuant to the Wind-down Agreement, the Company has guaranteed NSBF’s obligations to the SBA for post-purchase repairs or denials on the guaranteed portion of 7(a) Loans sold by NSBF on the secondary market or servicing/liquidation post-purchase repairs or denial, and has funded a $10.0 million restricted cash account at Newtek Bank to secure these potential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revenues and expenses during the periods reported. Actual results could materially differ from those estimates. We have identified the following items as critical accounting policies for the quarterly period ended March 31, 2024.</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97"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For the quarterly period ended March 31, 2024, we valued instruments for which market quotations are readily available at their market quotations. However, a readily available market value did not exist for many of the instruments in our portfolio, and we valued these instruments at fair value as determined in good faith by our management under our valuation policy and process. We may have sought pricing information with respect to certain of our instruments from pricing services or brokers or dealers in order to value such instruments. We also employed independent third party valuation firms for certain of our instruments for which there is not a readily available market value.</w:t>
      </w:r>
    </w:p>
    <w:p>
      <w:pPr>
        <w:spacing w:after="0" w:line="16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Due to the inherent uncertainty of determining the fair value of our instruments that do not have a readily available market value, the fair value of the instruments may differ significantly from the values that would have been used had a readily available market value existed for such instruments and may differ materially from values that may ultimately be received or settled.</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(an exit price). ASC 820 establishes a fair value hierarchy that prioritizes the inputs to valuation techniques used to measure fair value into three levels for disclosure purposes.</w:t>
      </w:r>
    </w:p>
    <w:p>
      <w:pPr>
        <w:spacing w:after="0" w:line="14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fair value hierarchy gives the highest priority (Level 1) to quoted prices in active markets for identical assets or liabilities and gives the lowest priority to unobservable inputs (Level 3). The levels of the fair value hierarchy are as follows:</w:t>
      </w:r>
    </w:p>
    <w:p>
      <w:pPr>
        <w:spacing w:after="0" w:line="59" w:lineRule="exact"/>
        <w:rPr>
          <w:sz w:val="20"/>
          <w:szCs w:val="20"/>
          <w:color w:val="auto"/>
        </w:rPr>
      </w:pPr>
    </w:p>
    <w:p>
      <w:pPr>
        <w:ind w:left="980" w:right="180" w:hanging="724"/>
        <w:spacing w:after="0" w:line="228" w:lineRule="auto"/>
        <w:tabs>
          <w:tab w:leader="none" w:pos="96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color w:val="auto"/>
        </w:rPr>
        <w:t>Quoted prices in active markets for identical assets or liabilities. Level 1 assets and liabilities include debt and equity securities and derivative contracts that are traded in an active exchange market, as well as certain U.S. Treasury, other U.S. Government and agency mortgage-backed debt securities that are highly liquid and are actively traded in over-the-counter markets.</w:t>
      </w:r>
    </w:p>
    <w:p>
      <w:pPr>
        <w:spacing w:after="0" w:line="50" w:lineRule="exact"/>
        <w:rPr>
          <w:sz w:val="20"/>
          <w:szCs w:val="20"/>
          <w:color w:val="auto"/>
        </w:rPr>
      </w:pPr>
    </w:p>
    <w:p>
      <w:pPr>
        <w:jc w:val="both"/>
        <w:ind w:left="980" w:right="180" w:hanging="724"/>
        <w:spacing w:after="0" w:line="218" w:lineRule="auto"/>
        <w:tabs>
          <w:tab w:leader="none" w:pos="960" w:val="left"/>
        </w:tabs>
        <w:rPr>
          <w:sz w:val="20"/>
          <w:szCs w:val="20"/>
          <w:color w:val="auto"/>
        </w:rPr>
      </w:pP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w:t>
      </w:r>
    </w:p>
    <w:p>
      <w:pPr>
        <w:spacing w:after="0" w:line="4" w:lineRule="exact"/>
        <w:rPr>
          <w:sz w:val="20"/>
          <w:szCs w:val="20"/>
          <w:color w:val="auto"/>
        </w:rPr>
      </w:pPr>
    </w:p>
    <w:p>
      <w:pPr>
        <w:ind w:left="980" w:right="580"/>
        <w:spacing w:after="0" w:line="228" w:lineRule="auto"/>
        <w:rPr>
          <w:sz w:val="20"/>
          <w:szCs w:val="20"/>
          <w:color w:val="auto"/>
        </w:rPr>
      </w:pPr>
      <w:r>
        <w:rPr>
          <w:rFonts w:ascii="Times New Roman" w:cs="Times New Roman" w:eastAsia="Times New Roman" w:hAnsi="Times New Roman"/>
          <w:sz w:val="14"/>
          <w:szCs w:val="14"/>
          <w:color w:val="auto"/>
        </w:rPr>
        <w:t>or can be derived principally from or corroborated by observable market data. This category generally includes certain U.S. Government and agency mortgage-backed debt securities, derivative contracts and loans held-for-sale.</w:t>
      </w:r>
    </w:p>
    <w:p>
      <w:pPr>
        <w:spacing w:after="0" w:line="47" w:lineRule="exact"/>
        <w:rPr>
          <w:sz w:val="20"/>
          <w:szCs w:val="20"/>
          <w:color w:val="auto"/>
        </w:rPr>
      </w:pPr>
    </w:p>
    <w:p>
      <w:pPr>
        <w:ind w:left="980" w:right="180" w:hanging="724"/>
        <w:spacing w:after="0" w:line="218" w:lineRule="auto"/>
        <w:tabs>
          <w:tab w:leader="none" w:pos="960" w:val="left"/>
        </w:tabs>
        <w:rPr>
          <w:sz w:val="20"/>
          <w:szCs w:val="20"/>
          <w:color w:val="auto"/>
        </w:rPr>
      </w:pPr>
      <w:r>
        <w:rPr>
          <w:rFonts w:ascii="Times New Roman" w:cs="Times New Roman" w:eastAsia="Times New Roman" w:hAnsi="Times New Roman"/>
          <w:sz w:val="14"/>
          <w:szCs w:val="14"/>
          <w:b w:val="1"/>
          <w:bCs w:val="1"/>
          <w:color w:val="auto"/>
        </w:rPr>
        <w:t>Level 3</w:t>
      </w:r>
      <w:r>
        <w:rPr>
          <w:sz w:val="20"/>
          <w:szCs w:val="20"/>
          <w:color w:val="auto"/>
        </w:rPr>
        <w:tab/>
      </w:r>
      <w:r>
        <w:rPr>
          <w:rFonts w:ascii="Times New Roman" w:cs="Times New Roman" w:eastAsia="Times New Roman" w:hAnsi="Times New Roman"/>
          <w:sz w:val="14"/>
          <w:szCs w:val="14"/>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generally includes certain private equity investments, retained residual interests</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 securitizations, residential mortgage servicing assets, warrant liabilities, joint ventures, guaranteed loans held at fair value, and highly structured or long-term derivative contracts.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Instruments</w:t>
      </w:r>
    </w:p>
    <w:p>
      <w:pPr>
        <w:spacing w:after="0" w:line="20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Level 1 assets and liabilities were valued using quoted market prices. Level 2 assets and liabilities were valued using market consensus prices that are corroborated by observable market data and quoted market prices for similar assets and liabilities. Level 3 assets and liabilities were valued at fair value as determined in good faith by the Board, based on input of management, the audit committee and independent valuation firms that were engaged at the direction of the Board to assist in the valuation of certain portfolio investments without a readily available market quotation at least once during a trailing twelve-month period under a valuation policy and a consistently applied valuation process.</w:t>
      </w:r>
    </w:p>
    <w:p>
      <w:pPr>
        <w:spacing w:after="0" w:line="140"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For certain investments, the Company generally calculated the fair value of the investment primarily based on the NAV of the entity and adjusted the fair value for other factors that would affect the fair value of the investment. The Company used this valuation approach for its investment in its joint ventures.</w:t>
      </w:r>
    </w:p>
    <w:p>
      <w:pPr>
        <w:spacing w:after="0" w:line="14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Due to the inherent uncertainty of determining the fair value of Level 3 investments that do not have a readily available market value, the fair value of the investments may differ significantly from the values that would have been used had a ready market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97" w:right="339" w:bottom="1440" w:gutter="0" w:footer="0" w:header="0"/>
        </w:sectPr>
      </w:pPr>
    </w:p>
    <w:bookmarkStart w:id="72" w:name="page73"/>
    <w:bookmarkEnd w:id="72"/>
    <w:p>
      <w:pPr>
        <w:spacing w:after="0" w:line="270" w:lineRule="auto"/>
        <w:rPr>
          <w:sz w:val="20"/>
          <w:szCs w:val="20"/>
          <w:color w:val="auto"/>
        </w:rPr>
      </w:pPr>
      <w:r>
        <w:rPr>
          <w:rFonts w:ascii="Times New Roman" w:cs="Times New Roman" w:eastAsia="Times New Roman" w:hAnsi="Times New Roman"/>
          <w:sz w:val="14"/>
          <w:szCs w:val="14"/>
          <w:color w:val="auto"/>
        </w:rPr>
        <w:t>The Company’s investments are subject to market risk. Market risk is the potential for changes in the value due to market changes. Market risk is directly impacted by the volatility and liquidity in the markets in which the investments are traded. See NOTE 1—DESCRIPTION OF BUSINESS AND BASIS OF PRESENTATION under the heading “Fair Value Measurements” and NOTE 9—FAIR VALUE MEASUREMENTS for a detailed discussion of determining fair value, including pricing validation processes.</w:t>
      </w:r>
    </w:p>
    <w:p>
      <w:pPr>
        <w:spacing w:after="0" w:line="15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believe our portfolio as of March 31, 2024 and December 31, 2023 approximates fair value as of those dates based on the markets in which we operate and other conditions in existence on those reporting dates.</w:t>
      </w:r>
    </w:p>
    <w:p>
      <w:pPr>
        <w:spacing w:after="0" w:line="14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As of January 6, 2023, the Company no longer qualifies as a regulated investment company for federal income tax purposes and no longer qualifies for accounting treatment as an investment company and therefore, we no longer fair value the investments in our portfolio companies. During this wind-down of NSBF’s operations, NSBF will be required to continue to own its SBA 7(a) loans and PPP Loans in its SBA loan portfolio to maturity, liquidation, charge-off, or (subject to SBA’s prior written approval), sale or transfer. In addition, NSBF will be required to continue to service and liquidate its SBA Loan Portfolio, including processing forgiveness and loan reviews for PPP Loans, pursuant to an SBA approved lender service provider agreement with SBL. The Company will continue to measure NSBF’s SBA 7(a) loan portfolio at fair value until the portfolio is completely runoff. The Company reports both realized and unrealized gains and losses relating to the fair value adjustments on the legacy NSBF SBA 7(a) portfolio.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1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 xml:space="preserve">The allowance for credit losses consists of the allowance for credit losses and the reserve for unfunded commitments. As a result of the Company’s Acquisition the adoption of ASU 2016-13, </w:t>
      </w:r>
      <w:r>
        <w:rPr>
          <w:rFonts w:ascii="Times New Roman" w:cs="Times New Roman" w:eastAsia="Times New Roman" w:hAnsi="Times New Roman"/>
          <w:sz w:val="14"/>
          <w:szCs w:val="14"/>
          <w:i w:val="1"/>
          <w:iCs w:val="1"/>
          <w:color w:val="auto"/>
        </w:rPr>
        <w:t xml:space="preserve">Financial Instruments - Credit Losses (Topic 326): Measurement of Credit Losses on Financial Instruments </w:t>
      </w:r>
      <w:r>
        <w:rPr>
          <w:rFonts w:ascii="Times New Roman" w:cs="Times New Roman" w:eastAsia="Times New Roman" w:hAnsi="Times New Roman"/>
          <w:sz w:val="14"/>
          <w:szCs w:val="14"/>
          <w:color w:val="auto"/>
        </w:rPr>
        <w:t>(“CECL”) and its related amendments, we developed a methodology for estimating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reserve for credit losses. The standard replaced the “incurred loss” approach with an “expected loss” approach known as current expected credit loss. The CECL approach requires an estimate of the credit losses expected over the life of an exposure (or pool of exposures). It removes the incurred loss approach’s threshold that delayed the recognition of a credit loss until it was “probable” a loss event was “incurred.” 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period from which historical experience was used. Finally, the Company considers forecasts about future economic conditions that are reasonable and supportable. The reserve for unfunded commitments represents the expected credit losses on off-balance sheet commitments such as unfunded commitments to extend credit and standby letters of credit. However, a liability is not recognized for commitments unconditionally cancellable by the Company. The reserve for unfunded commitments is determined by estimating future draws and applying the expected loss rates on those draws.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Management of the Company considers the accounting policy relating to the allowance for credit losses to be a critical accounting policy given the uncertainty in evaluating the level of the allowance required to cover management’s estimate of all expected credit losses over the expected contractual life of our loan portfolio. Determining the appropriateness of the allowance is complex and requires judgment by management about the effect of matters that are inherently uncertain. Subsequent evaluations of the then-existing loan portfolio and other financial assets to which CECL applies, in light of the factors then prevailing, may result in significant changes in the allowance for credit losses in those future periods. While management’s current evaluation of the allowance for credit losses indicates that the allowance is appropriate, the allowance may need to be increased under adversely different conditions or assumptions. 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in the reserve for credit losses, and therefore, greater volatility to our reported earnings.</w:t>
      </w:r>
    </w:p>
    <w:p>
      <w:pPr>
        <w:spacing w:after="0" w:line="16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Consideration of losses occurs when serious doubt regarding the repayment of the loan is present. For real estate loans, current appraisals will aid in determining the amount to be charged off. For commercial loans, collateral valuations and borrower guarantees should be considered; however, weight to these two sources should be limited. Once a deficiency in collateral is determined, a reserve equal to the deficiency should be made immediately to the Allowance for Credit Losses (ACL). A charge off should be made within 90 days if a full analysis confirms the deficiency cannot be covered via additional collateral or resources of the borrower or guarantors.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i w:val="1"/>
          <w:iCs w:val="1"/>
          <w:color w:val="auto"/>
        </w:rPr>
        <w:t>Nonaccrual Loans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As a general rule, the Company does not accrue interest, amortize deferred net loan fees or costs, or accrete discount on any loan (1) which is maintained on a cash basis because of deterioration in the financial condition of the borrower, (2) for which payment in full of principal or interest is not expected, or (3) upon which principal or interest has been in default for a period of 90 days or more unless the asset is both well secured and in the process of collection.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 loan is “well secured” if it is secured (1) by collateral in the form of liens on or pledges of real or personal property, including securities, that have a realizable value sufficient to discharge the debt (including accrued interest) in full, or (2) by the guarantee of a financially responsible party. A loan is “in the process of collection” if collection of the asset is proceeding in due course either (1) through legal action, including judgment enforcement procedures, or (2) in appropriate circumstances, through collections efforts not involving legal action which are reasonably expected to result in repayment of the debt or in its restoration to a current status in the near future.</w:t>
      </w:r>
    </w:p>
    <w:p>
      <w:pPr>
        <w:spacing w:after="0" w:line="17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4"/>
          <w:szCs w:val="14"/>
          <w:color w:val="auto"/>
        </w:rPr>
        <w:t>A non-accrual loan may be restored to accrual status when (1) none of its principal and interest is due and unpaid, and the Company expects repayment of the remaining contractual principal and interest, or (2) when it otherwise becomes well secured in the process of collection. If any interest payments received while the asset was in nonaccrual status were applied to reduce the recorded investment in, or the amortized cost basis of, the asset, as applicable, the application of these payments to the asset’s recorded investment or amortize cost basis, as applicable should not be reversed (and interest income should not be credited) when the asset is returned to accrual status.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Servicing Assets</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For the quarterly period ended March 31, 2024, the Company accounted for servicing assets in accordance with ASC Topic 860-50 - Transfers and Servicing - Servicing Assets and Liabilities. The Company and Newtek Bank earn servicing fees from the guaranteed portions of SBA 7(a) loans they originate and sell.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Recognition</w:t>
      </w:r>
    </w:p>
    <w:p>
      <w:pPr>
        <w:spacing w:after="0" w:line="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4"/>
          <w:szCs w:val="14"/>
          <w:color w:val="auto"/>
        </w:rPr>
        <w:t>For the quarterly period ended March 31, 2024, management reviewed all loans that became 90 days or more past due on principal or interest or when there was reasonable doubt that principal or interest would be collected for possible placement on management’s designation of non-accrual status. Interest receivable was analyzed regularly and reserved against when deemed uncollectible. Interest payments received on non-accrual loans were recognized as income or applied to principal depending upon management’s judgment regarding collectability. Non-accrual loans were restored to accrual status when past due principal and interest was paid and, in management’s judgment, were likely to remain current, although there may have been exceptions to this general rule if the loan had sufficient collateral value and was in the process of collection.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under the PPP that began in the second quarter of 2020, the SBA reimbursed the Company for originating loans. Such SBA reimbursements are included as interest income on PPP loans.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fees are accounted for under ASC-310 Receivables and deferred until the loan was sold to one of our Participants. Income earned in connection with the PPP should not be viewed as recurring.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NSBF funded the balance of its PPP loans by the end of July 2021. NSBF has redeployed the resources used to generate PPP loans to the origination of SBA 7(a) loans.</w:t>
      </w:r>
    </w:p>
    <w:p>
      <w:pPr>
        <w:spacing w:after="0" w:line="18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For the quarterly period ended March 31, 2024, we received servicing income related to the guaranteed portions of SBA loan investments which we sell into the secondary market. These recurring fees were earned and recorded daily. Servicing income was earned for the full term of the loan or until the loan is repaid.</w:t>
      </w:r>
    </w:p>
    <w:p>
      <w:pPr>
        <w:spacing w:after="0" w:line="14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For the quarterly period ended March 31, 2024, we received a variety of fees from borrowers in the ordinary course of conducting our business, including packaging fees, legal fees, late fees and prepayment fees. All other income was recorded when earned.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quarterly period ended March 31, 2024, distributions of earnings from our joint ventures were evaluated to determine if the distribution is income, return of capital or realized gain.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4" w:name="page75"/>
    <w:bookmarkEnd w:id="74"/>
    <w:p>
      <w:pPr>
        <w:ind w:right="120"/>
        <w:spacing w:after="0" w:line="253" w:lineRule="auto"/>
        <w:rPr>
          <w:sz w:val="20"/>
          <w:szCs w:val="20"/>
          <w:color w:val="auto"/>
        </w:rPr>
      </w:pPr>
      <w:r>
        <w:rPr>
          <w:rFonts w:ascii="Times New Roman" w:cs="Times New Roman" w:eastAsia="Times New Roman" w:hAnsi="Times New Roman"/>
          <w:sz w:val="14"/>
          <w:szCs w:val="14"/>
          <w:color w:val="auto"/>
        </w:rPr>
        <w:t>Following our January 2023 conversion to a financial holding company, we generate income in the form of interest, servicing and other fee income on the loans we and Newtek Bank originate. In addition, our portfolio companies became consolidating subsidiaries of the Company in 2023 and therefore, under the new organizational structure, their income is consolidated within the statement of operations along with our joint ventures. With the inclusion of NMS, NIA, PMT, and NTS, we now report Technology and IT Support Income and Electronic Payment Processing Income on our consolidated statements of income, and we include insurance commissions income and payroll processing income within Other Noninterest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Determination of Provision for Income Taxes and Related Accounts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income tax expense, deferred tax assets and liabilities, and reserves for unrecognized tax benefits reflect management’s best assessment of estimated current and future taxes to be paid. We are subject to income taxes in the United States. We file income tax returns in approximately 47 jurisdictions: federal, state, and local. The laws and regulations of each jurisdiction are complex and may be subject to different interpretations. Significant judgments and estimates are required in determining consolidated income tax expense for each jurisdiction. Our interpretations of tax laws are subject to audits by various jurisdictions. Potential difference in the interpretation or changes in the tax laws may result in additional accrual of income tax expense or benefit, which could be material to our reported results. We consistently monitor new and reassess existing tax laws for changes and adjust our tax estimates accordingly.</w:t>
      </w:r>
    </w:p>
    <w:p>
      <w:pPr>
        <w:spacing w:after="0" w:line="1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provision for income taxes is comprised of current and deferred income taxes. Deferred income taxes arise from temporary differences between the tax and financial statement recognition of revenue and expense. 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results of operations. In projecting future taxable income, we begin with historical results adjusted for changes in accounting policies and incorporate assumptions about the amount of future state, federal, and foreign pretax operating income, the reversal of temporary differences, and the implementation of feasible and prudent tax planning strategies. These assumptions about future taxable income require significant judgment and are consistent with the plans and estimates we are using to manage the underlying businesses. In evaluating the objective evidence that historical results provide, we consider three years of cumulative operating income (loss).</w:t>
      </w:r>
    </w:p>
    <w:p>
      <w:pPr>
        <w:spacing w:after="0" w:line="16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At least annually, we consider existing evidence, both positive and negative, that could impact our view with regard to future realization of deferred tax assets. We currently hold deferred tax asset attributes related to net operating tax loss carryforwards. We perform regular assessments to determine whether our tax attributes are realizable. As of December 31, 2023, we continue to believe it is more likely than not that the benefit for certain state net operating loss carryforwards will not be realized.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regarding our provision for income taxes, refer to NOTE 18—INCOME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 and New Accounting Standards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2—SIGNIFICANT ACCOUNTING POLICIES for information on recently adopted accounting pronouncements and new accounting standards.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 Balance Sheet Arrangements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the Company enters into various transactions to meet the financing needs of clients, which, in accordance with GAAP, are not included in the consolidated balance sheets. These transactions may include commitments to extend credit, standby letters of credit, and the construction phase of SBA 504 loans, which involve, to varying degrees, elements of credit risk and interest rate risk in excess of the amounts recognized in the consolidated balance sheets. The SBA 504 loans are expected to partially draw, if not fully draw. All off-balance sheet commitments are included in the determination of the amount of risk-based capital that the Company and Newtek Bank are required to hold.</w:t>
      </w:r>
    </w:p>
    <w:p>
      <w:pPr>
        <w:spacing w:after="0" w:line="162"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The Company’s exposure to credit loss in the event of non-performance by the other party to the financial instrument for commitments to extend credit, standby letters of credit, and commercial letters of credit is represented by the contractual or notional amount of those instruments. The Company manages risk of exposure to credit losses under these commitments by subjecting them to credit approval and monitoring procedures. The Company assesses the credit risk associated with certain commitments to extend credit and establishes a liability for probable credit losses.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 information related to financial instruments can be found in NOTE 13—COMMITMENTS AND CONTINGENCIES.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20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The Company performed a review of events subsequent to the balance sheet date through the date the financial statements were issued and determined that there were no such events requiring recognition or disclosure in the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91"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4"/>
          <w:szCs w:val="14"/>
          <w:color w:val="auto"/>
        </w:rPr>
        <w:t>We consider the principal types of risk in our business activities to be fluctuations in interest rates, the ability to raise funds (deposits, debt, and or equity) to fund our operations, and the availability of the secondary market for our SBA loans. Risk management systems and procedures are designed to identify and analyze our risks, to set appropriate policies and limits and to continually monitor these risks and limits by means of reliable administrative and information systems and other policies and programs.</w:t>
      </w:r>
    </w:p>
    <w:p>
      <w:pPr>
        <w:spacing w:after="0" w:line="15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The Company’s interest rate profile on loans is based on a mix of fixed and variable rates. The same is true for its sources of funding (deposits, warehouse lines of credit, securitization trust notes, public notes, etc.). Some of our assets and liabilities are match funded, meaning that the interest rate and duration profiles are closely linked. Managing interest rate risk with matched funding means</w:t>
      </w:r>
    </w:p>
    <w:p>
      <w:pPr>
        <w:spacing w:after="0" w:line="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that movements in interest rates are expected to largely offset between income from assets and expenses on liabilities. For the remainder of our balance sheet, we largely take a portfolio approach to managing interest rate and liquidity risk that is inherently imprecise.</w:t>
      </w:r>
    </w:p>
    <w:p>
      <w:pPr>
        <w:spacing w:after="0" w:line="14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depends on the availability of secondary market purchasers of our loans held for sale, but primarily for the guaranteed portions of SBA loans and the premium received on such sales to support its lending operations. Sale prices for guaranteed portions of SBA 7(a) loans could be negatively impacted by market conditions, in particular a higher interest rate environment, which typically lead to higher prepayments during the period, resulting in lower sale prices in the secondary market. A reduction in the price of guaranteed portions of SBA 7(a) loans or disruptions in the markets to which we sell could negatively impact our business.</w:t>
      </w:r>
    </w:p>
    <w:p>
      <w:pPr>
        <w:spacing w:after="0" w:line="151"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4"/>
          <w:szCs w:val="14"/>
          <w:color w:val="auto"/>
        </w:rPr>
        <w:t>The Company’s invested cash (includes cash and cash equivalents and restricted cash) of approximately $163.2 million is subject to changes in the Federal Funds rate set by the Federal Open Market Committee. We do not purchase or hold derivative financial instruments for trading purposes. All of our transactions are conducted in U.S. dollars and we do not have any foreign currency or foreign exchange risk. We do not trade commodities or have any commodity price risk.</w:t>
      </w:r>
    </w:p>
    <w:p>
      <w:pPr>
        <w:spacing w:after="0" w:line="16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believe that we have placed our cash investments and their equivalents, which include deposits at other institutions, with high credit-quality financial institutions. As of March 31, 2024, cash deposits in excess of insured amounts totaled approximately $34.2 million. The Company and its non-bank subsidiaries have deposit accounts at Newtek Bank that total $52.3 million, of which $49.5 million is uninsured.</w:t>
      </w:r>
    </w:p>
    <w:p>
      <w:pPr>
        <w:spacing w:after="0" w:line="14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Interest rate risk is a significant market risk and can result from timing and volume differences in the repricing of rate-sensitive assets and liabilities, widening or tightening of credit spreads, changes in the general level of market interest rates and changes in the shape and level of market yield curves. The Company manages the interest rate sensitivity of interest-bearing liabilities and interest-earning assets in an effort to minimize the adverse effects of changes in the interest rate environment balanced against maximizing profit. Management of interest rate risk is carried out primarily through strategies involving available-for-sale securities, loan and lease portfolio, and available funding sources.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Newtek Bank board of directors has established an Asset/Liability Committee (the “ALCO Committee”) to oversee the implementation of an effective process for managing the risk profile inherent in Newtek Bank’s balance sheet and related business activities as well as the ongoing monitoring and reporting thereon. Risks inherent in Newtek Bank’s balance sheet include interest rate risk (i.e., the risk to liquidity and capital resulting from changes in interest rates), liquidity risk (the risk to the availability of funds to execute its business strategy and meet its obligations), and similar risks. The ALCO Committee, subject to Newtek Bank board approval, is responsible for establishing policies, risk limits and capital levels (collectively “ALM Policies”) as well overseeing and monitoring compliance therewith. Newtek Bank’s ALM Policies set forth a risk management framework relating to managing liquidity, managing fluctuations in interest rates, capital management, investments, and hedging and the use of derivatives. The ALCO Committee and Newtek Bank’s board may implement additional policies and procedures relating to these areas in order to manage risk to an appropriate level.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97" w:right="359" w:bottom="1440" w:gutter="0" w:footer="0" w:header="0"/>
        </w:sectPr>
      </w:pPr>
    </w:p>
    <w:bookmarkStart w:id="76" w:name="page77"/>
    <w:bookmarkEnd w:id="76"/>
    <w:p>
      <w:pPr>
        <w:ind w:right="120"/>
        <w:spacing w:after="0" w:line="259" w:lineRule="auto"/>
        <w:rPr>
          <w:sz w:val="20"/>
          <w:szCs w:val="20"/>
          <w:color w:val="auto"/>
        </w:rPr>
      </w:pPr>
      <w:r>
        <w:rPr>
          <w:rFonts w:ascii="Times New Roman" w:cs="Times New Roman" w:eastAsia="Times New Roman" w:hAnsi="Times New Roman"/>
          <w:sz w:val="14"/>
          <w:szCs w:val="14"/>
          <w:color w:val="auto"/>
        </w:rPr>
        <w:t>The matching of assets and liabilities may be analyzed by examining the extent to which such assets and liabilities are “interest rate sensitive.” An asset or liability is said to be interest rate sensitive within a specific time period if it will mature or reprice within that time period. The Company analyzes interest rate sensitivity position to manage the risk associated with interest rate movements through the use of two simulation models: economic value of equity (“EVE”) and net interest income (“NII”) simulations. These simulations project both short-term and long-term interest rate risk under a variety of instantaneous parallel rate shocks applied to a static balance sheet. The EVE simulation provides a long-term view of interest rate risk because it analyzes all of the Company’s future cash flows. EVE is defined as the present value of the Company’s assets, less the present value of its liabilities, adjusted for any off-balance sheet items. The results show a theoretical change in the economic value of shareholders’ equity as interest rates change.</w:t>
      </w:r>
    </w:p>
    <w:p>
      <w:pPr>
        <w:spacing w:after="0" w:line="1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EVE and NII simulations are completed routinely on Newtek Bank’s balance sheet and presented to the ALCO Committee. Other positions outside of Newtek Bank are typically match funded or hedged with instruments that have similar terms and/or interest rate features. The simulations provide an estimate of the impact of changes in interest rates on equity and net interest income under a range of assumptions. The numerous assumptions used in the simulation process are provided to the ALCO Committee on at least an annual basis. Changes to these assumptions can significantly affect the results of the simulation. The simulation incorporates assumptions regarding the potential timing in the repricing of certain assets and liabilities when market rates change and the changes in spreads between different market rates. The simulation analysis incorporates management’s current assessment of the risk that pricing margins will change adversely over time due to competition or other factors. Simulation analysis is only an estimate of interest rate risk exposure at a particular point in time. The Company regularly models various forecasted rate projections with non-parallel shifts that are reflective of potential current rate environment outcomes. Under these scenarios, the Company’s interest rate risk profile may increase in asset sensitivity, decrease in asset sensitivity, or depending on the scenario and timing of anticipated rate changes, may transition to a liability sensitive interest rate risk profile. Regular, robust modeling of various interest rate outcomes allows the Company to properly assess and manage potential risks from various rate shifts.</w:t>
      </w:r>
    </w:p>
    <w:p>
      <w:pPr>
        <w:spacing w:after="0" w:line="16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Estimated Changes in EVE and NII. The table below sets forth, as of March 31, 2024, the estimated changes in our (i) EVE that would result from the designated instantaneous changes in the forward rate curves; and (ii) NII that would result from the designated instantaneous changes in the U.S. Treasury yield curve, Prime Rate and the Secured Overnight Finance Rate. Computations of prospective effects of hypothetical interest rate changes are based on numerous assumptions including relative levels of market interest rates, loan prepayments and deposit decay, and should not be relied on as indicative of actual results.</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Basis Point ("bp") Change in</w:t>
            </w:r>
          </w:p>
        </w:tc>
        <w:tc>
          <w:tcPr>
            <w:tcW w:w="5080" w:type="dxa"/>
            <w:vAlign w:val="bottom"/>
            <w:tcBorders>
              <w:bottom w:val="single" w:sz="8" w:color="auto"/>
            </w:tcBorders>
            <w:gridSpan w:val="4"/>
          </w:tcPr>
          <w:p>
            <w:pPr>
              <w:ind w:left="1600"/>
              <w:spacing w:after="0"/>
              <w:rPr>
                <w:sz w:val="20"/>
                <w:szCs w:val="20"/>
                <w:color w:val="auto"/>
              </w:rPr>
            </w:pPr>
            <w:r>
              <w:rPr>
                <w:rFonts w:ascii="Times New Roman" w:cs="Times New Roman" w:eastAsia="Times New Roman" w:hAnsi="Times New Roman"/>
                <w:sz w:val="11"/>
                <w:szCs w:val="11"/>
                <w:color w:val="auto"/>
              </w:rPr>
              <w:t>Estimated Increase/Decrease in Net Interest Income</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1"/>
                <w:szCs w:val="11"/>
                <w:color w:val="auto"/>
              </w:rPr>
              <w:t>Estimated Percentage Change in EVE</w:t>
            </w:r>
          </w:p>
        </w:tc>
      </w:tr>
      <w:tr>
        <w:trPr>
          <w:trHeight w:val="153"/>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Interest Rates</w:t>
            </w:r>
          </w:p>
        </w:tc>
        <w:tc>
          <w:tcPr>
            <w:tcW w:w="224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12 Months Beginning March 31, 2024</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12 Months Beginning March 31, 2025</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tcPr>
          <w:p>
            <w:pPr>
              <w:jc w:val="right"/>
              <w:ind w:right="794"/>
              <w:spacing w:after="0"/>
              <w:rPr>
                <w:sz w:val="20"/>
                <w:szCs w:val="20"/>
                <w:color w:val="auto"/>
              </w:rPr>
            </w:pPr>
            <w:r>
              <w:rPr>
                <w:rFonts w:ascii="Times New Roman" w:cs="Times New Roman" w:eastAsia="Times New Roman" w:hAnsi="Times New Roman"/>
                <w:sz w:val="11"/>
                <w:szCs w:val="11"/>
                <w:color w:val="auto"/>
              </w:rPr>
              <w:t>As of March 31, 2024</w:t>
            </w:r>
          </w:p>
        </w:tc>
      </w:tr>
      <w:tr>
        <w:trPr>
          <w:trHeight w:val="177"/>
        </w:trPr>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3"/>
              </w:rPr>
              <w:t>11.1%</w:t>
            </w:r>
          </w:p>
        </w:tc>
        <w:tc>
          <w:tcPr>
            <w:tcW w:w="14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3"/>
              </w:rPr>
              <w:t>12.6%</w:t>
            </w:r>
          </w:p>
        </w:tc>
        <w:tc>
          <w:tcPr>
            <w:tcW w:w="10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27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0.7</w:t>
            </w:r>
          </w:p>
        </w:tc>
      </w:tr>
      <w:tr>
        <w:trPr>
          <w:trHeight w:val="180"/>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6"/>
              </w:rPr>
              <w:t>(2.4)</w:t>
            </w:r>
          </w:p>
        </w:tc>
        <w:tc>
          <w:tcPr>
            <w:tcW w:w="14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6"/>
              </w:rPr>
              <w:t>(3.9)</w:t>
            </w: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(0.3)</w:t>
            </w:r>
          </w:p>
        </w:tc>
      </w:tr>
      <w:tr>
        <w:trPr>
          <w:trHeight w:val="184"/>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96"/>
              </w:rPr>
              <w:t>(3.3)</w:t>
            </w: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96"/>
              </w:rPr>
              <w:t>(5.8)</w:t>
            </w:r>
          </w:p>
        </w:tc>
        <w:tc>
          <w:tcPr>
            <w:tcW w:w="100" w:type="dxa"/>
            <w:vAlign w:val="bottom"/>
          </w:tcPr>
          <w:p>
            <w:pPr>
              <w:spacing w:after="0"/>
              <w:rPr>
                <w:sz w:val="16"/>
                <w:szCs w:val="16"/>
                <w:color w:val="auto"/>
              </w:rPr>
            </w:pPr>
          </w:p>
        </w:tc>
        <w:tc>
          <w:tcPr>
            <w:tcW w:w="27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(0.7)</w:t>
            </w:r>
          </w:p>
        </w:tc>
      </w:tr>
    </w:tbl>
    <w:p>
      <w:pPr>
        <w:spacing w:after="0" w:line="2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Rates are increased instantaneously at the beginning of the projection. The Company is asset sensitive, as the Company’s variable rate loan portfolio reprices the full amount of the assumed change in interest rates, while fixed-rate Company notes will reprice on maturity and the retail savings and short-term retail certificates of deposits portfolio will reprice with an assumed beta. Interest rates do not normally move all at once or evenly over time, but management believes that the analysis is useful to understanding the potential direction and magnitude of net interest income changes due to changing interest rates.</w:t>
      </w:r>
    </w:p>
    <w:p>
      <w:pPr>
        <w:spacing w:after="0" w:line="16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EVE analysis shows that the Company would theoretically modestly increase market value in a rising rate environment. The EVE asset sensitivity results from the combination of fixed-rate debt and variable-rate debt which funds the variable-rate loan portfolio outside of Newtek Bank.</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91"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4"/>
          <w:szCs w:val="14"/>
          <w:color w:val="auto"/>
        </w:rPr>
        <w:t>As of March 31, 2024 (the end of the period covered by this report), management evaluated the effectiveness of the design and operation of the Company’s disclosure controls and procedures (as defined in Rule 13a-15(e) of the Exchange Act).</w:t>
      </w:r>
    </w:p>
    <w:p>
      <w:pPr>
        <w:spacing w:after="0" w:line="157" w:lineRule="exact"/>
        <w:rPr>
          <w:sz w:val="20"/>
          <w:szCs w:val="20"/>
          <w:color w:val="auto"/>
        </w:rPr>
      </w:pPr>
    </w:p>
    <w:p>
      <w:pPr>
        <w:jc w:val="both"/>
        <w:ind w:right="240"/>
        <w:spacing w:after="0" w:line="234" w:lineRule="auto"/>
        <w:rPr>
          <w:sz w:val="20"/>
          <w:szCs w:val="20"/>
          <w:color w:val="auto"/>
        </w:rPr>
      </w:pPr>
      <w:r>
        <w:rPr>
          <w:rFonts w:ascii="Times New Roman" w:cs="Times New Roman" w:eastAsia="Times New Roman" w:hAnsi="Times New Roman"/>
          <w:sz w:val="14"/>
          <w:szCs w:val="14"/>
          <w:color w:val="auto"/>
        </w:rPr>
        <w:t>Based on the evaluation of our disclosure controls and procedures, management concluded that the Company’s disclosure controls and procedures were not effective as of March 31, 2024, due to certain identified material weaknesses in the Company’s internal control over financial reporting (“ICFR”) that are described in Part II, Item 9A of our 2023 Form 10-K. A material weakness (as defined in Rule 12b-2 under the Exchange Act) is a deficiency, or combination of deficiencies, in ICFR such that there is a reasonable possibility that a material misstatement of annual or interim financial statements will be presented or not detected on a timely basis.</w:t>
      </w:r>
    </w:p>
    <w:p>
      <w:pPr>
        <w:spacing w:after="0" w:line="1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Based on additional analysis and other procedures performed by the Company, management concluded that the Consolidated Financial Statements included in this report fairly present in all material respects the Company’s financial position, results of operations, capital position, and cash flows for the periods presented, in conformity with U.S. GAAP.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81"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Except as described below under “Remediation Process,” there were no changes in the Company’s ICFR (as defined in Rule 13a-15(f) of the Exchange Act) that occurred during our most recently completed fiscal quarter, that have materially affected, or are reasonably likely to materially affect, the Company’s ICFR.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Remediation Process</w:t>
      </w:r>
    </w:p>
    <w:p>
      <w:pPr>
        <w:spacing w:after="0" w:line="181" w:lineRule="exact"/>
        <w:rPr>
          <w:sz w:val="20"/>
          <w:szCs w:val="20"/>
          <w:color w:val="auto"/>
        </w:rPr>
      </w:pPr>
    </w:p>
    <w:p>
      <w:pPr>
        <w:ind w:right="520"/>
        <w:spacing w:after="0" w:line="253" w:lineRule="auto"/>
        <w:rPr>
          <w:sz w:val="20"/>
          <w:szCs w:val="20"/>
          <w:color w:val="auto"/>
        </w:rPr>
      </w:pPr>
      <w:r>
        <w:rPr>
          <w:rFonts w:ascii="Times New Roman" w:cs="Times New Roman" w:eastAsia="Times New Roman" w:hAnsi="Times New Roman"/>
          <w:sz w:val="14"/>
          <w:szCs w:val="14"/>
          <w:color w:val="auto"/>
        </w:rPr>
        <w:t>Following the identification of the material weaknesses to which are referred above, with the oversight of the Audit Committee of our board of directors (“Audit Committee” and “Board,” respectively), we commenced a process to remediate the underlying causes of those material weaknesses, enhance the control environment and strengthen our ICFR. The initial steps that the</w:t>
      </w:r>
    </w:p>
    <w:p>
      <w:pPr>
        <w:ind w:right="340"/>
        <w:spacing w:after="0" w:line="255" w:lineRule="auto"/>
        <w:rPr>
          <w:sz w:val="20"/>
          <w:szCs w:val="20"/>
          <w:color w:val="auto"/>
        </w:rPr>
      </w:pPr>
      <w:r>
        <w:rPr>
          <w:rFonts w:ascii="Times New Roman" w:cs="Times New Roman" w:eastAsia="Times New Roman" w:hAnsi="Times New Roman"/>
          <w:sz w:val="14"/>
          <w:szCs w:val="14"/>
          <w:color w:val="auto"/>
        </w:rPr>
        <w:t>Company has taken are described in in Part II, Item 9A of our 2023 Form 10-K. Additional steps taken to-date with respect to remediation of the material weaknesses identified are summarized below:</w:t>
      </w:r>
    </w:p>
    <w:p>
      <w:pPr>
        <w:spacing w:after="0" w:line="157" w:lineRule="exact"/>
        <w:rPr>
          <w:sz w:val="20"/>
          <w:szCs w:val="20"/>
          <w:color w:val="auto"/>
        </w:rPr>
      </w:pPr>
    </w:p>
    <w:p>
      <w:pPr>
        <w:ind w:left="500" w:hanging="240"/>
        <w:spacing w:after="0"/>
        <w:tabs>
          <w:tab w:leader="none" w:pos="500" w:val="left"/>
        </w:tabs>
        <w:numPr>
          <w:ilvl w:val="0"/>
          <w:numId w:val="37"/>
        </w:numPr>
        <w:rPr>
          <w:rFonts w:ascii="Arial" w:cs="Arial" w:eastAsia="Arial" w:hAnsi="Arial"/>
          <w:sz w:val="16"/>
          <w:szCs w:val="16"/>
          <w:color w:val="auto"/>
        </w:rPr>
      </w:pPr>
      <w:r>
        <w:rPr>
          <w:rFonts w:ascii="Times New Roman" w:cs="Times New Roman" w:eastAsia="Times New Roman" w:hAnsi="Times New Roman"/>
          <w:sz w:val="14"/>
          <w:szCs w:val="14"/>
          <w:color w:val="auto"/>
        </w:rPr>
        <w:t>Established a comprehensive remediation plan that was reviewed and approved by our Board.</w:t>
      </w:r>
    </w:p>
    <w:p>
      <w:pPr>
        <w:spacing w:after="0" w:line="1" w:lineRule="exact"/>
        <w:rPr>
          <w:rFonts w:ascii="Arial" w:cs="Arial" w:eastAsia="Arial" w:hAnsi="Arial"/>
          <w:sz w:val="16"/>
          <w:szCs w:val="16"/>
          <w:color w:val="auto"/>
        </w:rPr>
      </w:pPr>
    </w:p>
    <w:p>
      <w:pPr>
        <w:ind w:left="500" w:hanging="240"/>
        <w:spacing w:after="0" w:line="219" w:lineRule="auto"/>
        <w:tabs>
          <w:tab w:leader="none" w:pos="500" w:val="left"/>
        </w:tabs>
        <w:numPr>
          <w:ilvl w:val="0"/>
          <w:numId w:val="37"/>
        </w:numPr>
        <w:rPr>
          <w:rFonts w:ascii="Arial" w:cs="Arial" w:eastAsia="Arial" w:hAnsi="Arial"/>
          <w:sz w:val="16"/>
          <w:szCs w:val="16"/>
          <w:color w:val="auto"/>
        </w:rPr>
      </w:pPr>
      <w:r>
        <w:rPr>
          <w:rFonts w:ascii="Times New Roman" w:cs="Times New Roman" w:eastAsia="Times New Roman" w:hAnsi="Times New Roman"/>
          <w:sz w:val="14"/>
          <w:szCs w:val="14"/>
          <w:color w:val="auto"/>
        </w:rPr>
        <w:t>Engaged a Big 4 public accounting firm to assist with the remediation of the SOX governance program and execution of the remediation plan.</w:t>
      </w:r>
    </w:p>
    <w:p>
      <w:pPr>
        <w:spacing w:after="0" w:line="1" w:lineRule="exact"/>
        <w:rPr>
          <w:rFonts w:ascii="Arial" w:cs="Arial" w:eastAsia="Arial" w:hAnsi="Arial"/>
          <w:sz w:val="16"/>
          <w:szCs w:val="16"/>
          <w:color w:val="auto"/>
        </w:rPr>
      </w:pPr>
    </w:p>
    <w:p>
      <w:pPr>
        <w:ind w:left="500" w:hanging="240"/>
        <w:spacing w:after="0" w:line="207" w:lineRule="auto"/>
        <w:tabs>
          <w:tab w:leader="none" w:pos="500" w:val="left"/>
        </w:tabs>
        <w:numPr>
          <w:ilvl w:val="0"/>
          <w:numId w:val="37"/>
        </w:numPr>
        <w:rPr>
          <w:rFonts w:ascii="Arial" w:cs="Arial" w:eastAsia="Arial" w:hAnsi="Arial"/>
          <w:sz w:val="16"/>
          <w:szCs w:val="16"/>
          <w:color w:val="auto"/>
        </w:rPr>
      </w:pPr>
      <w:r>
        <w:rPr>
          <w:rFonts w:ascii="Times New Roman" w:cs="Times New Roman" w:eastAsia="Times New Roman" w:hAnsi="Times New Roman"/>
          <w:sz w:val="14"/>
          <w:szCs w:val="14"/>
          <w:color w:val="auto"/>
        </w:rPr>
        <w:t>Identified the Chief Risk Officer as the executive sponsor of the SOX program.</w:t>
      </w:r>
    </w:p>
    <w:p>
      <w:pPr>
        <w:ind w:left="500" w:hanging="240"/>
        <w:spacing w:after="0" w:line="219" w:lineRule="auto"/>
        <w:tabs>
          <w:tab w:leader="none" w:pos="500" w:val="left"/>
        </w:tabs>
        <w:numPr>
          <w:ilvl w:val="0"/>
          <w:numId w:val="37"/>
        </w:numPr>
        <w:rPr>
          <w:rFonts w:ascii="Arial" w:cs="Arial" w:eastAsia="Arial" w:hAnsi="Arial"/>
          <w:sz w:val="16"/>
          <w:szCs w:val="16"/>
          <w:color w:val="auto"/>
        </w:rPr>
      </w:pPr>
      <w:r>
        <w:rPr>
          <w:rFonts w:ascii="Times New Roman" w:cs="Times New Roman" w:eastAsia="Times New Roman" w:hAnsi="Times New Roman"/>
          <w:sz w:val="14"/>
          <w:szCs w:val="14"/>
          <w:color w:val="auto"/>
        </w:rPr>
        <w:t>Established a SOX Steering Committee comprised of senior executive management to govern the SOX program and remediation of the previously identified material weaknesses.</w:t>
      </w:r>
    </w:p>
    <w:p>
      <w:pPr>
        <w:spacing w:after="0" w:line="1" w:lineRule="exact"/>
        <w:rPr>
          <w:rFonts w:ascii="Arial" w:cs="Arial" w:eastAsia="Arial" w:hAnsi="Arial"/>
          <w:sz w:val="16"/>
          <w:szCs w:val="16"/>
          <w:color w:val="auto"/>
        </w:rPr>
      </w:pPr>
    </w:p>
    <w:p>
      <w:pPr>
        <w:ind w:left="500" w:hanging="240"/>
        <w:spacing w:after="0" w:line="219" w:lineRule="auto"/>
        <w:tabs>
          <w:tab w:leader="none" w:pos="500" w:val="left"/>
        </w:tabs>
        <w:numPr>
          <w:ilvl w:val="0"/>
          <w:numId w:val="37"/>
        </w:numPr>
        <w:rPr>
          <w:rFonts w:ascii="Arial" w:cs="Arial" w:eastAsia="Arial" w:hAnsi="Arial"/>
          <w:sz w:val="16"/>
          <w:szCs w:val="16"/>
          <w:color w:val="auto"/>
        </w:rPr>
      </w:pPr>
      <w:r>
        <w:rPr>
          <w:rFonts w:ascii="Times New Roman" w:cs="Times New Roman" w:eastAsia="Times New Roman" w:hAnsi="Times New Roman"/>
          <w:sz w:val="14"/>
          <w:szCs w:val="14"/>
          <w:color w:val="auto"/>
        </w:rPr>
        <w:t>Implemented additional layers of review in the process and performance of management review controls.</w:t>
      </w:r>
    </w:p>
    <w:p>
      <w:pPr>
        <w:spacing w:after="0" w:line="1" w:lineRule="exact"/>
        <w:rPr>
          <w:rFonts w:ascii="Arial" w:cs="Arial" w:eastAsia="Arial" w:hAnsi="Arial"/>
          <w:sz w:val="16"/>
          <w:szCs w:val="16"/>
          <w:color w:val="auto"/>
        </w:rPr>
      </w:pPr>
    </w:p>
    <w:p>
      <w:pPr>
        <w:ind w:left="520" w:hanging="260"/>
        <w:spacing w:after="0" w:line="220" w:lineRule="auto"/>
        <w:tabs>
          <w:tab w:leader="none" w:pos="511" w:val="left"/>
        </w:tabs>
        <w:numPr>
          <w:ilvl w:val="0"/>
          <w:numId w:val="37"/>
        </w:numPr>
        <w:rPr>
          <w:rFonts w:ascii="Arial" w:cs="Arial" w:eastAsia="Arial" w:hAnsi="Arial"/>
          <w:sz w:val="16"/>
          <w:szCs w:val="16"/>
          <w:color w:val="auto"/>
        </w:rPr>
      </w:pPr>
      <w:r>
        <w:rPr>
          <w:rFonts w:ascii="Times New Roman" w:cs="Times New Roman" w:eastAsia="Times New Roman" w:hAnsi="Times New Roman"/>
          <w:sz w:val="14"/>
          <w:szCs w:val="14"/>
          <w:color w:val="auto"/>
        </w:rPr>
        <w:t>Strengthened the SOX sub certification process to explicitly require management responsible for the oversight of certain processes and controls within the control environment to attest to the design, implementation, and operating effectiveness of their portion of the control environment on a quarterly basis, as well as communicate any changes thereto.</w:t>
      </w:r>
    </w:p>
    <w:p>
      <w:pPr>
        <w:spacing w:after="0" w:line="16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4"/>
          <w:szCs w:val="14"/>
          <w:color w:val="auto"/>
        </w:rPr>
        <w:t>The status of our remediation plan is being, and will continue to be, reported by management to the Audit Committee on a regular basis. In addition, management has assigned executive owners to oversee the remedial changes to the overall design of the Company’s internal control environment and to address the root causes of our material weaknesses.</w:t>
      </w:r>
    </w:p>
    <w:p>
      <w:pPr>
        <w:spacing w:after="0" w:line="14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4"/>
          <w:szCs w:val="14"/>
          <w:color w:val="auto"/>
        </w:rPr>
        <w:t>While certain actions have been taken to enhance the Company’s ICFR relating to the material weaknesses identified as of the date of this report, we are still in the process of implementing our comprehensive remediation plan. Accordingly, the previously identified material weaknesses cannot be considered remediated until each control has been appropriately designed, has operated for a sufficient period of time, and until management has concluded, through testing, that the control is operating effectively.</w:t>
      </w:r>
    </w:p>
    <w:p>
      <w:pPr>
        <w:spacing w:after="0" w:line="15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4"/>
          <w:szCs w:val="14"/>
          <w:color w:val="auto"/>
        </w:rPr>
        <w:t>As management continues to evaluate and strive to improve the Company’s ICFR, management may take additional measures to address these control deficiencies or modify its comprehensive remediation plan. While management intends to resolve all of the material weaknesses, no assurances can be provided that these remediation efforts will be successful, that the Company’s ICFR will be effective as a result of these efforts by any particular date, nor is it certain whether additional actions will be required.</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Refer to “NOTE 13—COMMITMENTS AND CONTINGENCIES” within the accompanying Notes to the Consolidated Financial Statements, which is incorporated by reference herein.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 As of March 31, 2024, the Company had accrued an immaterial reserve that we believe is appropriate to cover potential settlements.</w:t>
      </w:r>
    </w:p>
    <w:p>
      <w:pPr>
        <w:spacing w:after="0" w:line="16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In addition, as a result of a litigation brought by the Federal Trade Commission (the “FTC”) in October 2012, NMS voluntarily entered into, and is presently operating under, a permanent injunction with respect to certain of its business practices.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carefully consider the factors discussed in Part I, “Item 1A. Risk Factors” in our 2023 Form 10-K, which could materially affect our business, financial condition and/or operating results. The risks described in our 2023 Form 10-K and in our Quarterly Reports on Form 10-Q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our 2023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20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We previously issued shares of common stock that are not subject to the registration requirements of the Securities Act in connection with the DRIP. On December 8, 2023, the Company terminated the DRIP; therefore, during the three months ended March 31, 2024 we issued no shares related to the DRIP. During the three months ended March 31, 2023 we issued 5,800 shares of common stock valued at $0.1 million to shareholders in connection with the DRIP.</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also issue shares of common stock that are not subject to the registration requirements of the Securities Act in connection with dividends on unvested restricted stock awards. During the three months ended March 31, 2024 and March 31, 2023 we issued an additional 6,300 and 4,700 shares, respectively, valued at $0.1 million and $0.1 million, respectively, related to dividends on unvested restricted stock awards.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Arrangements</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On June 16, 2023, Salvatore Mulia, a member of our Board, entered into a written plan for the sale of an aggregate 9,000 shares of Common Stock. The plan is intended to satisfy the affirmative defense conditions of Rule 10b5-1(c) under the Exchange Act. The plan commenced on September 21, 2023 and terminates on September 22, 2024.</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22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140" w:type="dxa"/>
            <w:vAlign w:val="bottom"/>
            <w:gridSpan w:val="14"/>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
        </w:trPr>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80" w:type="dxa"/>
            <w:vAlign w:val="bottom"/>
          </w:tcPr>
          <w:p>
            <w:pPr>
              <w:spacing w:after="0"/>
              <w:rPr>
                <w:rFonts w:ascii="Times New Roman" w:cs="Times New Roman" w:eastAsia="Times New Roman" w:hAnsi="Times New Roman"/>
                <w:sz w:val="14"/>
                <w:szCs w:val="14"/>
                <w:color w:val="0000FF"/>
                <w:w w:val="91"/>
              </w:rPr>
            </w:pPr>
            <w:hyperlink r:id="rId118">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1</w:t>
              </w:r>
            </w:hyperlink>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60" w:type="dxa"/>
            <w:vAlign w:val="bottom"/>
            <w:gridSpan w:val="19"/>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Amended and Restated Articles of Incorporation of Newtek (Incorporate by reference to Exhibit A to Newtek’s Pre-Effective Amendment No. 3 to its Registration Statement</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4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on Form N-2, No. 333-191499, filed November 3, 2014.)</w:t>
              </w:r>
            </w:hyperlink>
          </w:p>
        </w:tc>
        <w:tc>
          <w:tcPr>
            <w:tcW w:w="658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19">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2</w:t>
              </w:r>
            </w:hyperlink>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60" w:type="dxa"/>
            <w:vAlign w:val="bottom"/>
            <w:gridSpan w:val="19"/>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Bylaws of Newtek (Incorporated by reference to Exhibit 2 to Newtek’s Registration Statement on Form N-14, No. 333-195998, filed September 24, 2014).</w:t>
              </w:r>
            </w:hyperlink>
          </w:p>
        </w:tc>
      </w:tr>
      <w:tr>
        <w:trPr>
          <w:trHeight w:val="20"/>
        </w:trPr>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70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80" w:type="dxa"/>
            <w:vAlign w:val="bottom"/>
          </w:tcPr>
          <w:p>
            <w:pPr>
              <w:spacing w:after="0"/>
              <w:rPr>
                <w:rFonts w:ascii="Times New Roman" w:cs="Times New Roman" w:eastAsia="Times New Roman" w:hAnsi="Times New Roman"/>
                <w:sz w:val="14"/>
                <w:szCs w:val="14"/>
                <w:color w:val="0000FF"/>
                <w:w w:val="91"/>
              </w:rPr>
            </w:pPr>
            <w:hyperlink r:id="rId120">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3</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60" w:type="dxa"/>
            <w:vAlign w:val="bottom"/>
            <w:gridSpan w:val="19"/>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Articles of Amendment to the Amended and Restated Articles of Incorporation of NewtekOne, Inc. (Incorporated by reference to Exhibit 99.1 to Newtek’s Current Report on</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96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Form 8-K, filed January 17, 2023).</w:t>
              </w:r>
            </w:hyperlink>
          </w:p>
        </w:tc>
        <w:tc>
          <w:tcPr>
            <w:tcW w:w="786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21">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4</w:t>
              </w:r>
            </w:hyperlink>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60" w:type="dxa"/>
            <w:vAlign w:val="bottom"/>
            <w:gridSpan w:val="19"/>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Amended Bylaws of NewtekOne, Inc. (Incorporated by reference to Exhibit 99.1 of Newtek’s Current Report on Form 8-K, filed January 24, 2023).</w:t>
              </w:r>
            </w:hyperlink>
          </w:p>
        </w:tc>
      </w:tr>
      <w:tr>
        <w:trPr>
          <w:trHeight w:val="20"/>
        </w:trPr>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82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88"/>
        </w:trPr>
        <w:tc>
          <w:tcPr>
            <w:tcW w:w="180" w:type="dxa"/>
            <w:vAlign w:val="bottom"/>
          </w:tcPr>
          <w:p>
            <w:pPr>
              <w:spacing w:after="0"/>
              <w:rPr>
                <w:rFonts w:ascii="Times New Roman" w:cs="Times New Roman" w:eastAsia="Times New Roman" w:hAnsi="Times New Roman"/>
                <w:sz w:val="14"/>
                <w:szCs w:val="14"/>
                <w:color w:val="0000FF"/>
                <w:w w:val="91"/>
              </w:rPr>
            </w:pPr>
            <w:hyperlink r:id="rId122">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5</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60" w:type="dxa"/>
            <w:vAlign w:val="bottom"/>
            <w:gridSpan w:val="19"/>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Articles Supplementary to the Amended and Restated Articles of Incorporation of NewtekOne, Inc (Incorporated by reference to Exhibit 3.1 to Newtek’s Current Report on</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72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Form 8-K filed February 7, 2023</w:t>
              </w:r>
              <w:r>
                <w:rPr>
                  <w:rFonts w:ascii="Times New Roman" w:cs="Times New Roman" w:eastAsia="Times New Roman" w:hAnsi="Times New Roman"/>
                  <w:sz w:val="13"/>
                  <w:szCs w:val="13"/>
                  <w:color w:val="000000"/>
                </w:rPr>
                <w:t>).</w:t>
              </w:r>
            </w:hyperlink>
          </w:p>
        </w:tc>
        <w:tc>
          <w:tcPr>
            <w:tcW w:w="140" w:type="dxa"/>
            <w:vAlign w:val="bottom"/>
            <w:gridSpan w:val="3"/>
          </w:tcPr>
          <w:p>
            <w:pPr>
              <w:spacing w:after="0"/>
              <w:rPr>
                <w:sz w:val="10"/>
                <w:szCs w:val="10"/>
                <w:color w:val="auto"/>
              </w:rPr>
            </w:pPr>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171"/>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Employment Agreement by and between NewtekOne, Inc., and Frank DeMaria dated as of March 29, 2024, filed herewith.</w:t>
            </w: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6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203"/>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Employment Agreement by and between NewtekOne, Inc., and Barry Sloane dated as of April 5, 2024, filed herewith.</w:t>
            </w: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6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203"/>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Employment Agreement by and between NewtekOne, Inc., and Peter Downs dated as of April 5, 2024, filed herewith.</w:t>
            </w: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6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203"/>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Employment Agreement by and between NewtekOne, Inc., and Michael A. Schwartz dated as of April 5, 2024, filed herewith.</w:t>
            </w: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80" w:type="dxa"/>
            <w:vAlign w:val="bottom"/>
            <w:gridSpan w:val="7"/>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203"/>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Employment Agreement by and between NewtekOne, Inc., and Nicolas Young dated as of April 5, 2024, filed herewith.</w:t>
            </w: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80" w:type="dxa"/>
            <w:vAlign w:val="bottom"/>
            <w:gridSpan w:val="7"/>
            <w:shd w:val="clear" w:color="auto" w:fill="0000FF"/>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203"/>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Certification by Principal Executive Officer required by Rules 13a-14 and 15d-14(a) under the Securities Exchange Act of 1934, as amended, filed herewith.</w:t>
            </w:r>
          </w:p>
        </w:tc>
      </w:tr>
      <w:tr>
        <w:trPr>
          <w:trHeight w:val="20"/>
        </w:trPr>
        <w:tc>
          <w:tcPr>
            <w:tcW w:w="3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20" w:type="dxa"/>
            <w:vAlign w:val="bottom"/>
            <w:gridSpan w:val="1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203"/>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2*</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Certification by Principal Financial Officer required by Rules 13a-14 and 15d-14(a) under the Securities Exchange Act of 1934, as amended, filed herewith.</w:t>
            </w:r>
          </w:p>
        </w:tc>
      </w:tr>
      <w:tr>
        <w:trPr>
          <w:trHeight w:val="20"/>
        </w:trPr>
        <w:tc>
          <w:tcPr>
            <w:tcW w:w="3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20" w:type="dxa"/>
            <w:vAlign w:val="bottom"/>
            <w:gridSpan w:val="1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203"/>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72"/>
              </w:rPr>
              <w:t>32.</w:t>
            </w:r>
            <w:r>
              <w:rPr>
                <w:rFonts w:ascii="Times New Roman" w:cs="Times New Roman" w:eastAsia="Times New Roman" w:hAnsi="Times New Roman"/>
                <w:sz w:val="14"/>
                <w:szCs w:val="14"/>
                <w:u w:val="single" w:color="auto"/>
                <w:color w:val="0000FF"/>
                <w:w w:val="72"/>
              </w:rPr>
              <w:t>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Certification by Principal Executive pursuant to 18 U.S.C. Section 1350, as adopted pursuant to Section 906 of the Sarbanes-Oxley Act of 2002 filed herewith.</w:t>
            </w:r>
          </w:p>
        </w:tc>
      </w:tr>
      <w:tr>
        <w:trPr>
          <w:trHeight w:val="20"/>
        </w:trPr>
        <w:tc>
          <w:tcPr>
            <w:tcW w:w="3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980" w:type="dxa"/>
            <w:vAlign w:val="bottom"/>
            <w:gridSpan w:val="1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203"/>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72"/>
              </w:rPr>
              <w:t>32.</w:t>
            </w:r>
            <w:r>
              <w:rPr>
                <w:rFonts w:ascii="Times New Roman" w:cs="Times New Roman" w:eastAsia="Times New Roman" w:hAnsi="Times New Roman"/>
                <w:sz w:val="14"/>
                <w:szCs w:val="14"/>
                <w:u w:val="single" w:color="auto"/>
                <w:color w:val="0000FF"/>
                <w:w w:val="72"/>
              </w:rPr>
              <w:t>2**</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6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Certification by Principal Financial Officer pursuant to 18 U.S.C. Section 1350, as adopted pursuant to Section 906 of the Sarbanes-Oxley Act of 2002 filed herewith.</w:t>
            </w:r>
          </w:p>
        </w:tc>
      </w:tr>
      <w:tr>
        <w:trPr>
          <w:trHeight w:val="20"/>
        </w:trPr>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 w:lineRule="exact"/>
        <w:rPr>
          <w:sz w:val="20"/>
          <w:szCs w:val="20"/>
          <w:color w:val="auto"/>
        </w:rPr>
      </w:pPr>
    </w:p>
    <w:p>
      <w:pPr>
        <w:ind w:left="1240" w:hanging="1221"/>
        <w:spacing w:after="0" w:line="226" w:lineRule="auto"/>
        <w:tabs>
          <w:tab w:leader="none" w:pos="1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Interactive Data Files Pursuant to Rule 405 of Regulation S-T: (i) the Consolidated Balance Sheets as of March 31, 2024 and December 31, 2023; (ii) the Consolidated Statements of Operations for the three months ended March 31, 2024 and 2023; (iii) the Consolidated Statements of Changes in Stockholders Equity for the three months ended March 31, 2024 and 2023; (iv) the Consolidated Statements of Cash Flows for the three months ended March 31, 2024 and 2023; and (v) the Notes to the Consolidated Financial Statements.</w:t>
      </w:r>
    </w:p>
    <w:p>
      <w:pPr>
        <w:spacing w:after="0" w:line="41" w:lineRule="exact"/>
        <w:rPr>
          <w:sz w:val="20"/>
          <w:szCs w:val="20"/>
          <w:color w:val="auto"/>
        </w:rPr>
      </w:pPr>
    </w:p>
    <w:p>
      <w:pPr>
        <w:ind w:left="1240" w:hanging="1221"/>
        <w:spacing w:after="0"/>
        <w:tabs>
          <w:tab w:leader="none" w:pos="124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in inline XBRL and contained in Exhibit 101)</w:t>
      </w:r>
    </w:p>
    <w:p>
      <w:pPr>
        <w:spacing w:after="0" w:line="7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3" w:lineRule="exact"/>
        <w:rPr>
          <w:rFonts w:ascii="Times New Roman" w:cs="Times New Roman" w:eastAsia="Times New Roman" w:hAnsi="Times New Roman"/>
          <w:sz w:val="14"/>
          <w:szCs w:val="14"/>
          <w:color w:val="auto"/>
        </w:rPr>
      </w:pPr>
    </w:p>
    <w:p>
      <w:pPr>
        <w:ind w:left="180" w:hanging="175"/>
        <w:spacing w:after="0"/>
        <w:tabs>
          <w:tab w:leader="none" w:pos="1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NEWTEKONE, INC.</w:t>
      </w:r>
    </w:p>
    <w:p>
      <w:pPr>
        <w:spacing w:after="0" w:line="64" w:lineRule="exact"/>
        <w:rPr>
          <w:sz w:val="20"/>
          <w:szCs w:val="20"/>
          <w:color w:val="auto"/>
        </w:rPr>
      </w:pPr>
    </w:p>
    <w:p>
      <w:pPr>
        <w:ind w:left="20"/>
        <w:spacing w:after="0"/>
        <w:tabs>
          <w:tab w:leader="none" w:pos="5500" w:val="left"/>
          <w:tab w:leader="none" w:pos="7880" w:val="left"/>
          <w:tab w:leader="none" w:pos="8160" w:val="left"/>
        </w:tabs>
        <w:rPr>
          <w:sz w:val="20"/>
          <w:szCs w:val="20"/>
          <w:color w:val="auto"/>
        </w:rPr>
      </w:pPr>
      <w:r>
        <w:rPr>
          <w:rFonts w:ascii="Times New Roman" w:cs="Times New Roman" w:eastAsia="Times New Roman" w:hAnsi="Times New Roman"/>
          <w:sz w:val="14"/>
          <w:szCs w:val="14"/>
          <w:color w:val="auto"/>
        </w:rPr>
        <w:t>Date: May 10,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tab/>
        <w:t>B</w:t>
      </w:r>
      <w:r>
        <w:rPr>
          <w:rFonts w:ascii="Times New Roman" w:cs="Times New Roman" w:eastAsia="Times New Roman" w:hAnsi="Times New Roman"/>
          <w:sz w:val="11"/>
          <w:szCs w:val="11"/>
          <w:color w:val="auto"/>
        </w:rPr>
        <w:t>ARRY</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21590</wp:posOffset>
            </wp:positionV>
            <wp:extent cx="335534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2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1"/>
          <w:szCs w:val="11"/>
          <w:b w:val="1"/>
          <w:bCs w:val="1"/>
          <w:color w:val="auto"/>
        </w:rPr>
        <w:t>Chief Executive Officer, President and Chairman of the Board</w:t>
      </w:r>
    </w:p>
    <w:p>
      <w:pPr>
        <w:ind w:left="790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pacing w:after="0" w:line="66" w:lineRule="exact"/>
        <w:rPr>
          <w:sz w:val="20"/>
          <w:szCs w:val="20"/>
          <w:color w:val="auto"/>
        </w:rPr>
      </w:pPr>
    </w:p>
    <w:p>
      <w:pPr>
        <w:ind w:left="20"/>
        <w:spacing w:after="0"/>
        <w:tabs>
          <w:tab w:leader="none" w:pos="5500" w:val="left"/>
          <w:tab w:leader="none" w:pos="7860" w:val="left"/>
          <w:tab w:leader="none" w:pos="8160" w:val="left"/>
        </w:tabs>
        <w:rPr>
          <w:sz w:val="20"/>
          <w:szCs w:val="20"/>
          <w:color w:val="auto"/>
        </w:rPr>
      </w:pPr>
      <w:r>
        <w:rPr>
          <w:rFonts w:ascii="Times New Roman" w:cs="Times New Roman" w:eastAsia="Times New Roman" w:hAnsi="Times New Roman"/>
          <w:sz w:val="14"/>
          <w:szCs w:val="14"/>
          <w:color w:val="auto"/>
        </w:rPr>
        <w:t>Date: May 10,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tab/>
        <w:t>M. S</w:t>
      </w:r>
      <w:r>
        <w:rPr>
          <w:rFonts w:ascii="Times New Roman" w:cs="Times New Roman" w:eastAsia="Times New Roman" w:hAnsi="Times New Roman"/>
          <w:sz w:val="11"/>
          <w:szCs w:val="11"/>
          <w:color w:val="auto"/>
        </w:rPr>
        <w:t>COTT</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21590</wp:posOffset>
            </wp:positionV>
            <wp:extent cx="335534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1"/>
          <w:szCs w:val="11"/>
          <w:b w:val="1"/>
          <w:bCs w:val="1"/>
          <w:color w:val="auto"/>
        </w:rPr>
        <w:t>M. Scott Price</w:t>
      </w:r>
    </w:p>
    <w:p>
      <w:pPr>
        <w:spacing w:after="0" w:line="2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1"/>
          <w:szCs w:val="11"/>
          <w:b w:val="1"/>
          <w:bCs w:val="1"/>
          <w:color w:val="auto"/>
        </w:rPr>
        <w:t>Chief Financial Officer</w:t>
      </w:r>
    </w:p>
    <w:p>
      <w:pPr>
        <w:ind w:left="792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980"/>
          </w:cols>
          <w:pgMar w:left="300" w:top="127" w:right="619" w:bottom="1440"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Barry Sloane, certify that:</w:t>
      </w:r>
    </w:p>
    <w:p>
      <w:pPr>
        <w:spacing w:after="0" w:line="179" w:lineRule="exact"/>
        <w:rPr>
          <w:sz w:val="20"/>
          <w:szCs w:val="20"/>
          <w:color w:val="auto"/>
        </w:rPr>
      </w:pPr>
    </w:p>
    <w:p>
      <w:pPr>
        <w:ind w:left="500" w:hanging="145"/>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NewtekOne, Inc. (the “registrant”).</w:t>
      </w:r>
    </w:p>
    <w:p>
      <w:pPr>
        <w:spacing w:after="0" w:line="178" w:lineRule="exact"/>
        <w:rPr>
          <w:rFonts w:ascii="Times New Roman" w:cs="Times New Roman" w:eastAsia="Times New Roman" w:hAnsi="Times New Roman"/>
          <w:sz w:val="14"/>
          <w:szCs w:val="14"/>
          <w:color w:val="auto"/>
        </w:rPr>
      </w:pPr>
    </w:p>
    <w:p>
      <w:pPr>
        <w:ind w:right="740" w:firstLine="355"/>
        <w:spacing w:after="0" w:line="287" w:lineRule="auto"/>
        <w:tabs>
          <w:tab w:leader="none" w:pos="49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right="220" w:firstLine="355"/>
        <w:spacing w:after="0" w:line="287" w:lineRule="auto"/>
        <w:tabs>
          <w:tab w:leader="none" w:pos="49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24" w:lineRule="exact"/>
        <w:rPr>
          <w:rFonts w:ascii="Times New Roman" w:cs="Times New Roman" w:eastAsia="Times New Roman" w:hAnsi="Times New Roman"/>
          <w:sz w:val="14"/>
          <w:szCs w:val="14"/>
          <w:color w:val="auto"/>
        </w:rPr>
      </w:pPr>
    </w:p>
    <w:p>
      <w:pPr>
        <w:ind w:right="60" w:firstLine="355"/>
        <w:spacing w:after="0" w:line="287" w:lineRule="auto"/>
        <w:tabs>
          <w:tab w:leader="none" w:pos="49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right="120" w:firstLine="705"/>
        <w:spacing w:after="0" w:line="287" w:lineRule="auto"/>
        <w:tabs>
          <w:tab w:leader="none" w:pos="846"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right="180" w:firstLine="705"/>
        <w:spacing w:after="0" w:line="287" w:lineRule="auto"/>
        <w:tabs>
          <w:tab w:leader="none" w:pos="853"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60" w:firstLine="705"/>
        <w:spacing w:after="0" w:line="287" w:lineRule="auto"/>
        <w:tabs>
          <w:tab w:leader="none" w:pos="846"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705"/>
        <w:spacing w:after="0" w:line="287" w:lineRule="auto"/>
        <w:tabs>
          <w:tab w:leader="none" w:pos="853"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rFonts w:ascii="Times New Roman" w:cs="Times New Roman" w:eastAsia="Times New Roman" w:hAnsi="Times New Roman"/>
          <w:sz w:val="14"/>
          <w:szCs w:val="14"/>
          <w:color w:val="auto"/>
        </w:rPr>
      </w:pPr>
    </w:p>
    <w:p>
      <w:pPr>
        <w:ind w:right="540" w:firstLine="355"/>
        <w:spacing w:after="0" w:line="287" w:lineRule="auto"/>
        <w:tabs>
          <w:tab w:leader="none" w:pos="49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60" w:firstLine="705"/>
        <w:spacing w:after="0" w:line="287" w:lineRule="auto"/>
        <w:tabs>
          <w:tab w:leader="none" w:pos="846"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860" w:hanging="155"/>
        <w:spacing w:after="0"/>
        <w:tabs>
          <w:tab w:leader="none" w:pos="86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20"/>
        <w:spacing w:after="0"/>
        <w:tabs>
          <w:tab w:leader="none" w:pos="7580" w:val="left"/>
          <w:tab w:leader="none" w:pos="7880" w:val="left"/>
        </w:tabs>
        <w:rPr>
          <w:sz w:val="20"/>
          <w:szCs w:val="20"/>
          <w:color w:val="auto"/>
        </w:rPr>
      </w:pPr>
      <w:r>
        <w:rPr>
          <w:rFonts w:ascii="Times New Roman" w:cs="Times New Roman" w:eastAsia="Times New Roman" w:hAnsi="Times New Roman"/>
          <w:sz w:val="14"/>
          <w:szCs w:val="14"/>
          <w:color w:val="auto"/>
        </w:rPr>
        <w:t>Date: May 10, 2024</w:t>
      </w:r>
      <w:r>
        <w:rPr>
          <w:sz w:val="20"/>
          <w:szCs w:val="20"/>
          <w:color w:val="auto"/>
        </w:rPr>
        <w:tab/>
      </w:r>
      <w:r>
        <w:rPr>
          <w:rFonts w:ascii="Times New Roman" w:cs="Times New Roman" w:eastAsia="Times New Roman" w:hAnsi="Times New Roman"/>
          <w:sz w:val="14"/>
          <w:szCs w:val="14"/>
          <w:color w:val="auto"/>
        </w:rPr>
        <w:t>/S/</w:t>
        <w:tab/>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ectPr>
          <w:pgSz w:w="11900" w:h="16838" w:orient="portrait"/>
          <w:cols w:equalWidth="0" w:num="1">
            <w:col w:w="11280"/>
          </w:cols>
          <w:pgMar w:left="300" w:top="727" w:right="31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 Scott Price, certify that:</w:t>
      </w:r>
    </w:p>
    <w:p>
      <w:pPr>
        <w:spacing w:after="0" w:line="179" w:lineRule="exact"/>
        <w:rPr>
          <w:sz w:val="20"/>
          <w:szCs w:val="20"/>
          <w:color w:val="auto"/>
        </w:rPr>
      </w:pPr>
    </w:p>
    <w:p>
      <w:pPr>
        <w:ind w:left="500" w:hanging="145"/>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NewtekOne, Inc. (the “registrant”).</w:t>
      </w:r>
    </w:p>
    <w:p>
      <w:pPr>
        <w:spacing w:after="0" w:line="178" w:lineRule="exact"/>
        <w:rPr>
          <w:rFonts w:ascii="Times New Roman" w:cs="Times New Roman" w:eastAsia="Times New Roman" w:hAnsi="Times New Roman"/>
          <w:sz w:val="14"/>
          <w:szCs w:val="14"/>
          <w:color w:val="auto"/>
        </w:rPr>
      </w:pPr>
    </w:p>
    <w:p>
      <w:pPr>
        <w:ind w:right="740" w:firstLine="355"/>
        <w:spacing w:after="0" w:line="287" w:lineRule="auto"/>
        <w:tabs>
          <w:tab w:leader="none" w:pos="49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4" w:lineRule="exact"/>
        <w:rPr>
          <w:rFonts w:ascii="Times New Roman" w:cs="Times New Roman" w:eastAsia="Times New Roman" w:hAnsi="Times New Roman"/>
          <w:sz w:val="14"/>
          <w:szCs w:val="14"/>
          <w:color w:val="auto"/>
        </w:rPr>
      </w:pPr>
    </w:p>
    <w:p>
      <w:pPr>
        <w:ind w:right="220" w:firstLine="355"/>
        <w:spacing w:after="0" w:line="287" w:lineRule="auto"/>
        <w:tabs>
          <w:tab w:leader="none" w:pos="49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right="60" w:firstLine="355"/>
        <w:spacing w:after="0" w:line="287" w:lineRule="auto"/>
        <w:tabs>
          <w:tab w:leader="none" w:pos="49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right="120" w:firstLine="705"/>
        <w:spacing w:after="0" w:line="287" w:lineRule="auto"/>
        <w:tabs>
          <w:tab w:leader="none" w:pos="846"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right="180" w:firstLine="705"/>
        <w:spacing w:after="0" w:line="287" w:lineRule="auto"/>
        <w:tabs>
          <w:tab w:leader="none" w:pos="853"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60" w:firstLine="705"/>
        <w:spacing w:after="0" w:line="287" w:lineRule="auto"/>
        <w:tabs>
          <w:tab w:leader="none" w:pos="846"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705"/>
        <w:spacing w:after="0" w:line="287" w:lineRule="auto"/>
        <w:tabs>
          <w:tab w:leader="none" w:pos="853"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rFonts w:ascii="Times New Roman" w:cs="Times New Roman" w:eastAsia="Times New Roman" w:hAnsi="Times New Roman"/>
          <w:sz w:val="14"/>
          <w:szCs w:val="14"/>
          <w:color w:val="auto"/>
        </w:rPr>
      </w:pPr>
    </w:p>
    <w:p>
      <w:pPr>
        <w:ind w:right="540" w:firstLine="355"/>
        <w:spacing w:after="0" w:line="287" w:lineRule="auto"/>
        <w:tabs>
          <w:tab w:leader="none" w:pos="49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60" w:firstLine="705"/>
        <w:spacing w:after="0" w:line="287" w:lineRule="auto"/>
        <w:tabs>
          <w:tab w:leader="none" w:pos="846"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860" w:hanging="155"/>
        <w:spacing w:after="0"/>
        <w:tabs>
          <w:tab w:leader="none" w:pos="8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20"/>
        <w:spacing w:after="0"/>
        <w:tabs>
          <w:tab w:leader="none" w:pos="7660" w:val="left"/>
          <w:tab w:leader="none" w:pos="7960" w:val="left"/>
        </w:tabs>
        <w:rPr>
          <w:sz w:val="20"/>
          <w:szCs w:val="20"/>
          <w:color w:val="auto"/>
        </w:rPr>
      </w:pPr>
      <w:r>
        <w:rPr>
          <w:rFonts w:ascii="Times New Roman" w:cs="Times New Roman" w:eastAsia="Times New Roman" w:hAnsi="Times New Roman"/>
          <w:sz w:val="14"/>
          <w:szCs w:val="14"/>
          <w:color w:val="auto"/>
        </w:rPr>
        <w:t>Date: May 10, 2024</w:t>
      </w:r>
      <w:r>
        <w:rPr>
          <w:sz w:val="20"/>
          <w:szCs w:val="20"/>
          <w:color w:val="auto"/>
        </w:rPr>
        <w:tab/>
      </w:r>
      <w:r>
        <w:rPr>
          <w:rFonts w:ascii="Times New Roman" w:cs="Times New Roman" w:eastAsia="Times New Roman" w:hAnsi="Times New Roman"/>
          <w:sz w:val="14"/>
          <w:szCs w:val="14"/>
          <w:color w:val="auto"/>
        </w:rPr>
        <w:t>/S/</w:t>
        <w:tab/>
        <w:t>M. SCOTT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M. Scott Price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p>
      <w:pPr>
        <w:sectPr>
          <w:pgSz w:w="11900" w:h="16838" w:orient="portrait"/>
          <w:cols w:equalWidth="0" w:num="1">
            <w:col w:w="11280"/>
          </w:cols>
          <w:pgMar w:left="300" w:top="727" w:right="31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for the period ended March 31, 2024 (the “Report”) of NewtekOne Inc.(the “Company”), as filed with the Securities and Exchange Commission on the date hereof, I, Barry Sloane, as Principal Executive Officer of the Company, certify, pursuant to 18 U.S.C. §1350, as adopted pursuant to §906 of the Sarbanes-Oxley Act of 2002, that, to the best of my knowledge:</w:t>
      </w:r>
    </w:p>
    <w:p>
      <w:pPr>
        <w:spacing w:after="0" w:line="136" w:lineRule="exact"/>
        <w:rPr>
          <w:sz w:val="20"/>
          <w:szCs w:val="20"/>
          <w:color w:val="auto"/>
        </w:rPr>
      </w:pPr>
    </w:p>
    <w:p>
      <w:pPr>
        <w:ind w:left="200" w:hanging="195"/>
        <w:spacing w:after="0"/>
        <w:tabs>
          <w:tab w:leader="none" w:pos="2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16" w:lineRule="exact"/>
        <w:rPr>
          <w:sz w:val="20"/>
          <w:szCs w:val="20"/>
          <w:color w:val="auto"/>
        </w:rPr>
      </w:pPr>
    </w:p>
    <w:p>
      <w:pPr>
        <w:ind w:left="20"/>
        <w:spacing w:after="0"/>
        <w:tabs>
          <w:tab w:leader="none" w:pos="7580" w:val="left"/>
          <w:tab w:leader="none" w:pos="7880" w:val="left"/>
        </w:tabs>
        <w:rPr>
          <w:sz w:val="20"/>
          <w:szCs w:val="20"/>
          <w:color w:val="auto"/>
        </w:rPr>
      </w:pPr>
      <w:r>
        <w:rPr>
          <w:rFonts w:ascii="Times New Roman" w:cs="Times New Roman" w:eastAsia="Times New Roman" w:hAnsi="Times New Roman"/>
          <w:sz w:val="14"/>
          <w:szCs w:val="14"/>
          <w:color w:val="auto"/>
        </w:rPr>
        <w:t>Date: May 10, 2024</w:t>
      </w:r>
      <w:r>
        <w:rPr>
          <w:sz w:val="20"/>
          <w:szCs w:val="20"/>
          <w:color w:val="auto"/>
        </w:rPr>
        <w:tab/>
      </w:r>
      <w:r>
        <w:rPr>
          <w:rFonts w:ascii="Times New Roman" w:cs="Times New Roman" w:eastAsia="Times New Roman" w:hAnsi="Times New Roman"/>
          <w:sz w:val="14"/>
          <w:szCs w:val="14"/>
          <w:color w:val="auto"/>
        </w:rPr>
        <w:t>/S/</w:t>
        <w:tab/>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ectPr>
          <w:pgSz w:w="11900" w:h="16838" w:orient="portrait"/>
          <w:cols w:equalWidth="0" w:num="1">
            <w:col w:w="11280"/>
          </w:cols>
          <w:pgMar w:left="300" w:top="727" w:right="31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8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for the period ended March 31, 2024 (the “Report”) of NewtekOne, Inc. (the “Company”), as filed with the Securities and Exchange Commission on the date hereof, I, M. Scott Price, as Principal Financial Officer of the Company, hereby certify pursuant to 18 U.S.C. §1350, as adopted pursuant to §906 of the Sarbanes-Oxley Act of 2002, that, to the best of my knowledge:</w:t>
      </w:r>
    </w:p>
    <w:p>
      <w:pPr>
        <w:spacing w:after="0" w:line="136" w:lineRule="exact"/>
        <w:rPr>
          <w:sz w:val="20"/>
          <w:szCs w:val="20"/>
          <w:color w:val="auto"/>
        </w:rPr>
      </w:pPr>
    </w:p>
    <w:p>
      <w:pPr>
        <w:ind w:left="200" w:hanging="195"/>
        <w:spacing w:after="0"/>
        <w:tabs>
          <w:tab w:leader="none" w:pos="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16" w:lineRule="exact"/>
        <w:rPr>
          <w:sz w:val="20"/>
          <w:szCs w:val="20"/>
          <w:color w:val="auto"/>
        </w:rPr>
      </w:pPr>
    </w:p>
    <w:p>
      <w:pPr>
        <w:ind w:left="20"/>
        <w:spacing w:after="0"/>
        <w:tabs>
          <w:tab w:leader="none" w:pos="7700" w:val="left"/>
          <w:tab w:leader="none" w:pos="8000" w:val="left"/>
        </w:tabs>
        <w:rPr>
          <w:sz w:val="20"/>
          <w:szCs w:val="20"/>
          <w:color w:val="auto"/>
        </w:rPr>
      </w:pPr>
      <w:r>
        <w:rPr>
          <w:rFonts w:ascii="Times New Roman" w:cs="Times New Roman" w:eastAsia="Times New Roman" w:hAnsi="Times New Roman"/>
          <w:sz w:val="14"/>
          <w:szCs w:val="14"/>
          <w:color w:val="auto"/>
        </w:rPr>
        <w:t>Date: May 10, 2024</w:t>
      </w:r>
      <w:r>
        <w:rPr>
          <w:sz w:val="20"/>
          <w:szCs w:val="20"/>
          <w:color w:val="auto"/>
        </w:rPr>
        <w:tab/>
      </w:r>
      <w:r>
        <w:rPr>
          <w:rFonts w:ascii="Times New Roman" w:cs="Times New Roman" w:eastAsia="Times New Roman" w:hAnsi="Times New Roman"/>
          <w:sz w:val="14"/>
          <w:szCs w:val="14"/>
          <w:color w:val="auto"/>
        </w:rPr>
        <w:t>/S/</w:t>
        <w:tab/>
        <w:t>M. SCOTT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14605</wp:posOffset>
            </wp:positionV>
            <wp:extent cx="355727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5"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1"/>
          <w:szCs w:val="11"/>
          <w:b w:val="1"/>
          <w:bCs w:val="1"/>
          <w:color w:val="auto"/>
        </w:rPr>
        <w:t>M. Scott Price,</w:t>
      </w:r>
    </w:p>
    <w:p>
      <w:pPr>
        <w:spacing w:after="0" w:line="33"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326"/>
    </w:lvl>
  </w:abstractNum>
  <w:abstractNum w:abstractNumId="1">
    <w:nsid w:val="2D1D5AE9"/>
    <w:multiLevelType w:val="hybridMultilevel"/>
    <w:lvl w:ilvl="0">
      <w:lvlJc w:val="left"/>
      <w:lvlText w:val="1"/>
      <w:numFmt w:val="bullet"/>
      <w:start w:val="1"/>
    </w:lvl>
  </w:abstractNum>
  <w:abstractNum w:abstractNumId="2">
    <w:nsid w:val="6763845E"/>
    <w:multiLevelType w:val="hybridMultilevel"/>
    <w:lvl w:ilvl="0">
      <w:lvlJc w:val="left"/>
      <w:lvlText w:val="2"/>
      <w:numFmt w:val="bullet"/>
      <w:start w:val="1"/>
    </w:lvl>
  </w:abstractNum>
  <w:abstractNum w:abstractNumId="3">
    <w:nsid w:val="75A2A8D4"/>
    <w:multiLevelType w:val="hybridMultilevel"/>
    <w:lvl w:ilvl="0">
      <w:lvlJc w:val="left"/>
      <w:lvlText w:val="1"/>
      <w:numFmt w:val="bullet"/>
      <w:start w:val="1"/>
    </w:lvl>
  </w:abstractNum>
  <w:abstractNum w:abstractNumId="4">
    <w:nsid w:val="8EDBDAB"/>
    <w:multiLevelType w:val="hybridMultilevel"/>
    <w:lvl w:ilvl="0">
      <w:lvlJc w:val="left"/>
      <w:lvlText w:val="2"/>
      <w:numFmt w:val="bullet"/>
      <w:start w:val="1"/>
    </w:lvl>
  </w:abstractNum>
  <w:abstractNum w:abstractNumId="5">
    <w:nsid w:val="79838CB2"/>
    <w:multiLevelType w:val="hybridMultilevel"/>
    <w:lvl w:ilvl="0">
      <w:lvlJc w:val="left"/>
      <w:lvlText w:val="1"/>
      <w:numFmt w:val="bullet"/>
      <w:start w:val="1"/>
    </w:lvl>
  </w:abstractNum>
  <w:abstractNum w:abstractNumId="6">
    <w:nsid w:val="4353D0CD"/>
    <w:multiLevelType w:val="hybridMultilevel"/>
    <w:lvl w:ilvl="0">
      <w:lvlJc w:val="left"/>
      <w:lvlText w:val="1"/>
      <w:numFmt w:val="bullet"/>
      <w:start w:val="1"/>
    </w:lvl>
  </w:abstractNum>
  <w:abstractNum w:abstractNumId="7">
    <w:nsid w:val="B03E0C6"/>
    <w:multiLevelType w:val="hybridMultilevel"/>
    <w:lvl w:ilvl="0">
      <w:lvlJc w:val="left"/>
      <w:lvlText w:val="2"/>
      <w:numFmt w:val="bullet"/>
      <w:start w:val="1"/>
    </w:lvl>
  </w:abstractNum>
  <w:abstractNum w:abstractNumId="8">
    <w:nsid w:val="189A769B"/>
    <w:multiLevelType w:val="hybridMultilevel"/>
    <w:lvl w:ilvl="0">
      <w:lvlJc w:val="left"/>
      <w:lvlText w:val="1"/>
      <w:numFmt w:val="bullet"/>
      <w:start w:val="1"/>
    </w:lvl>
  </w:abstractNum>
  <w:abstractNum w:abstractNumId="9">
    <w:nsid w:val="54E49EB4"/>
    <w:multiLevelType w:val="hybridMultilevel"/>
    <w:lvl w:ilvl="0">
      <w:lvlJc w:val="left"/>
      <w:lvlText w:val="2"/>
      <w:numFmt w:val="bullet"/>
      <w:start w:val="1"/>
    </w:lvl>
  </w:abstractNum>
  <w:abstractNum w:abstractNumId="10">
    <w:nsid w:val="71F32454"/>
    <w:multiLevelType w:val="hybridMultilevel"/>
    <w:lvl w:ilvl="0">
      <w:lvlJc w:val="left"/>
      <w:lvlText w:val="1"/>
      <w:numFmt w:val="bullet"/>
      <w:start w:val="1"/>
    </w:lvl>
  </w:abstractNum>
  <w:abstractNum w:abstractNumId="11">
    <w:nsid w:val="2CA88611"/>
    <w:multiLevelType w:val="hybridMultilevel"/>
    <w:lvl w:ilvl="0">
      <w:lvlJc w:val="left"/>
      <w:lvlText w:val="2"/>
      <w:numFmt w:val="bullet"/>
      <w:start w:val="1"/>
    </w:lvl>
  </w:abstractNum>
  <w:abstractNum w:abstractNumId="12">
    <w:nsid w:val="836C40E"/>
    <w:multiLevelType w:val="hybridMultilevel"/>
    <w:lvl w:ilvl="0">
      <w:lvlJc w:val="left"/>
      <w:lvlText w:val="1"/>
      <w:numFmt w:val="bullet"/>
      <w:start w:val="1"/>
    </w:lvl>
  </w:abstractNum>
  <w:abstractNum w:abstractNumId="13">
    <w:nsid w:val="2901D82"/>
    <w:multiLevelType w:val="hybridMultilevel"/>
    <w:lvl w:ilvl="0">
      <w:lvlJc w:val="left"/>
      <w:lvlText w:val="2"/>
      <w:numFmt w:val="bullet"/>
      <w:start w:val="1"/>
    </w:lvl>
  </w:abstractNum>
  <w:abstractNum w:abstractNumId="14">
    <w:nsid w:val="3A95F874"/>
    <w:multiLevelType w:val="hybridMultilevel"/>
    <w:lvl w:ilvl="0">
      <w:lvlJc w:val="left"/>
      <w:lvlText w:val="1"/>
      <w:numFmt w:val="bullet"/>
      <w:start w:val="1"/>
    </w:lvl>
  </w:abstractNum>
  <w:abstractNum w:abstractNumId="15">
    <w:nsid w:val="8138641"/>
    <w:multiLevelType w:val="hybridMultilevel"/>
    <w:lvl w:ilvl="0">
      <w:lvlJc w:val="left"/>
      <w:lvlText w:val="1"/>
      <w:numFmt w:val="bullet"/>
      <w:start w:val="1"/>
    </w:lvl>
  </w:abstractNum>
  <w:abstractNum w:abstractNumId="16">
    <w:nsid w:val="1E7FF521"/>
    <w:multiLevelType w:val="hybridMultilevel"/>
    <w:lvl w:ilvl="0">
      <w:lvlJc w:val="left"/>
      <w:lvlText w:val="1"/>
      <w:numFmt w:val="bullet"/>
      <w:start w:val="1"/>
    </w:lvl>
  </w:abstractNum>
  <w:abstractNum w:abstractNumId="17">
    <w:nsid w:val="7C3DBD3D"/>
    <w:multiLevelType w:val="hybridMultilevel"/>
    <w:lvl w:ilvl="0">
      <w:lvlJc w:val="left"/>
      <w:lvlText w:val="2"/>
      <w:numFmt w:val="bullet"/>
      <w:start w:val="1"/>
    </w:lvl>
  </w:abstractNum>
  <w:abstractNum w:abstractNumId="18">
    <w:nsid w:val="737B8DDC"/>
    <w:multiLevelType w:val="hybridMultilevel"/>
    <w:lvl w:ilvl="0">
      <w:lvlJc w:val="left"/>
      <w:lvlText w:val="1"/>
      <w:numFmt w:val="bullet"/>
      <w:start w:val="1"/>
    </w:lvl>
  </w:abstractNum>
  <w:abstractNum w:abstractNumId="19">
    <w:nsid w:val="6CEAF087"/>
    <w:multiLevelType w:val="hybridMultilevel"/>
    <w:lvl w:ilvl="0">
      <w:lvlJc w:val="left"/>
      <w:lvlText w:val="1"/>
      <w:numFmt w:val="bullet"/>
      <w:start w:val="1"/>
    </w:lvl>
  </w:abstractNum>
  <w:abstractNum w:abstractNumId="20">
    <w:nsid w:val="22221A70"/>
    <w:multiLevelType w:val="hybridMultilevel"/>
    <w:lvl w:ilvl="0">
      <w:lvlJc w:val="left"/>
      <w:lvlText w:val="2"/>
      <w:numFmt w:val="bullet"/>
      <w:start w:val="1"/>
    </w:lvl>
  </w:abstractNum>
  <w:abstractNum w:abstractNumId="21">
    <w:nsid w:val="4516DDE9"/>
    <w:multiLevelType w:val="hybridMultilevel"/>
    <w:lvl w:ilvl="0">
      <w:lvlJc w:val="left"/>
      <w:lvlText w:val="1"/>
      <w:numFmt w:val="bullet"/>
      <w:start w:val="1"/>
    </w:lvl>
  </w:abstractNum>
  <w:abstractNum w:abstractNumId="22">
    <w:nsid w:val="3006C83E"/>
    <w:multiLevelType w:val="hybridMultilevel"/>
    <w:lvl w:ilvl="0">
      <w:lvlJc w:val="left"/>
      <w:lvlText w:val="1"/>
      <w:numFmt w:val="bullet"/>
      <w:start w:val="1"/>
    </w:lvl>
  </w:abstractNum>
  <w:abstractNum w:abstractNumId="23">
    <w:nsid w:val="614FD4A1"/>
    <w:multiLevelType w:val="hybridMultilevel"/>
    <w:lvl w:ilvl="0">
      <w:lvlJc w:val="left"/>
      <w:lvlText w:val="2"/>
      <w:numFmt w:val="bullet"/>
      <w:start w:val="1"/>
    </w:lvl>
  </w:abstractNum>
  <w:abstractNum w:abstractNumId="24">
    <w:nsid w:val="419AC241"/>
    <w:multiLevelType w:val="hybridMultilevel"/>
    <w:lvl w:ilvl="0">
      <w:lvlJc w:val="left"/>
      <w:lvlText w:val="1"/>
      <w:numFmt w:val="bullet"/>
      <w:start w:val="1"/>
    </w:lvl>
  </w:abstractNum>
  <w:abstractNum w:abstractNumId="25">
    <w:nsid w:val="5577F8E1"/>
    <w:multiLevelType w:val="hybridMultilevel"/>
    <w:lvl w:ilvl="0">
      <w:lvlJc w:val="left"/>
      <w:lvlText w:val="2"/>
      <w:numFmt w:val="bullet"/>
      <w:start w:val="1"/>
    </w:lvl>
  </w:abstractNum>
  <w:abstractNum w:abstractNumId="26">
    <w:nsid w:val="440BADFC"/>
    <w:multiLevelType w:val="hybridMultilevel"/>
    <w:lvl w:ilvl="0">
      <w:lvlJc w:val="left"/>
      <w:lvlText w:val="\endash "/>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lowerRoman"/>
      <w:start w:val="2"/>
    </w:lvl>
  </w:abstractNum>
  <w:abstractNum w:abstractNumId="30">
    <w:nsid w:val="7724C67E"/>
    <w:multiLevelType w:val="hybridMultilevel"/>
    <w:lvl w:ilvl="0">
      <w:lvlJc w:val="left"/>
      <w:lvlText w:val="1"/>
      <w:numFmt w:val="bullet"/>
      <w:start w:val="1"/>
    </w:lvl>
  </w:abstractNum>
  <w:abstractNum w:abstractNumId="31">
    <w:nsid w:val="5C482A97"/>
    <w:multiLevelType w:val="hybridMultilevel"/>
    <w:lvl w:ilvl="0">
      <w:lvlJc w:val="left"/>
      <w:lvlText w:val="1"/>
      <w:numFmt w:val="bullet"/>
      <w:start w:val="1"/>
    </w:lvl>
  </w:abstractNum>
  <w:abstractNum w:abstractNumId="32">
    <w:nsid w:val="2463B9EA"/>
    <w:multiLevelType w:val="hybridMultilevel"/>
    <w:lvl w:ilvl="0">
      <w:lvlJc w:val="left"/>
      <w:lvlText w:val="1"/>
      <w:numFmt w:val="bullet"/>
      <w:start w:val="1"/>
    </w:lvl>
  </w:abstractNum>
  <w:abstractNum w:abstractNumId="33">
    <w:nsid w:val="5E884ADC"/>
    <w:multiLevelType w:val="hybridMultilevel"/>
    <w:lvl w:ilvl="0">
      <w:lvlJc w:val="left"/>
      <w:lvlText w:val="%1"/>
      <w:numFmt w:val="upperLetter"/>
      <w:start w:val="68"/>
    </w:lvl>
  </w:abstractNum>
  <w:abstractNum w:abstractNumId="34">
    <w:nsid w:val="51EAD36B"/>
    <w:multiLevelType w:val="hybridMultilevel"/>
    <w:lvl w:ilvl="0">
      <w:lvlJc w:val="left"/>
      <w:lvlText w:val="1"/>
      <w:numFmt w:val="bullet"/>
      <w:start w:val="1"/>
    </w:lvl>
  </w:abstractNum>
  <w:abstractNum w:abstractNumId="35">
    <w:nsid w:val="2D517796"/>
    <w:multiLevelType w:val="hybridMultilevel"/>
    <w:lvl w:ilvl="0">
      <w:lvlJc w:val="left"/>
      <w:lvlText w:val="1"/>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01"/>
    </w:lvl>
  </w:abstractNum>
  <w:abstractNum w:abstractNumId="38">
    <w:nsid w:val="3855585C"/>
    <w:multiLevelType w:val="hybridMultilevel"/>
    <w:lvl w:ilvl="0">
      <w:lvlJc w:val="left"/>
      <w:lvlText w:val="*"/>
      <w:numFmt w:val="bullet"/>
      <w:start w:val="1"/>
    </w:lvl>
    <w:lvl w:ilvl="1">
      <w:lvlJc w:val="left"/>
      <w:lvlText w:val="%2"/>
      <w:numFmt w:val="decimal"/>
      <w:start w:val="104"/>
    </w:lvl>
  </w:abstractNum>
  <w:abstractNum w:abstractNumId="39">
    <w:nsid w:val="70A64E2A"/>
    <w:multiLevelType w:val="hybridMultilevel"/>
    <w:lvl w:ilvl="0">
      <w:lvlJc w:val="left"/>
      <w:lvlText w:val="**"/>
      <w:numFmt w:val="bullet"/>
      <w:start w:val="1"/>
    </w:lvl>
    <w:lvl w:ilvl="1">
      <w:lvlJc w:val="left"/>
      <w:lvlText w:val="%2"/>
      <w:numFmt w:val="decimal"/>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18" Type="http://schemas.openxmlformats.org/officeDocument/2006/relationships/hyperlink" Target="https://www.sec.gov/Archives/edgar/data/1587987/000119312514394101/d804521dn2a.htm" TargetMode="External"/><Relationship Id="rId119" Type="http://schemas.openxmlformats.org/officeDocument/2006/relationships/hyperlink" Target="https://www.sec.gov/Archives/edgar/data/1587987/000119312514350298/d714199dex992.htm" TargetMode="External"/><Relationship Id="rId120" Type="http://schemas.openxmlformats.org/officeDocument/2006/relationships/hyperlink" Target="https://www.sec.gov/ix?doc=/Archives/edgar/data/0001587987/000158798723000014/newt-20230117.htm" TargetMode="External"/><Relationship Id="rId121" Type="http://schemas.openxmlformats.org/officeDocument/2006/relationships/hyperlink" Target="https://www.sec.gov/Archives/edgar/data/1587987/000158798723000021/bylaws-01132023.htm" TargetMode="External"/><Relationship Id="rId122" Type="http://schemas.openxmlformats.org/officeDocument/2006/relationships/hyperlink" Target="https://www.sec.gov/Archives/edgar/data/1587987/000158798723000047/articlessupplementarys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2024-05-10T14:16:59Z</dcterms:created>
  <dcterms:modified xsi:type="dcterms:W3CDTF">2024-05-10T14:16:59Z</dcterms:modified>
</cp:coreProperties>
</file>