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3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 8-K</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October 28, 2026</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Date of Report (date of Earliest Event Reported)</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NEWTEKONE,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(Exact Name of Company as Specified in its Charter)</w:t>
      </w:r>
    </w:p>
    <w:p>
      <w:pPr>
        <w:spacing w:after="0" w:line="22" w:lineRule="exact"/>
        <w:rPr>
          <w:sz w:val="24"/>
          <w:szCs w:val="24"/>
          <w:color w:val="auto"/>
        </w:rPr>
      </w:pPr>
    </w:p>
    <w:tbl>
      <w:tblPr>
        <w:tblLayout w:type="fixed"/>
        <w:tblInd w:w="600" w:type="dxa"/>
        <w:tblCellMar>
          <w:top w:w="0" w:type="dxa"/>
          <w:left w:w="0" w:type="dxa"/>
          <w:bottom w:w="0" w:type="dxa"/>
          <w:right w:w="0" w:type="dxa"/>
        </w:tblCellMar>
      </w:tblPr>
      <w:tr>
        <w:trPr>
          <w:trHeight w:val="186"/>
        </w:trPr>
        <w:tc>
          <w:tcPr>
            <w:tcW w:w="3780" w:type="dxa"/>
            <w:vAlign w:val="bottom"/>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840" w:type="dxa"/>
            <w:vAlign w:val="bottom"/>
            <w:vMerge w:val="restart"/>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814-01035</w:t>
            </w:r>
          </w:p>
        </w:tc>
        <w:tc>
          <w:tcPr>
            <w:tcW w:w="28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46-3755188</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jc w:val="center"/>
              <w:ind w:right="593"/>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2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w w:val="98"/>
              </w:rPr>
              <w:t>(Commission File No.)</w:t>
            </w:r>
          </w:p>
        </w:tc>
        <w:tc>
          <w:tcPr>
            <w:tcW w:w="284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7"/>
              </w:rPr>
              <w:t>(I.R.S. Employer Identification No.)</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4800 T Rex Avenue, Suite 120, Boca Raton, Florida 33431</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2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(212) 356-9500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(Company’s telephone number, including area code)</w:t>
      </w: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(Former name or former address, if changed from last report)</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212"/>
        </w:trPr>
        <w:tc>
          <w:tcPr>
            <w:tcW w:w="41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0" w:type="dxa"/>
            <w:vAlign w:val="bottom"/>
          </w:tcPr>
          <w:p>
            <w:pPr>
              <w:spacing w:after="0"/>
              <w:rPr>
                <w:sz w:val="18"/>
                <w:szCs w:val="18"/>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NEWT</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9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9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NEWTG</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9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NEWTH</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9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2031</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NEWTO</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49"/>
        </w:trPr>
        <w:tc>
          <w:tcPr>
            <w:tcW w:w="4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Depositary Shares, each representing a 1/40th interest in a share of</w:t>
            </w:r>
          </w:p>
        </w:tc>
        <w:tc>
          <w:tcPr>
            <w:tcW w:w="2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NEWTP</w:t>
            </w:r>
          </w:p>
        </w:tc>
        <w:tc>
          <w:tcPr>
            <w:tcW w:w="4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Nasdaq Global Market LLC</w:t>
            </w:r>
          </w:p>
        </w:tc>
      </w:tr>
      <w:tr>
        <w:trPr>
          <w:trHeight w:val="138"/>
        </w:trPr>
        <w:tc>
          <w:tcPr>
            <w:tcW w:w="42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8.500% Fixed-Rate Reset Non-Cumulative Perpetual Preferred Stock,</w:t>
            </w: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0" w:type="dxa"/>
            <w:vAlign w:val="bottom"/>
          </w:tcPr>
          <w:p>
            <w:pPr>
              <w:spacing w:after="0"/>
              <w:rPr>
                <w:sz w:val="11"/>
                <w:szCs w:val="11"/>
                <w:color w:val="auto"/>
              </w:rPr>
            </w:pP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r>
    </w:tbl>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4"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4"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09" w:right="359" w:bottom="1440" w:gutter="0" w:footer="0" w:header="0"/>
        </w:sectPr>
      </w:pPr>
    </w:p>
    <w:bookmarkStart w:id="1" w:name="page2"/>
    <w:bookmarkEnd w:id="1"/>
    <w:p>
      <w:pPr>
        <w:spacing w:after="0"/>
        <w:tabs>
          <w:tab w:leader="none" w:pos="17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4"/>
          <w:szCs w:val="14"/>
          <w:b w:val="1"/>
          <w:bCs w:val="1"/>
          <w:color w:val="auto"/>
        </w:rPr>
        <w:t>o</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920"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Statements in NewtekOne, Inc.’s (“NewtekOne” or the “Company”) Current Report on Form 8-K and the Exhibit hereto contain forward-looking statements within the meaning of the Private Securities Litigation Reform Act of 1995. These statements are based on management’s current expectations and beliefs and are subject to significant risks and uncertainties. Actual results may differ materially from those set forth in the forward-looking statements. See “Note Regarding Forward-Looking Statements” and the sections entitled “Risk Factors” in the Company's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forward-looking statements were made.</w:t>
      </w:r>
    </w:p>
    <w:p>
      <w:pPr>
        <w:spacing w:after="0" w:line="1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28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On October 28, 2026, NewtekOne issued a press release announcing its financial and operating results for the quarter ended September 30, 2026. A copy of the press release is furnished as Exhibit 99.1 to this report.</w:t>
      </w:r>
    </w:p>
    <w:p>
      <w:pPr>
        <w:spacing w:after="0" w:line="146"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 and Exhibits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6205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5220" cy="6985"/>
                    </a:xfrm>
                    <a:prstGeom prst="rect">
                      <a:avLst/>
                    </a:prstGeom>
                    <a:noFill/>
                  </pic:spPr>
                </pic:pic>
              </a:graphicData>
            </a:graphic>
          </wp:anchor>
        </w:drawing>
      </w:r>
    </w:p>
    <w:p>
      <w:pPr>
        <w:spacing w:after="0" w:line="76" w:lineRule="exact"/>
        <w:rPr>
          <w:sz w:val="20"/>
          <w:szCs w:val="20"/>
          <w:color w:val="auto"/>
        </w:rPr>
      </w:pPr>
    </w:p>
    <w:p>
      <w:pPr>
        <w:ind w:left="1520"/>
        <w:spacing w:after="0"/>
        <w:tabs>
          <w:tab w:leader="none" w:pos="206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u w:val="single" w:color="auto"/>
          <w:color w:val="0000FF"/>
        </w:rPr>
        <w:t>NewtekOne, Inc. Press Release dated October 28, 2026</w:t>
      </w:r>
    </w:p>
    <w:p>
      <w:pPr>
        <w:spacing w:after="0" w:line="51"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494030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08" w:right="35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requirements of the Securities Exchange Act of 1934, the registrant has caused this report to be signed on its behalf by the undersigned, thereunto duly authorized.</w:t>
      </w:r>
    </w:p>
    <w:p>
      <w:pPr>
        <w:spacing w:after="0" w:line="2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74" w:lineRule="exact"/>
        <w:rPr>
          <w:sz w:val="20"/>
          <w:szCs w:val="20"/>
          <w:color w:val="auto"/>
        </w:rPr>
      </w:pPr>
    </w:p>
    <w:p>
      <w:pPr>
        <w:ind w:left="60"/>
        <w:spacing w:after="0"/>
        <w:tabs>
          <w:tab w:leader="none" w:pos="5480" w:val="left"/>
          <w:tab w:leader="none" w:pos="7800" w:val="left"/>
          <w:tab w:leader="none" w:pos="810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tab/>
        <w:t>B</w:t>
      </w:r>
      <w:r>
        <w:rPr>
          <w:rFonts w:ascii="Times New Roman" w:cs="Times New Roman" w:eastAsia="Times New Roman" w:hAnsi="Times New Roman"/>
          <w:sz w:val="12"/>
          <w:szCs w:val="12"/>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2"/>
          <w:szCs w:val="12"/>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14605</wp:posOffset>
            </wp:positionV>
            <wp:extent cx="33616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4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sectPr>
          <w:pgSz w:w="11900" w:h="16838" w:orient="portrait"/>
          <w:cols w:equalWidth="0" w:num="1">
            <w:col w:w="10520"/>
          </w:cols>
          <w:pgMar w:left="300" w:top="717" w:right="107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2026-10-28T15:14:55Z</dcterms:created>
  <dcterms:modified xsi:type="dcterms:W3CDTF">2026-10-28T15:14:55Z</dcterms:modified>
</cp:coreProperties>
</file>