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4" w:lineRule="exact"/>
        <w:rPr>
          <w:sz w:val="24"/>
          <w:szCs w:val="24"/>
          <w:color w:val="auto"/>
        </w:rPr>
      </w:pPr>
    </w:p>
    <w:p>
      <w:pPr>
        <w:ind w:left="200" w:hanging="195"/>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September 30, 2025</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38"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from _____to____</w:t>
      </w:r>
      <w:r>
        <w:rPr>
          <w:rFonts w:ascii="Times New Roman" w:cs="Times New Roman" w:eastAsia="Times New Roman" w:hAnsi="Times New Roman"/>
          <w:sz w:val="18"/>
          <w:szCs w:val="18"/>
          <w:b w:val="1"/>
          <w:bCs w:val="1"/>
          <w:color w:val="auto"/>
        </w:rPr>
        <w:t>_</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814-01035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NEWTEKONE,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10"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5180" w:type="dxa"/>
            <w:vAlign w:val="bottom"/>
          </w:tcPr>
          <w:p>
            <w:pPr>
              <w:jc w:val="center"/>
              <w:ind w:right="1281"/>
              <w:spacing w:after="0"/>
              <w:rPr>
                <w:sz w:val="20"/>
                <w:szCs w:val="20"/>
                <w:color w:val="auto"/>
              </w:rPr>
            </w:pPr>
            <w:r>
              <w:rPr>
                <w:rFonts w:ascii="Times New Roman" w:cs="Times New Roman" w:eastAsia="Times New Roman" w:hAnsi="Times New Roman"/>
                <w:sz w:val="18"/>
                <w:szCs w:val="18"/>
                <w:b w:val="1"/>
                <w:bCs w:val="1"/>
                <w:color w:val="auto"/>
                <w:w w:val="96"/>
              </w:rPr>
              <w:t>Maryland</w:t>
            </w:r>
          </w:p>
        </w:tc>
        <w:tc>
          <w:tcPr>
            <w:tcW w:w="3400" w:type="dxa"/>
            <w:vAlign w:val="bottom"/>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46-3755188</w:t>
            </w:r>
          </w:p>
        </w:tc>
      </w:tr>
      <w:tr>
        <w:trPr>
          <w:trHeight w:val="183"/>
        </w:trPr>
        <w:tc>
          <w:tcPr>
            <w:tcW w:w="5180" w:type="dxa"/>
            <w:vAlign w:val="bottom"/>
          </w:tcPr>
          <w:p>
            <w:pPr>
              <w:jc w:val="center"/>
              <w:ind w:right="1281"/>
              <w:spacing w:after="0"/>
              <w:rPr>
                <w:sz w:val="20"/>
                <w:szCs w:val="20"/>
                <w:color w:val="auto"/>
              </w:rPr>
            </w:pPr>
            <w:r>
              <w:rPr>
                <w:rFonts w:ascii="Times New Roman" w:cs="Times New Roman" w:eastAsia="Times New Roman" w:hAnsi="Times New Roman"/>
                <w:sz w:val="14"/>
                <w:szCs w:val="14"/>
                <w:color w:val="auto"/>
                <w:w w:val="99"/>
              </w:rPr>
              <w:t>(State or other jurisdiction of incorporation or organization)</w:t>
            </w:r>
          </w:p>
        </w:tc>
        <w:tc>
          <w:tcPr>
            <w:tcW w:w="3400" w:type="dxa"/>
            <w:vAlign w:val="bottom"/>
          </w:tcPr>
          <w:p>
            <w:pPr>
              <w:jc w:val="center"/>
              <w:ind w:left="1301"/>
              <w:spacing w:after="0"/>
              <w:rPr>
                <w:sz w:val="20"/>
                <w:szCs w:val="20"/>
                <w:color w:val="auto"/>
              </w:rPr>
            </w:pPr>
            <w:r>
              <w:rPr>
                <w:rFonts w:ascii="Times New Roman" w:cs="Times New Roman" w:eastAsia="Times New Roman" w:hAnsi="Times New Roman"/>
                <w:sz w:val="14"/>
                <w:szCs w:val="14"/>
                <w:color w:val="auto"/>
                <w:w w:val="99"/>
              </w:rPr>
              <w:t>(I.R.S. Employer Identification No.)</w:t>
            </w:r>
          </w:p>
        </w:tc>
      </w:tr>
      <w:tr>
        <w:trPr>
          <w:trHeight w:val="290"/>
        </w:trPr>
        <w:tc>
          <w:tcPr>
            <w:tcW w:w="5180" w:type="dxa"/>
            <w:vAlign w:val="bottom"/>
          </w:tcPr>
          <w:p>
            <w:pPr>
              <w:jc w:val="center"/>
              <w:ind w:right="1281"/>
              <w:spacing w:after="0"/>
              <w:rPr>
                <w:sz w:val="20"/>
                <w:szCs w:val="20"/>
                <w:color w:val="auto"/>
              </w:rPr>
            </w:pPr>
            <w:r>
              <w:rPr>
                <w:rFonts w:ascii="Times New Roman" w:cs="Times New Roman" w:eastAsia="Times New Roman" w:hAnsi="Times New Roman"/>
                <w:sz w:val="18"/>
                <w:szCs w:val="18"/>
                <w:b w:val="1"/>
                <w:bCs w:val="1"/>
                <w:color w:val="auto"/>
                <w:w w:val="97"/>
              </w:rPr>
              <w:t>4800 T Rex Avenue, Suite 120, Boca Raton, Florida</w:t>
            </w:r>
          </w:p>
        </w:tc>
        <w:tc>
          <w:tcPr>
            <w:tcW w:w="3400" w:type="dxa"/>
            <w:vAlign w:val="bottom"/>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33431</w:t>
            </w:r>
          </w:p>
        </w:tc>
      </w:tr>
      <w:tr>
        <w:trPr>
          <w:trHeight w:val="183"/>
        </w:trPr>
        <w:tc>
          <w:tcPr>
            <w:tcW w:w="5180" w:type="dxa"/>
            <w:vAlign w:val="bottom"/>
          </w:tcPr>
          <w:p>
            <w:pPr>
              <w:jc w:val="center"/>
              <w:ind w:right="1281"/>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3400" w:type="dxa"/>
            <w:vAlign w:val="bottom"/>
          </w:tcPr>
          <w:p>
            <w:pPr>
              <w:jc w:val="center"/>
              <w:ind w:left="130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(212) 356-9500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Name of each exchange on which registered</w:t>
            </w:r>
          </w:p>
        </w:tc>
      </w:tr>
      <w:tr>
        <w:trPr>
          <w:trHeight w:val="212"/>
        </w:trPr>
        <w:tc>
          <w:tcPr>
            <w:tcW w:w="4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$0.02 per share</w:t>
            </w:r>
          </w:p>
        </w:tc>
        <w:tc>
          <w:tcPr>
            <w:tcW w:w="10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NEWT</w:t>
            </w:r>
          </w:p>
        </w:tc>
        <w:tc>
          <w:tcPr>
            <w:tcW w:w="100" w:type="dxa"/>
            <w:vAlign w:val="bottom"/>
          </w:tcPr>
          <w:p>
            <w:pPr>
              <w:spacing w:after="0"/>
              <w:rPr>
                <w:sz w:val="18"/>
                <w:szCs w:val="18"/>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Nasdaq Global Market LLC</w:t>
            </w:r>
          </w:p>
        </w:tc>
      </w:tr>
      <w:tr>
        <w:trPr>
          <w:trHeight w:val="22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5.50% Notes due 2026</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NEWTZ</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Nasdaq Global Market LLC</w:t>
            </w:r>
          </w:p>
        </w:tc>
      </w:tr>
      <w:tr>
        <w:trPr>
          <w:trHeight w:val="22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8.00% Notes due 2028</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NEWTI</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Nasdaq Global Market LLC</w:t>
            </w:r>
          </w:p>
        </w:tc>
      </w:tr>
      <w:tr>
        <w:trPr>
          <w:trHeight w:val="22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8.50% Notes due 2029</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NEWTG</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Nasdaq Global Market LLC</w:t>
            </w:r>
          </w:p>
        </w:tc>
      </w:tr>
      <w:tr>
        <w:trPr>
          <w:trHeight w:val="22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8.625% Notes due 2029</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NEWTH</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Nasdaq Global Market LLC</w:t>
            </w:r>
          </w:p>
        </w:tc>
      </w:tr>
      <w:tr>
        <w:trPr>
          <w:trHeight w:val="176"/>
        </w:trPr>
        <w:tc>
          <w:tcPr>
            <w:tcW w:w="4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Depositary Shares, each representing a 1/40th interest in a share of</w:t>
            </w:r>
          </w:p>
        </w:tc>
        <w:tc>
          <w:tcPr>
            <w:tcW w:w="20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6"/>
              </w:rPr>
              <w:t>NEWTP</w:t>
            </w:r>
          </w:p>
        </w:tc>
        <w:tc>
          <w:tcPr>
            <w:tcW w:w="4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Nasdaq Global Market LLC</w:t>
            </w:r>
          </w:p>
        </w:tc>
      </w:tr>
      <w:tr>
        <w:trPr>
          <w:trHeight w:val="171"/>
        </w:trPr>
        <w:tc>
          <w:tcPr>
            <w:tcW w:w="49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8.500% Fixed-Rate Reset Non-Cumulative Perpetual Preferred</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22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Series B</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r>
    </w:tbl>
    <w:p>
      <w:pPr>
        <w:spacing w:after="0" w:line="306"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6" w:lineRule="exact"/>
        <w:rPr>
          <w:sz w:val="24"/>
          <w:szCs w:val="24"/>
          <w:color w:val="auto"/>
        </w:rPr>
      </w:pPr>
    </w:p>
    <w:p>
      <w:pPr>
        <w:ind w:right="12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513080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20"/>
              <w:spacing w:after="0"/>
              <w:rPr>
                <w:sz w:val="20"/>
                <w:szCs w:val="20"/>
                <w:color w:val="auto"/>
              </w:rPr>
            </w:pPr>
            <w:r>
              <w:rPr>
                <w:rFonts w:ascii="Wingdings" w:cs="Wingdings" w:eastAsia="Wingdings" w:hAnsi="Wingdings"/>
                <w:sz w:val="18"/>
                <w:szCs w:val="18"/>
                <w:b w:val="1"/>
                <w:bCs w:val="1"/>
                <w:color w:val="auto"/>
              </w:rPr>
              <w:t>o</w:t>
            </w: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580"/>
              <w:spacing w:after="0"/>
              <w:rPr>
                <w:sz w:val="20"/>
                <w:szCs w:val="20"/>
                <w:color w:val="auto"/>
              </w:rPr>
            </w:pPr>
            <w:r>
              <w:rPr>
                <w:rFonts w:ascii="Wingdings" w:cs="Wingdings" w:eastAsia="Wingdings" w:hAnsi="Wingdings"/>
                <w:sz w:val="18"/>
                <w:szCs w:val="18"/>
                <w:b w:val="1"/>
                <w:bCs w:val="1"/>
                <w:color w:val="auto"/>
                <w:w w:val="83"/>
              </w:rPr>
              <w:t>x</w:t>
            </w:r>
          </w:p>
        </w:tc>
      </w:tr>
      <w:tr>
        <w:trPr>
          <w:trHeight w:val="27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20"/>
              <w:spacing w:after="0"/>
              <w:rPr>
                <w:sz w:val="20"/>
                <w:szCs w:val="20"/>
                <w:color w:val="auto"/>
              </w:rPr>
            </w:pPr>
            <w:r>
              <w:rPr>
                <w:rFonts w:ascii="Wingdings" w:cs="Wingdings" w:eastAsia="Wingdings" w:hAnsi="Wingdings"/>
                <w:sz w:val="18"/>
                <w:szCs w:val="18"/>
                <w:b w:val="1"/>
                <w:bCs w:val="1"/>
                <w:color w:val="auto"/>
              </w:rPr>
              <w:t>o</w:t>
            </w: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580"/>
              <w:spacing w:after="0"/>
              <w:rPr>
                <w:sz w:val="20"/>
                <w:szCs w:val="20"/>
                <w:color w:val="auto"/>
              </w:rPr>
            </w:pPr>
            <w:r>
              <w:rPr>
                <w:rFonts w:ascii="Wingdings" w:cs="Wingdings" w:eastAsia="Wingdings" w:hAnsi="Wingdings"/>
                <w:sz w:val="18"/>
                <w:szCs w:val="18"/>
                <w:b w:val="1"/>
                <w:bCs w:val="1"/>
                <w:color w:val="auto"/>
                <w:w w:val="99"/>
              </w:rPr>
              <w:t>o</w:t>
            </w:r>
          </w:p>
        </w:tc>
      </w:tr>
      <w:tr>
        <w:trPr>
          <w:trHeight w:val="276"/>
        </w:trPr>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58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6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 w:cs="Wingdings" w:eastAsia="Wingdings" w:hAnsi="Wingdings"/>
          <w:sz w:val="18"/>
          <w:szCs w:val="18"/>
          <w:b w:val="1"/>
          <w:bCs w:val="1"/>
          <w:color w:val="auto"/>
        </w:rPr>
        <w:t>o</w:t>
      </w:r>
    </w:p>
    <w:p>
      <w:pPr>
        <w:spacing w:after="0" w:line="36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6, 2025, there were 28,887,295 shares outstanding of the registrant’s Common Stock, par value $0.02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694055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1081"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80" w:type="dxa"/>
            <w:vAlign w:val="bottom"/>
          </w:tcPr>
          <w:p>
            <w:pPr>
              <w:spacing w:after="0"/>
              <w:rPr>
                <w:sz w:val="23"/>
                <w:szCs w:val="23"/>
                <w:color w:val="auto"/>
              </w:rPr>
            </w:pPr>
          </w:p>
        </w:tc>
        <w:tc>
          <w:tcPr>
            <w:tcW w:w="8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Defined Terms</w:t>
            </w: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gridSpan w:val="17"/>
          </w:tcPr>
          <w:p>
            <w:pPr>
              <w:jc w:val="center"/>
              <w:ind w:right="3180"/>
              <w:spacing w:after="0" w:line="203" w:lineRule="exact"/>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6"/>
              </w:rPr>
              <w:t>Financial Statements:</w:t>
            </w:r>
          </w:p>
        </w:tc>
        <w:tc>
          <w:tcPr>
            <w:tcW w:w="760" w:type="dxa"/>
            <w:vAlign w:val="bottom"/>
            <w:gridSpan w:val="4"/>
          </w:tcPr>
          <w:p>
            <w:pPr>
              <w:spacing w:after="0"/>
              <w:rPr>
                <w:sz w:val="22"/>
                <w:szCs w:val="22"/>
                <w:color w:val="auto"/>
              </w:rPr>
            </w:pPr>
          </w:p>
        </w:tc>
        <w:tc>
          <w:tcPr>
            <w:tcW w:w="3040" w:type="dxa"/>
            <w:vAlign w:val="bottom"/>
            <w:tcBorders>
              <w:top w:val="single" w:sz="8" w:color="0000FF"/>
            </w:tcBorders>
            <w:gridSpan w:val="6"/>
          </w:tcPr>
          <w:p>
            <w:pPr>
              <w:spacing w:after="0"/>
              <w:rPr>
                <w:sz w:val="22"/>
                <w:szCs w:val="22"/>
                <w:color w:val="auto"/>
              </w:rPr>
            </w:pPr>
          </w:p>
        </w:tc>
        <w:tc>
          <w:tcPr>
            <w:tcW w:w="3180" w:type="dxa"/>
            <w:vAlign w:val="bottom"/>
            <w:gridSpan w:val="11"/>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8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Statements of Financial Condition as of September 30, 2025 (Unaudited) and December 31, 2024</w:t>
            </w: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80" w:type="dxa"/>
            <w:vAlign w:val="bottom"/>
          </w:tcPr>
          <w:p>
            <w:pPr>
              <w:spacing w:after="0"/>
              <w:rPr>
                <w:sz w:val="22"/>
                <w:szCs w:val="22"/>
                <w:color w:val="auto"/>
              </w:rPr>
            </w:pPr>
          </w:p>
        </w:tc>
        <w:tc>
          <w:tcPr>
            <w:tcW w:w="8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three and nine months ended September 30, 2025 and 2024 (Unaudited)</w:t>
            </w: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80" w:type="dxa"/>
            <w:vAlign w:val="bottom"/>
          </w:tcPr>
          <w:p>
            <w:pPr>
              <w:spacing w:after="0"/>
              <w:rPr>
                <w:sz w:val="22"/>
                <w:szCs w:val="22"/>
                <w:color w:val="auto"/>
              </w:rPr>
            </w:pPr>
          </w:p>
        </w:tc>
        <w:tc>
          <w:tcPr>
            <w:tcW w:w="8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 for the three and nine months ended September 30, 2025 and 2024</w:t>
            </w:r>
          </w:p>
        </w:tc>
        <w:tc>
          <w:tcPr>
            <w:tcW w:w="1460" w:type="dxa"/>
            <w:vAlign w:val="bottom"/>
            <w:gridSpan w:val="2"/>
            <w:vMerge w:val="restart"/>
          </w:tcPr>
          <w:p>
            <w:pPr>
              <w:jc w:val="right"/>
              <w:ind w:right="110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1"/>
        </w:trPr>
        <w:tc>
          <w:tcPr>
            <w:tcW w:w="1280" w:type="dxa"/>
            <w:vAlign w:val="bottom"/>
          </w:tcPr>
          <w:p>
            <w:pPr>
              <w:spacing w:after="0"/>
              <w:rPr>
                <w:sz w:val="13"/>
                <w:szCs w:val="13"/>
                <w:color w:val="auto"/>
              </w:rPr>
            </w:pPr>
          </w:p>
        </w:tc>
        <w:tc>
          <w:tcPr>
            <w:tcW w:w="860" w:type="dxa"/>
            <w:vAlign w:val="bottom"/>
            <w:tcBorders>
              <w:top w:val="single" w:sz="8" w:color="0000FF"/>
              <w:bottom w:val="single" w:sz="8" w:color="0000FF"/>
            </w:tcBorders>
            <w:gridSpan w:val="5"/>
          </w:tcPr>
          <w:p>
            <w:pPr>
              <w:spacing w:after="0" w:line="138" w:lineRule="exact"/>
              <w:rPr>
                <w:sz w:val="20"/>
                <w:szCs w:val="20"/>
                <w:color w:val="auto"/>
              </w:rPr>
            </w:pPr>
            <w:r>
              <w:rPr>
                <w:rFonts w:ascii="Times New Roman" w:cs="Times New Roman" w:eastAsia="Times New Roman" w:hAnsi="Times New Roman"/>
                <w:sz w:val="15"/>
                <w:szCs w:val="15"/>
                <w:color w:val="0000FF"/>
              </w:rPr>
              <w:t>(Unaudited)</w:t>
            </w:r>
          </w:p>
        </w:tc>
        <w:tc>
          <w:tcPr>
            <w:tcW w:w="7480" w:type="dxa"/>
            <w:vAlign w:val="bottom"/>
            <w:tcBorders>
              <w:top w:val="single" w:sz="8" w:color="0000FF"/>
            </w:tcBorders>
            <w:gridSpan w:val="25"/>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80" w:type="dxa"/>
            <w:vAlign w:val="bottom"/>
          </w:tcPr>
          <w:p>
            <w:pPr>
              <w:spacing w:after="0"/>
              <w:rPr>
                <w:sz w:val="23"/>
                <w:szCs w:val="23"/>
                <w:color w:val="auto"/>
              </w:rPr>
            </w:pPr>
          </w:p>
        </w:tc>
        <w:tc>
          <w:tcPr>
            <w:tcW w:w="8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Shareholders’ Equity for the three and nine months ended September 30, 2025</w:t>
            </w:r>
          </w:p>
        </w:tc>
        <w:tc>
          <w:tcPr>
            <w:tcW w:w="1460" w:type="dxa"/>
            <w:vAlign w:val="bottom"/>
            <w:gridSpan w:val="2"/>
            <w:vMerge w:val="restart"/>
          </w:tcPr>
          <w:p>
            <w:pPr>
              <w:jc w:val="right"/>
              <w:ind w:right="1100"/>
              <w:spacing w:after="0"/>
              <w:rPr>
                <w:sz w:val="20"/>
                <w:szCs w:val="20"/>
                <w:color w:val="auto"/>
              </w:rPr>
            </w:pPr>
            <w:r>
              <w:rPr>
                <w:rFonts w:ascii="Times New Roman" w:cs="Times New Roman" w:eastAsia="Times New Roman" w:hAnsi="Times New Roman"/>
                <w:sz w:val="18"/>
                <w:szCs w:val="18"/>
                <w:color w:val="0000FF"/>
              </w:rPr>
              <w:t>13</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760" w:type="dxa"/>
            <w:vAlign w:val="bottom"/>
            <w:tcBorders>
              <w:top w:val="single" w:sz="8" w:color="0000FF"/>
              <w:bottom w:val="single" w:sz="8" w:color="0000FF"/>
            </w:tcBorders>
            <w:gridSpan w:val="4"/>
          </w:tcPr>
          <w:p>
            <w:pPr>
              <w:spacing w:after="0" w:line="138" w:lineRule="exact"/>
              <w:rPr>
                <w:sz w:val="20"/>
                <w:szCs w:val="20"/>
                <w:color w:val="auto"/>
              </w:rPr>
            </w:pPr>
            <w:r>
              <w:rPr>
                <w:rFonts w:ascii="Times New Roman" w:cs="Times New Roman" w:eastAsia="Times New Roman" w:hAnsi="Times New Roman"/>
                <w:sz w:val="15"/>
                <w:szCs w:val="15"/>
                <w:color w:val="0000FF"/>
              </w:rPr>
              <w:t xml:space="preserve">and 2024 </w:t>
            </w:r>
            <w:r>
              <w:rPr>
                <w:rFonts w:ascii="Times New Roman" w:cs="Times New Roman" w:eastAsia="Times New Roman" w:hAnsi="Times New Roman"/>
                <w:sz w:val="15"/>
                <w:szCs w:val="15"/>
                <w:color w:val="000000"/>
              </w:rPr>
              <w:t>(</w:t>
            </w:r>
          </w:p>
        </w:tc>
        <w:tc>
          <w:tcPr>
            <w:tcW w:w="780" w:type="dxa"/>
            <w:vAlign w:val="bottom"/>
            <w:tcBorders>
              <w:top w:val="single" w:sz="8" w:color="0000FF"/>
              <w:bottom w:val="single" w:sz="8" w:color="0000FF"/>
            </w:tcBorders>
            <w:gridSpan w:val="7"/>
          </w:tcPr>
          <w:p>
            <w:pPr>
              <w:spacing w:after="0" w:line="138" w:lineRule="exact"/>
              <w:rPr>
                <w:sz w:val="20"/>
                <w:szCs w:val="20"/>
                <w:color w:val="auto"/>
              </w:rPr>
            </w:pPr>
            <w:r>
              <w:rPr>
                <w:rFonts w:ascii="Times New Roman" w:cs="Times New Roman" w:eastAsia="Times New Roman" w:hAnsi="Times New Roman"/>
                <w:sz w:val="15"/>
                <w:szCs w:val="15"/>
                <w:color w:val="0000FF"/>
              </w:rPr>
              <w:t>Unaudited)</w:t>
            </w:r>
          </w:p>
        </w:tc>
        <w:tc>
          <w:tcPr>
            <w:tcW w:w="180" w:type="dxa"/>
            <w:vAlign w:val="bottom"/>
            <w:tcBorders>
              <w:top w:val="single" w:sz="8" w:color="0000FF"/>
              <w:bottom w:val="single" w:sz="8" w:color="0000FF"/>
            </w:tcBorders>
          </w:tcPr>
          <w:p>
            <w:pPr>
              <w:spacing w:after="0"/>
              <w:rPr>
                <w:sz w:val="14"/>
                <w:szCs w:val="14"/>
                <w:color w:val="auto"/>
              </w:rPr>
            </w:pPr>
          </w:p>
        </w:tc>
        <w:tc>
          <w:tcPr>
            <w:tcW w:w="540" w:type="dxa"/>
            <w:vAlign w:val="bottom"/>
            <w:tcBorders>
              <w:top w:val="single" w:sz="8" w:color="0000FF"/>
              <w:bottom w:val="single" w:sz="8" w:color="0000FF"/>
            </w:tcBorders>
          </w:tcPr>
          <w:p>
            <w:pPr>
              <w:spacing w:after="0"/>
              <w:rPr>
                <w:sz w:val="14"/>
                <w:szCs w:val="14"/>
                <w:color w:val="auto"/>
              </w:rPr>
            </w:pPr>
          </w:p>
        </w:tc>
        <w:tc>
          <w:tcPr>
            <w:tcW w:w="160" w:type="dxa"/>
            <w:vAlign w:val="bottom"/>
            <w:tcBorders>
              <w:top w:val="single" w:sz="8" w:color="0000FF"/>
              <w:bottom w:val="single" w:sz="8" w:color="0000FF"/>
            </w:tcBorders>
            <w:gridSpan w:val="2"/>
          </w:tcPr>
          <w:p>
            <w:pPr>
              <w:spacing w:after="0"/>
              <w:rPr>
                <w:sz w:val="14"/>
                <w:szCs w:val="14"/>
                <w:color w:val="auto"/>
              </w:rPr>
            </w:pPr>
          </w:p>
        </w:tc>
        <w:tc>
          <w:tcPr>
            <w:tcW w:w="1540" w:type="dxa"/>
            <w:vAlign w:val="bottom"/>
            <w:tcBorders>
              <w:top w:val="single" w:sz="8" w:color="0000FF"/>
              <w:bottom w:val="single" w:sz="8" w:color="0000FF"/>
            </w:tcBorders>
          </w:tcPr>
          <w:p>
            <w:pPr>
              <w:spacing w:after="0"/>
              <w:rPr>
                <w:sz w:val="14"/>
                <w:szCs w:val="14"/>
                <w:color w:val="auto"/>
              </w:rPr>
            </w:pPr>
          </w:p>
        </w:tc>
        <w:tc>
          <w:tcPr>
            <w:tcW w:w="280" w:type="dxa"/>
            <w:vAlign w:val="bottom"/>
            <w:tcBorders>
              <w:top w:val="single" w:sz="8" w:color="0000FF"/>
              <w:bottom w:val="single" w:sz="8" w:color="0000FF"/>
            </w:tcBorders>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920" w:type="dxa"/>
            <w:vAlign w:val="bottom"/>
            <w:tcBorders>
              <w:top w:val="single" w:sz="8" w:color="0000FF"/>
              <w:bottom w:val="single" w:sz="8" w:color="0000FF"/>
            </w:tcBorders>
          </w:tcPr>
          <w:p>
            <w:pPr>
              <w:spacing w:after="0"/>
              <w:rPr>
                <w:sz w:val="14"/>
                <w:szCs w:val="14"/>
                <w:color w:val="auto"/>
              </w:rPr>
            </w:pPr>
          </w:p>
        </w:tc>
        <w:tc>
          <w:tcPr>
            <w:tcW w:w="1120" w:type="dxa"/>
            <w:vAlign w:val="bottom"/>
            <w:tcBorders>
              <w:top w:val="single" w:sz="8" w:color="0000FF"/>
              <w:bottom w:val="single" w:sz="8" w:color="0000FF"/>
            </w:tcBorders>
            <w:gridSpan w:val="2"/>
          </w:tcPr>
          <w:p>
            <w:pPr>
              <w:spacing w:after="0"/>
              <w:rPr>
                <w:sz w:val="14"/>
                <w:szCs w:val="14"/>
                <w:color w:val="auto"/>
              </w:rPr>
            </w:pPr>
          </w:p>
        </w:tc>
        <w:tc>
          <w:tcPr>
            <w:tcW w:w="520" w:type="dxa"/>
            <w:vAlign w:val="bottom"/>
            <w:tcBorders>
              <w:top w:val="single" w:sz="8" w:color="0000FF"/>
              <w:bottom w:val="single" w:sz="8" w:color="0000FF"/>
            </w:tcBorders>
          </w:tcPr>
          <w:p>
            <w:pPr>
              <w:spacing w:after="0"/>
              <w:rPr>
                <w:sz w:val="14"/>
                <w:szCs w:val="14"/>
                <w:color w:val="auto"/>
              </w:rPr>
            </w:pPr>
          </w:p>
        </w:tc>
        <w:tc>
          <w:tcPr>
            <w:tcW w:w="40" w:type="dxa"/>
            <w:vAlign w:val="bottom"/>
            <w:tcBorders>
              <w:top w:val="single" w:sz="8" w:color="0000FF"/>
              <w:bottom w:val="single" w:sz="8" w:color="0000FF"/>
            </w:tcBorders>
          </w:tcPr>
          <w:p>
            <w:pPr>
              <w:spacing w:after="0"/>
              <w:rPr>
                <w:sz w:val="14"/>
                <w:szCs w:val="14"/>
                <w:color w:val="auto"/>
              </w:rPr>
            </w:pPr>
          </w:p>
        </w:tc>
        <w:tc>
          <w:tcPr>
            <w:tcW w:w="840" w:type="dxa"/>
            <w:vAlign w:val="bottom"/>
            <w:tcBorders>
              <w:top w:val="single" w:sz="8" w:color="0000FF"/>
              <w:bottom w:val="single" w:sz="8" w:color="0000FF"/>
            </w:tcBorders>
            <w:gridSpan w:val="3"/>
          </w:tcPr>
          <w:p>
            <w:pPr>
              <w:spacing w:after="0"/>
              <w:rPr>
                <w:sz w:val="14"/>
                <w:szCs w:val="14"/>
                <w:color w:val="auto"/>
              </w:rPr>
            </w:pPr>
          </w:p>
        </w:tc>
        <w:tc>
          <w:tcPr>
            <w:tcW w:w="600" w:type="dxa"/>
            <w:vAlign w:val="bottom"/>
            <w:tcBorders>
              <w:top w:val="single" w:sz="8" w:color="0000FF"/>
              <w:bottom w:val="single" w:sz="8" w:color="0000FF"/>
            </w:tcBorders>
            <w:gridSpan w:val="3"/>
          </w:tcPr>
          <w:p>
            <w:pPr>
              <w:spacing w:after="0"/>
              <w:rPr>
                <w:sz w:val="14"/>
                <w:szCs w:val="14"/>
                <w:color w:val="auto"/>
              </w:rPr>
            </w:pPr>
          </w:p>
        </w:tc>
        <w:tc>
          <w:tcPr>
            <w:tcW w:w="200" w:type="dxa"/>
            <w:vAlign w:val="bottom"/>
            <w:gridSpan w:val="2"/>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280" w:type="dxa"/>
            <w:vAlign w:val="bottom"/>
          </w:tcPr>
          <w:p>
            <w:pPr>
              <w:spacing w:after="0"/>
              <w:rPr>
                <w:sz w:val="21"/>
                <w:szCs w:val="21"/>
                <w:color w:val="auto"/>
              </w:rPr>
            </w:pPr>
          </w:p>
        </w:tc>
        <w:tc>
          <w:tcPr>
            <w:tcW w:w="8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2025 and 2024 (Unaudited)</w:t>
            </w: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15</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39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6"/>
              </w:rPr>
              <w:t>Notes to Consolidated Financial Statements (Unaudited)</w:t>
            </w:r>
          </w:p>
        </w:tc>
        <w:tc>
          <w:tcPr>
            <w:tcW w:w="2860" w:type="dxa"/>
            <w:vAlign w:val="bottom"/>
            <w:tcBorders>
              <w:top w:val="single" w:sz="8" w:color="0000FF"/>
            </w:tcBorders>
            <w:gridSpan w:val="6"/>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Borders>
              <w:top w:val="single" w:sz="8" w:color="0000FF"/>
            </w:tcBorders>
            <w:gridSpan w:val="3"/>
          </w:tcPr>
          <w:p>
            <w:pPr>
              <w:spacing w:after="0"/>
              <w:rPr>
                <w:sz w:val="22"/>
                <w:szCs w:val="22"/>
                <w:color w:val="auto"/>
              </w:rPr>
            </w:pPr>
          </w:p>
        </w:tc>
        <w:tc>
          <w:tcPr>
            <w:tcW w:w="800" w:type="dxa"/>
            <w:vAlign w:val="bottom"/>
            <w:gridSpan w:val="5"/>
          </w:tcPr>
          <w:p>
            <w:pPr>
              <w:spacing w:after="0"/>
              <w:rPr>
                <w:sz w:val="22"/>
                <w:szCs w:val="22"/>
                <w:color w:val="auto"/>
              </w:rPr>
            </w:pP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18</w:t>
            </w: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200" w:type="dxa"/>
            <w:vAlign w:val="bottom"/>
            <w:gridSpan w:val="10"/>
          </w:tcPr>
          <w:p>
            <w:pPr>
              <w:spacing w:after="0"/>
              <w:rPr>
                <w:sz w:val="22"/>
                <w:szCs w:val="22"/>
                <w:color w:val="auto"/>
              </w:rPr>
            </w:pP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240" w:type="dxa"/>
            <w:vAlign w:val="bottom"/>
            <w:gridSpan w:val="13"/>
          </w:tcPr>
          <w:p>
            <w:pPr>
              <w:spacing w:after="0"/>
              <w:rPr>
                <w:sz w:val="22"/>
                <w:szCs w:val="22"/>
                <w:color w:val="auto"/>
              </w:rPr>
            </w:pP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 - OTHER INFORMATION</w:t>
            </w:r>
          </w:p>
        </w:tc>
        <w:tc>
          <w:tcPr>
            <w:tcW w:w="3320" w:type="dxa"/>
            <w:vAlign w:val="bottom"/>
            <w:gridSpan w:val="12"/>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200" w:type="dxa"/>
            <w:vAlign w:val="bottom"/>
            <w:gridSpan w:val="22"/>
          </w:tcPr>
          <w:p>
            <w:pPr>
              <w:spacing w:after="0"/>
              <w:rPr>
                <w:sz w:val="22"/>
                <w:szCs w:val="22"/>
                <w:color w:val="auto"/>
              </w:rPr>
            </w:pP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260" w:type="dxa"/>
            <w:vAlign w:val="bottom"/>
            <w:gridSpan w:val="1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2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260" w:type="dxa"/>
            <w:vAlign w:val="bottom"/>
            <w:gridSpan w:val="14"/>
          </w:tcPr>
          <w:p>
            <w:pPr>
              <w:spacing w:after="0"/>
              <w:rPr>
                <w:sz w:val="22"/>
                <w:szCs w:val="22"/>
                <w:color w:val="auto"/>
              </w:rPr>
            </w:pP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22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240" w:type="dxa"/>
            <w:vAlign w:val="bottom"/>
            <w:gridSpan w:val="18"/>
          </w:tcPr>
          <w:p>
            <w:pPr>
              <w:spacing w:after="0"/>
              <w:rPr>
                <w:sz w:val="22"/>
                <w:szCs w:val="22"/>
                <w:color w:val="auto"/>
              </w:rPr>
            </w:pP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7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780" w:type="dxa"/>
            <w:vAlign w:val="bottom"/>
            <w:gridSpan w:val="19"/>
          </w:tcPr>
          <w:p>
            <w:pPr>
              <w:spacing w:after="0"/>
              <w:rPr>
                <w:sz w:val="22"/>
                <w:szCs w:val="22"/>
                <w:color w:val="auto"/>
              </w:rPr>
            </w:pP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20" w:type="dxa"/>
            <w:vAlign w:val="bottom"/>
            <w:gridSpan w:val="23"/>
          </w:tcPr>
          <w:p>
            <w:pPr>
              <w:spacing w:after="0"/>
              <w:rPr>
                <w:sz w:val="22"/>
                <w:szCs w:val="22"/>
                <w:color w:val="auto"/>
              </w:rPr>
            </w:pP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760" w:type="dxa"/>
            <w:vAlign w:val="bottom"/>
            <w:gridSpan w:val="28"/>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80" w:type="dxa"/>
            <w:vAlign w:val="bottom"/>
          </w:tcPr>
          <w:p>
            <w:pPr>
              <w:spacing w:after="0"/>
              <w:rPr>
                <w:sz w:val="22"/>
                <w:szCs w:val="22"/>
                <w:color w:val="auto"/>
              </w:rPr>
            </w:pPr>
          </w:p>
        </w:tc>
        <w:tc>
          <w:tcPr>
            <w:tcW w:w="8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0000FF"/>
              </w:rPr>
              <w:t>110</w:t>
            </w:r>
          </w:p>
        </w:tc>
        <w:tc>
          <w:tcPr>
            <w:tcW w:w="0" w:type="dxa"/>
            <w:vAlign w:val="bottom"/>
          </w:tcPr>
          <w:p>
            <w:pPr>
              <w:spacing w:after="0"/>
              <w:rPr>
                <w:sz w:val="1"/>
                <w:szCs w:val="1"/>
                <w:color w:val="auto"/>
              </w:rPr>
            </w:pPr>
          </w:p>
        </w:tc>
      </w:tr>
      <w:tr>
        <w:trPr>
          <w:trHeight w:val="972"/>
        </w:trPr>
        <w:tc>
          <w:tcPr>
            <w:tcW w:w="128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4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We have used “we,” “us,” “our,” “our company,” and “the Company” to refer to NewtekOne, Inc. and its subsidiaries in this report. We also have used several other terms in this report, which are explained or defined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8220" w:type="dxa"/>
            <w:vAlign w:val="bottom"/>
            <w:tcBorders>
              <w:bottom w:val="single" w:sz="8" w:color="CCEEFF"/>
            </w:tcBorders>
          </w:tcPr>
          <w:p>
            <w:pPr>
              <w:spacing w:after="0"/>
              <w:rPr>
                <w:sz w:val="20"/>
                <w:szCs w:val="20"/>
                <w:color w:val="auto"/>
              </w:rPr>
            </w:pPr>
          </w:p>
        </w:tc>
      </w:tr>
      <w:tr>
        <w:trPr>
          <w:trHeight w:val="217"/>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1940</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Company Act of 1940, as amended</w:t>
            </w:r>
          </w:p>
        </w:tc>
      </w:tr>
      <w:tr>
        <w:trPr>
          <w:trHeight w:val="22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2017-1 Trust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2017-1, terminated in February 2023</w:t>
            </w:r>
          </w:p>
        </w:tc>
      </w:tr>
      <w:tr>
        <w:trPr>
          <w:trHeight w:val="223"/>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2018-1 Trust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2018-1, terminated in October 2024</w:t>
            </w:r>
          </w:p>
        </w:tc>
      </w:tr>
      <w:tr>
        <w:trPr>
          <w:trHeight w:val="22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2019-1 Trust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2019-1, terminated in October 2024</w:t>
            </w:r>
          </w:p>
        </w:tc>
      </w:tr>
      <w:tr>
        <w:trPr>
          <w:trHeight w:val="223"/>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2021-1 Trust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2021-1</w:t>
            </w:r>
          </w:p>
        </w:tc>
      </w:tr>
      <w:tr>
        <w:trPr>
          <w:trHeight w:val="22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2022-1 Trust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2022-1</w:t>
            </w:r>
          </w:p>
        </w:tc>
      </w:tr>
      <w:tr>
        <w:trPr>
          <w:trHeight w:val="223"/>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2023-1 Trust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2023-1</w:t>
            </w:r>
          </w:p>
        </w:tc>
      </w:tr>
      <w:tr>
        <w:trPr>
          <w:trHeight w:val="22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2025-1 Trust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NALP Business Loan Trust, Series 2025-1</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5.75% Notes due 2024, matured August 1, 2024</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Notes due 2025, matured March 31, 2025</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8.125% 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8.125% Notes due 2025, exchanged for 2027 Notes</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Collectively, the 2025 5.00% Notes and 2025 8.125% Notes</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 Notes due 2026</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8.125% Notes due 2027</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8.00% Notes due 2028</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8.50% 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8.50% Notes due 2029</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Notes due 2029</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Collectively, the 2029 8.50% Notes and 2029 8.625% Notes</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8.375% Notes due 2030</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ABL</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based lending</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ACL</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171"/>
        </w:trPr>
        <w:tc>
          <w:tcPr>
            <w:tcW w:w="30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Acquisition</w:t>
            </w:r>
          </w:p>
        </w:tc>
        <w:tc>
          <w:tcPr>
            <w:tcW w:w="8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The Company’s Acquisition of NBNYC, pursuant to which the Company acquired from the NBNYC shareholders</w:t>
            </w:r>
          </w:p>
        </w:tc>
      </w:tr>
      <w:tr>
        <w:trPr>
          <w:trHeight w:val="232"/>
        </w:trPr>
        <w:tc>
          <w:tcPr>
            <w:tcW w:w="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of the issued and outstanding stock of NBNYC</w:t>
            </w: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ALP</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Lending Program</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 as issued by the FASB</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ASU</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Updates, as issued by the FASB</w:t>
            </w:r>
          </w:p>
        </w:tc>
      </w:tr>
      <w:tr>
        <w:trPr>
          <w:trHeight w:val="171"/>
        </w:trPr>
        <w:tc>
          <w:tcPr>
            <w:tcW w:w="30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Original ATM Equity Distribution</w:t>
            </w:r>
          </w:p>
        </w:tc>
        <w:tc>
          <w:tcPr>
            <w:tcW w:w="8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The Original ATM Equity Distribution Agreement, dated November 17, 2023, by and among the Company and the</w:t>
            </w:r>
          </w:p>
        </w:tc>
      </w:tr>
      <w:tr>
        <w:trPr>
          <w:trHeight w:val="23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agents</w:t>
            </w:r>
          </w:p>
        </w:tc>
      </w:tr>
      <w:tr>
        <w:trPr>
          <w:trHeight w:val="175"/>
        </w:trPr>
        <w:tc>
          <w:tcPr>
            <w:tcW w:w="3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Equity</w:t>
            </w:r>
          </w:p>
        </w:tc>
        <w:tc>
          <w:tcPr>
            <w:tcW w:w="8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Amended and Restated Equity Distribution Agreement, dated June 6, 2025, by and among the Company and</w:t>
            </w:r>
          </w:p>
        </w:tc>
      </w:tr>
      <w:tr>
        <w:trPr>
          <w:trHeight w:val="237"/>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Agreement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placement agents</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BDC</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Development Company under the 1940 Act</w:t>
            </w:r>
          </w:p>
        </w:tc>
      </w:tr>
      <w:tr>
        <w:trPr>
          <w:trHeight w:val="223"/>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BHCA</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Holding Company Act of 1956</w:t>
            </w:r>
          </w:p>
        </w:tc>
      </w:tr>
      <w:tr>
        <w:trPr>
          <w:trHeight w:val="22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board of directors</w:t>
            </w:r>
          </w:p>
        </w:tc>
      </w:tr>
      <w:tr>
        <w:trPr>
          <w:trHeight w:val="223"/>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One</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One Bank, National Association</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Conventional commercial and industrial loans</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Code</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22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r>
      <w:tr>
        <w:trPr>
          <w:trHeight w:val="22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Deutsche Bank</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Deutsche Bank AG</w:t>
            </w:r>
          </w:p>
        </w:tc>
      </w:tr>
      <w:tr>
        <w:trPr>
          <w:trHeight w:val="223"/>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DRIP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former dividend reinvestment plan</w:t>
            </w:r>
          </w:p>
        </w:tc>
      </w:tr>
      <w:tr>
        <w:trPr>
          <w:trHeight w:val="22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2015</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2015 Stock Incentive Plan</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2023 Stock Incentive Plan</w:t>
            </w:r>
          </w:p>
        </w:tc>
      </w:tr>
      <w:tr>
        <w:trPr>
          <w:trHeight w:val="223"/>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r>
        <w:trPr>
          <w:trHeight w:val="22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23"/>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604"/>
        </w:trPr>
        <w:tc>
          <w:tcPr>
            <w:tcW w:w="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4</w:t>
            </w:r>
          </w:p>
        </w:tc>
      </w:tr>
      <w:tr>
        <w:trPr>
          <w:trHeight w:val="349"/>
        </w:trPr>
        <w:tc>
          <w:tcPr>
            <w:tcW w:w="4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FV</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HFI</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for investment</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HFS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for sale</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LCM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of amortized cost basis or fair value</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LTV</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Loan-to-Value</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Value</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NBNYC</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Bank of New York City, renamed Newtek Bank, National Association</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Non-owner occupied</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of the Comptroller of the Currency</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Financial Assets with Credit Deterioration</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PLP</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Lenders Program, as authorized by the SBA</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Paycheck Protection Program</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Regulated investment company under the Code</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and Poor's</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SMB</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Small-and-medium sized businesses; revenue from $1.0 million to $100.0 million</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171"/>
        </w:trPr>
        <w:tc>
          <w:tcPr>
            <w:tcW w:w="30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SPV I Capital One Facility</w:t>
            </w:r>
          </w:p>
        </w:tc>
        <w:tc>
          <w:tcPr>
            <w:tcW w:w="8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Revolving Credit and Security Agreement between NBL SPV I, LLC, a wholly-owned subsidiary of NALH, and</w:t>
            </w:r>
          </w:p>
        </w:tc>
      </w:tr>
      <w:tr>
        <w:trPr>
          <w:trHeight w:val="232"/>
        </w:trPr>
        <w:tc>
          <w:tcPr>
            <w:tcW w:w="30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One</w:t>
            </w:r>
          </w:p>
        </w:tc>
      </w:tr>
      <w:tr>
        <w:trPr>
          <w:trHeight w:val="175"/>
        </w:trPr>
        <w:tc>
          <w:tcPr>
            <w:tcW w:w="3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SPV II Deutsche Bank Facility</w:t>
            </w:r>
          </w:p>
        </w:tc>
        <w:tc>
          <w:tcPr>
            <w:tcW w:w="8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Revolving Credit and Security Agreement between NBL SPV II, LLC, a wholly-owned subsidiary of NALH, and</w:t>
            </w:r>
          </w:p>
        </w:tc>
      </w:tr>
      <w:tr>
        <w:trPr>
          <w:trHeight w:val="237"/>
        </w:trPr>
        <w:tc>
          <w:tcPr>
            <w:tcW w:w="3020" w:type="dxa"/>
            <w:vAlign w:val="bottom"/>
            <w:shd w:val="clear" w:color="auto" w:fill="CCEEFF"/>
          </w:tcPr>
          <w:p>
            <w:pPr>
              <w:spacing w:after="0"/>
              <w:rPr>
                <w:sz w:val="20"/>
                <w:szCs w:val="20"/>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Deutsche Bank</w:t>
            </w:r>
          </w:p>
        </w:tc>
      </w:tr>
      <w:tr>
        <w:trPr>
          <w:trHeight w:val="171"/>
        </w:trPr>
        <w:tc>
          <w:tcPr>
            <w:tcW w:w="30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SPV III One Florida Bank Facility</w:t>
            </w:r>
          </w:p>
        </w:tc>
        <w:tc>
          <w:tcPr>
            <w:tcW w:w="8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Revolving Credit and Security Agreement between NBL SPV III, LLC, a wholly-owned subsidiary of NALH, and</w:t>
            </w:r>
          </w:p>
        </w:tc>
      </w:tr>
      <w:tr>
        <w:trPr>
          <w:trHeight w:val="232"/>
        </w:trPr>
        <w:tc>
          <w:tcPr>
            <w:tcW w:w="30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Florida Bank</w:t>
            </w: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Trustee</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Bank, National Association</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TSO II</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TSO II Booster Aggregator, L.P.</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or GAAP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Webster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Webster Bank, N.A.</w:t>
            </w:r>
          </w:p>
        </w:tc>
      </w:tr>
      <w:tr>
        <w:trPr>
          <w:trHeight w:val="223"/>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8220" w:type="dxa"/>
            <w:vAlign w:val="bottom"/>
            <w:tcBorders>
              <w:bottom w:val="single" w:sz="8" w:color="CCEEFF"/>
            </w:tcBorders>
          </w:tcPr>
          <w:p>
            <w:pPr>
              <w:spacing w:after="0"/>
              <w:rPr>
                <w:sz w:val="19"/>
                <w:szCs w:val="19"/>
                <w:color w:val="auto"/>
              </w:rPr>
            </w:pPr>
          </w:p>
        </w:tc>
      </w:tr>
      <w:tr>
        <w:trPr>
          <w:trHeight w:val="21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NSBF</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Small Business Finance, LLC</w:t>
            </w:r>
          </w:p>
        </w:tc>
      </w:tr>
      <w:tr>
        <w:trPr>
          <w:trHeight w:val="171"/>
        </w:trPr>
        <w:tc>
          <w:tcPr>
            <w:tcW w:w="30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NBL</w:t>
            </w:r>
          </w:p>
        </w:tc>
        <w:tc>
          <w:tcPr>
            <w:tcW w:w="8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Newtek Business Lending, LLC, a former wholly-owned subsidiary of Newtek Bank, merged into SBL on May 2,</w:t>
            </w:r>
          </w:p>
        </w:tc>
      </w:tr>
      <w:tr>
        <w:trPr>
          <w:trHeight w:val="232"/>
        </w:trPr>
        <w:tc>
          <w:tcPr>
            <w:tcW w:w="30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175"/>
        </w:trPr>
        <w:tc>
          <w:tcPr>
            <w:tcW w:w="3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NCL</w:t>
            </w:r>
          </w:p>
        </w:tc>
        <w:tc>
          <w:tcPr>
            <w:tcW w:w="8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Newtek Commercial Lending, Inc., a former wholly-owned subsidiary of NewtekOne Inc., merged into NALH on</w:t>
            </w:r>
          </w:p>
        </w:tc>
      </w:tr>
      <w:tr>
        <w:trPr>
          <w:trHeight w:val="237"/>
        </w:trPr>
        <w:tc>
          <w:tcPr>
            <w:tcW w:w="3020" w:type="dxa"/>
            <w:vAlign w:val="bottom"/>
            <w:shd w:val="clear" w:color="auto" w:fill="CCEEFF"/>
          </w:tcPr>
          <w:p>
            <w:pPr>
              <w:spacing w:after="0"/>
              <w:rPr>
                <w:sz w:val="20"/>
                <w:szCs w:val="20"/>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13, 2025</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Bank</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Bank, National Association</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NALH or Newtek ALP Holdings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Business Services Holdco 6, Inc.</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Merchant Solutions, LLC, a wholly-owned subsidiary of NBC</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 Money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 Money, LLC, a wholly-owned subsidiary of NMS</w:t>
            </w:r>
          </w:p>
        </w:tc>
      </w:tr>
      <w:tr>
        <w:trPr>
          <w:trHeight w:val="171"/>
        </w:trPr>
        <w:tc>
          <w:tcPr>
            <w:tcW w:w="30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NTS</w:t>
            </w:r>
          </w:p>
        </w:tc>
        <w:tc>
          <w:tcPr>
            <w:tcW w:w="8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Newtek Technology Solutions, Inc., a former wholly-owned subsidiary of the Company, sold to IPM on January 2,</w:t>
            </w:r>
          </w:p>
        </w:tc>
      </w:tr>
      <w:tr>
        <w:trPr>
          <w:trHeight w:val="232"/>
        </w:trPr>
        <w:tc>
          <w:tcPr>
            <w:tcW w:w="30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CDS Business Services, Inc. dba Newtek Business Credit Solutions</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SBL</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Business Lending, LLC, a wholly-owned subsidiary of Newtek Bank</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PMT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PMTWorks Payroll, LLC, dba Newtek Payroll and Benefits Solutions</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NIA</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Insurance Agency, LLC</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Titanium Asset Management, LLC</w:t>
            </w: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 on Cloud, LLC, dba Newtek Payment Systems, an 88.34% owned consolidated subsidiary</w:t>
            </w:r>
          </w:p>
        </w:tc>
      </w:tr>
      <w:tr>
        <w:trPr>
          <w:trHeight w:val="599"/>
        </w:trPr>
        <w:tc>
          <w:tcPr>
            <w:tcW w:w="3020" w:type="dxa"/>
            <w:vAlign w:val="bottom"/>
          </w:tcPr>
          <w:p>
            <w:pPr>
              <w:spacing w:after="0"/>
              <w:rPr>
                <w:sz w:val="24"/>
                <w:szCs w:val="24"/>
                <w:color w:val="auto"/>
              </w:rPr>
            </w:pPr>
          </w:p>
        </w:tc>
        <w:tc>
          <w:tcPr>
            <w:tcW w:w="8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5</w:t>
            </w:r>
          </w:p>
        </w:tc>
      </w:tr>
      <w:tr>
        <w:trPr>
          <w:trHeight w:val="349"/>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Joint Ventures and Non-Control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141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260" w:type="dxa"/>
            <w:vAlign w:val="bottom"/>
            <w:tcBorders>
              <w:top w:val="single" w:sz="8" w:color="auto"/>
            </w:tcBorders>
          </w:tcPr>
          <w:p>
            <w:pPr>
              <w:spacing w:after="0"/>
              <w:rPr>
                <w:sz w:val="13"/>
                <w:szCs w:val="13"/>
                <w:color w:val="auto"/>
              </w:rPr>
            </w:pPr>
          </w:p>
        </w:tc>
        <w:tc>
          <w:tcPr>
            <w:tcW w:w="8980" w:type="dxa"/>
            <w:vAlign w:val="bottom"/>
            <w:tcBorders>
              <w:top w:val="single" w:sz="8" w:color="auto"/>
            </w:tcBorders>
          </w:tcPr>
          <w:p>
            <w:pPr>
              <w:ind w:left="780"/>
              <w:spacing w:after="0" w:line="152" w:lineRule="exact"/>
              <w:rPr>
                <w:sz w:val="20"/>
                <w:szCs w:val="20"/>
                <w:color w:val="auto"/>
              </w:rPr>
            </w:pPr>
            <w:r>
              <w:rPr>
                <w:rFonts w:ascii="Times New Roman" w:cs="Times New Roman" w:eastAsia="Times New Roman" w:hAnsi="Times New Roman"/>
                <w:sz w:val="16"/>
                <w:szCs w:val="16"/>
                <w:color w:val="auto"/>
              </w:rPr>
              <w:t>Newtek Conventional Lending, LLC, a former 50% owned joint venture, 100% Company owned as of August 27,</w:t>
            </w:r>
          </w:p>
        </w:tc>
      </w:tr>
      <w:tr>
        <w:trPr>
          <w:trHeight w:val="23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NCL JV</w:t>
            </w:r>
          </w:p>
        </w:tc>
        <w:tc>
          <w:tcPr>
            <w:tcW w:w="8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2025 and dissolved on September 30, 2025</w:t>
            </w:r>
          </w:p>
        </w:tc>
      </w:tr>
      <w:tr>
        <w:trPr>
          <w:trHeight w:val="22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TSO JV</w:t>
            </w:r>
          </w:p>
        </w:tc>
        <w:tc>
          <w:tcPr>
            <w:tcW w:w="8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Newtek-TSO II Conventional Credit Partners, LP, a 50% owned joint venture</w:t>
            </w:r>
          </w:p>
        </w:tc>
      </w:tr>
      <w:tr>
        <w:trPr>
          <w:trHeight w:val="22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IPM</w:t>
            </w:r>
          </w:p>
        </w:tc>
        <w:tc>
          <w:tcPr>
            <w:tcW w:w="8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Intelligent Protection Management Corp., formerly Paltalk, Inc. (PALT)</w:t>
            </w:r>
          </w:p>
        </w:tc>
      </w:tr>
      <w:tr>
        <w:trPr>
          <w:trHeight w:val="22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IPM Preferred Stock</w:t>
            </w:r>
          </w:p>
        </w:tc>
        <w:tc>
          <w:tcPr>
            <w:tcW w:w="8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4.0 million shares of IPM Series A Non-Voting Common Equivalent Stock</w:t>
            </w:r>
          </w:p>
        </w:tc>
      </w:tr>
      <w:tr>
        <w:trPr>
          <w:trHeight w:val="841"/>
        </w:trPr>
        <w:tc>
          <w:tcPr>
            <w:tcW w:w="2260" w:type="dxa"/>
            <w:vAlign w:val="bottom"/>
          </w:tcPr>
          <w:p>
            <w:pPr>
              <w:spacing w:after="0"/>
              <w:rPr>
                <w:sz w:val="24"/>
                <w:szCs w:val="24"/>
                <w:color w:val="auto"/>
              </w:rPr>
            </w:pPr>
          </w:p>
        </w:tc>
        <w:tc>
          <w:tcPr>
            <w:tcW w:w="898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6</w:t>
            </w:r>
          </w:p>
        </w:tc>
      </w:tr>
      <w:tr>
        <w:trPr>
          <w:trHeight w:val="349"/>
        </w:trPr>
        <w:tc>
          <w:tcPr>
            <w:tcW w:w="226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jc w:val="center"/>
        <w:ind w:right="-159"/>
        <w:spacing w:after="0" w:line="213" w:lineRule="auto"/>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40"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78"/>
        </w:trPr>
        <w:tc>
          <w:tcPr>
            <w:tcW w:w="75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235"/>
        </w:trPr>
        <w:tc>
          <w:tcPr>
            <w:tcW w:w="758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4"/>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w:t>
            </w:r>
          </w:p>
        </w:tc>
      </w:tr>
      <w:tr>
        <w:trPr>
          <w:trHeight w:val="22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 (amounts related to VIEs of $6.3 million and $6.3 million, respectively)</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28,226</w:t>
            </w:r>
          </w:p>
        </w:tc>
      </w:tr>
      <w:tr>
        <w:trPr>
          <w:trHeight w:val="22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346,207</w:t>
            </w:r>
          </w:p>
        </w:tc>
      </w:tr>
      <w:tr>
        <w:trPr>
          <w:trHeight w:val="217"/>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381,374</w:t>
            </w:r>
          </w:p>
        </w:tc>
      </w:tr>
      <w:tr>
        <w:trPr>
          <w:trHeight w:val="22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 at fair value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2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r>
      <w:tr>
        <w:trPr>
          <w:trHeight w:val="22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sale, at LCM</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58,803</w:t>
            </w:r>
          </w:p>
        </w:tc>
      </w:tr>
      <w:tr>
        <w:trPr>
          <w:trHeight w:val="171"/>
        </w:trPr>
        <w:tc>
          <w:tcPr>
            <w:tcW w:w="758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Loans held for investment, at fair value (amounts related to VIEs of $213.8 million and $257.2 million,</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369,746</w:t>
            </w:r>
          </w:p>
        </w:tc>
      </w:tr>
      <w:tr>
        <w:trPr>
          <w:trHeight w:val="224"/>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investment, at amortized cost, net of deferred fees and costs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621,651</w:t>
            </w:r>
          </w:p>
        </w:tc>
      </w:tr>
      <w:tr>
        <w:trPr>
          <w:trHeight w:val="223"/>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(30,233)</w:t>
            </w:r>
          </w:p>
        </w:tc>
      </w:tr>
      <w:tr>
        <w:trPr>
          <w:trHeight w:val="217"/>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held for investment, at amortized cost,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591,418</w:t>
            </w:r>
          </w:p>
        </w:tc>
      </w:tr>
      <w:tr>
        <w:trPr>
          <w:trHeight w:val="22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Home Loan Bank and Federal Reserve Bank stock</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2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receivable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52,465</w:t>
            </w:r>
          </w:p>
        </w:tc>
      </w:tr>
      <w:tr>
        <w:trPr>
          <w:trHeight w:val="22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Residuals in securitizations, at fair value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Joint ventures and other non-control investments, at fair value (cost of $36,692 and $44,039), respectively</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r>
      <w:tr>
        <w:trPr>
          <w:trHeight w:val="22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r>
      <w:tr>
        <w:trPr>
          <w:trHeight w:val="22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r>
      <w:tr>
        <w:trPr>
          <w:trHeight w:val="22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assets, at fair value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22,062</w:t>
            </w:r>
          </w:p>
        </w:tc>
      </w:tr>
      <w:tr>
        <w:trPr>
          <w:trHeight w:val="22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Servicing assets, at LCM</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r>
      <w:tr>
        <w:trPr>
          <w:trHeight w:val="22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60,636</w:t>
            </w:r>
          </w:p>
        </w:tc>
      </w:tr>
      <w:tr>
        <w:trPr>
          <w:trHeight w:val="22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r>
      <w:tr>
        <w:trPr>
          <w:trHeight w:val="221"/>
        </w:trPr>
        <w:tc>
          <w:tcPr>
            <w:tcW w:w="7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2,399,099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2,059,912</w:t>
            </w:r>
          </w:p>
        </w:tc>
      </w:tr>
      <w:tr>
        <w:trPr>
          <w:trHeight w:val="442"/>
        </w:trPr>
        <w:tc>
          <w:tcPr>
            <w:tcW w:w="758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F-7</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jc w:val="center"/>
        <w:spacing w:after="0" w:line="213" w:lineRule="auto"/>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16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580" w:type="dxa"/>
            <w:vAlign w:val="bottom"/>
            <w:shd w:val="clear" w:color="auto" w:fill="CCEEFF"/>
          </w:tcPr>
          <w:p>
            <w:pPr>
              <w:ind w:left="19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Noninterest-bearing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Interest-bearing</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Borrowings (including borrowings of VIEs of $140.6 million and $186.6 million, respectively)</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to participants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 directly associated with assets held for sale</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75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2,012,392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1,763,630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and contingencies (Note 13)</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58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w w:val="99"/>
              </w:rPr>
              <w:t>Series A Preferred stock (par value $0.00 and $0.02 per share; 0 and 20 authorized, 0 and 20 issued and</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8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58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w w:val="99"/>
              </w:rPr>
              <w:t>Series B Preferred stock (par value $0.02 and $0.00 per share; 54 and 0 authorized, 50 and 0 issued and</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58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Common stock (par value $0.02 per share; 199,980 authorized, 28,876 and 24,680 issued and</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 net of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75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60" w:type="dxa"/>
            <w:vAlign w:val="bottom"/>
          </w:tcPr>
          <w:p>
            <w:pPr>
              <w:spacing w:after="0"/>
              <w:rPr>
                <w:sz w:val="20"/>
                <w:szCs w:val="20"/>
                <w:color w:val="auto"/>
              </w:rPr>
            </w:pPr>
          </w:p>
        </w:tc>
        <w:tc>
          <w:tcPr>
            <w:tcW w:w="75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2,399,099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580" w:type="dxa"/>
            <w:vAlign w:val="bottom"/>
            <w:tcBorders>
              <w:top w:val="single" w:sz="8" w:color="CCEEFF"/>
              <w:bottom w:val="single" w:sz="8" w:color="CCEEFF"/>
            </w:tcBorders>
            <w:vMerge w:val="restart"/>
          </w:tcPr>
          <w:p>
            <w:pPr>
              <w:ind w:left="5340"/>
              <w:spacing w:after="0"/>
              <w:rPr>
                <w:sz w:val="20"/>
                <w:szCs w:val="20"/>
                <w:color w:val="auto"/>
              </w:rPr>
            </w:pPr>
            <w:r>
              <w:rPr>
                <w:rFonts w:ascii="Times New Roman" w:cs="Times New Roman" w:eastAsia="Times New Roman" w:hAnsi="Times New Roman"/>
                <w:sz w:val="18"/>
                <w:szCs w:val="18"/>
                <w:color w:val="auto"/>
              </w:rPr>
              <w:t>F-8</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6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7760" w:type="dxa"/>
            <w:vAlign w:val="bottom"/>
            <w:gridSpan w:val="2"/>
          </w:tcPr>
          <w:p>
            <w:pPr>
              <w:ind w:left="330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6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22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96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and fees on loans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36,376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income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39,094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24,545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14,549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income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on loan servicing assets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income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gain on residuals in securitizations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 (loss) on loans under the fair value option</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29,250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IT support income</w:t>
            </w:r>
          </w:p>
        </w:tc>
        <w:tc>
          <w:tcPr>
            <w:tcW w:w="9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Electronic payment processing income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60,388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Noninterest expense</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services expense</w:t>
            </w:r>
          </w:p>
        </w:tc>
        <w:tc>
          <w:tcPr>
            <w:tcW w:w="9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Electronic payment processing expense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loan origination and maintenance expense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42,159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taxes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25,066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17,901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to preferred shareholders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17,429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96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5"/>
              </w:rPr>
              <w:t>F-9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60" w:type="dxa"/>
            <w:vAlign w:val="bottom"/>
            <w:gridSpan w:val="7"/>
          </w:tcPr>
          <w:p>
            <w:pPr>
              <w:jc w:val="center"/>
              <w:ind w:left="3052"/>
              <w:spacing w:after="0"/>
              <w:rPr>
                <w:sz w:val="20"/>
                <w:szCs w:val="20"/>
                <w:color w:val="auto"/>
              </w:rPr>
            </w:pPr>
            <w:r>
              <w:rPr>
                <w:rFonts w:ascii="Times New Roman" w:cs="Times New Roman" w:eastAsia="Times New Roman" w:hAnsi="Times New Roman"/>
                <w:sz w:val="18"/>
                <w:szCs w:val="18"/>
                <w:color w:val="auto"/>
                <w:w w:val="97"/>
              </w:rPr>
              <w:t>See accompanying notes to consolidated financial statements.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ind w:left="340" w:right="2340"/>
        <w:spacing w:after="0" w:line="283" w:lineRule="auto"/>
        <w:rPr>
          <w:sz w:val="20"/>
          <w:szCs w:val="20"/>
          <w:color w:val="auto"/>
        </w:rPr>
      </w:pPr>
      <w:r>
        <w:rPr>
          <w:rFonts w:ascii="Times New Roman" w:cs="Times New Roman" w:eastAsia="Times New Roman" w:hAnsi="Times New Roman"/>
          <w:sz w:val="18"/>
          <w:szCs w:val="18"/>
          <w:b w:val="1"/>
          <w:bCs w:val="1"/>
          <w:color w:val="auto"/>
        </w:rPr>
        <w:t>NEWTEKONE, INC. AND SUBSIDIARIES CONSOLIDATED STATEMENTS OF COMPREHENSIVE INCOME (UNAUDITED)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322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8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17,901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1"/>
        </w:trPr>
        <w:tc>
          <w:tcPr>
            <w:tcW w:w="484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Net unrealized gain (loss) on debt securities available-for-sale</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7"/>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during the period</w:t>
            </w:r>
          </w:p>
        </w:tc>
        <w:tc>
          <w:tcPr>
            <w:tcW w:w="9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7"/>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2"/>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17,898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45"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Accumulated</w:t>
      </w:r>
    </w:p>
    <w:p>
      <w:pPr>
        <w:jc w:val="center"/>
        <w:ind w:left="7660"/>
        <w:spacing w:after="0" w:line="213" w:lineRule="auto"/>
        <w:rPr>
          <w:sz w:val="20"/>
          <w:szCs w:val="20"/>
          <w:color w:val="auto"/>
        </w:rPr>
      </w:pPr>
      <w:r>
        <w:rPr>
          <w:rFonts w:ascii="Times New Roman" w:cs="Times New Roman" w:eastAsia="Times New Roman" w:hAnsi="Times New Roman"/>
          <w:sz w:val="18"/>
          <w:szCs w:val="18"/>
          <w:b w:val="1"/>
          <w:bCs w:val="1"/>
          <w:color w:val="auto"/>
        </w:rPr>
        <w:t>other</w:t>
      </w:r>
    </w:p>
    <w:tbl>
      <w:tblPr>
        <w:tblLayout w:type="fixed"/>
        <w:tblInd w:w="0" w:type="dxa"/>
        <w:tblCellMar>
          <w:top w:w="0" w:type="dxa"/>
          <w:left w:w="0" w:type="dxa"/>
          <w:bottom w:w="0" w:type="dxa"/>
          <w:right w:w="0" w:type="dxa"/>
        </w:tblCellMar>
      </w:tblPr>
      <w:tr>
        <w:trPr>
          <w:trHeight w:val="156"/>
        </w:trPr>
        <w:tc>
          <w:tcPr>
            <w:tcW w:w="2060" w:type="dxa"/>
            <w:vAlign w:val="bottom"/>
          </w:tcPr>
          <w:p>
            <w:pPr>
              <w:spacing w:after="0"/>
              <w:rPr>
                <w:sz w:val="13"/>
                <w:szCs w:val="13"/>
                <w:color w:val="auto"/>
              </w:rPr>
            </w:pPr>
          </w:p>
        </w:tc>
        <w:tc>
          <w:tcPr>
            <w:tcW w:w="15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580" w:type="dxa"/>
            <w:vAlign w:val="bottom"/>
            <w:gridSpan w:val="4"/>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center"/>
              <w:ind w:right="80"/>
              <w:spacing w:after="0" w:line="157"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6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3"/>
            <w:vMerge w:val="restart"/>
          </w:tcPr>
          <w:p>
            <w:pPr>
              <w:jc w:val="center"/>
              <w:ind w:right="80"/>
              <w:spacing w:after="0" w:line="171"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1240" w:type="dxa"/>
            <w:vAlign w:val="bottom"/>
            <w:gridSpan w:val="3"/>
            <w:vMerge w:val="restart"/>
          </w:tcPr>
          <w:p>
            <w:pPr>
              <w:jc w:val="center"/>
              <w:ind w:right="100"/>
              <w:spacing w:after="0" w:line="171" w:lineRule="exact"/>
              <w:rPr>
                <w:sz w:val="20"/>
                <w:szCs w:val="20"/>
                <w:color w:val="auto"/>
              </w:rPr>
            </w:pPr>
            <w:r>
              <w:rPr>
                <w:rFonts w:ascii="Times New Roman" w:cs="Times New Roman" w:eastAsia="Times New Roman" w:hAnsi="Times New Roman"/>
                <w:sz w:val="18"/>
                <w:szCs w:val="18"/>
                <w:b w:val="1"/>
                <w:bCs w:val="1"/>
                <w:color w:val="auto"/>
                <w:w w:val="98"/>
              </w:rPr>
              <w:t>income (loss),</w:t>
            </w:r>
          </w:p>
        </w:tc>
        <w:tc>
          <w:tcPr>
            <w:tcW w:w="220" w:type="dxa"/>
            <w:vAlign w:val="bottom"/>
          </w:tcPr>
          <w:p>
            <w:pPr>
              <w:spacing w:after="0"/>
              <w:rPr>
                <w:sz w:val="8"/>
                <w:szCs w:val="8"/>
                <w:color w:val="auto"/>
              </w:rPr>
            </w:pPr>
          </w:p>
        </w:tc>
        <w:tc>
          <w:tcPr>
            <w:tcW w:w="900" w:type="dxa"/>
            <w:vAlign w:val="bottom"/>
            <w:vMerge w:val="restart"/>
          </w:tcPr>
          <w:p>
            <w:pPr>
              <w:jc w:val="center"/>
              <w:ind w:right="152"/>
              <w:spacing w:after="0" w:line="171"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79"/>
        </w:trPr>
        <w:tc>
          <w:tcPr>
            <w:tcW w:w="2060" w:type="dxa"/>
            <w:vAlign w:val="bottom"/>
          </w:tcPr>
          <w:p>
            <w:pPr>
              <w:spacing w:after="0"/>
              <w:rPr>
                <w:sz w:val="6"/>
                <w:szCs w:val="6"/>
                <w:color w:val="auto"/>
              </w:rPr>
            </w:pPr>
          </w:p>
        </w:tc>
        <w:tc>
          <w:tcPr>
            <w:tcW w:w="14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80" w:type="dxa"/>
            <w:vAlign w:val="bottom"/>
            <w:vMerge w:val="restart"/>
          </w:tcPr>
          <w:p>
            <w:pPr>
              <w:spacing w:after="0"/>
              <w:rPr>
                <w:sz w:val="6"/>
                <w:szCs w:val="6"/>
                <w:color w:val="auto"/>
              </w:rPr>
            </w:pPr>
          </w:p>
        </w:tc>
        <w:tc>
          <w:tcPr>
            <w:tcW w:w="15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80" w:type="dxa"/>
            <w:vAlign w:val="bottom"/>
            <w:vMerge w:val="restart"/>
          </w:tcPr>
          <w:p>
            <w:pPr>
              <w:spacing w:after="0"/>
              <w:rPr>
                <w:sz w:val="6"/>
                <w:szCs w:val="6"/>
                <w:color w:val="auto"/>
              </w:rPr>
            </w:pPr>
          </w:p>
        </w:tc>
        <w:tc>
          <w:tcPr>
            <w:tcW w:w="1540" w:type="dxa"/>
            <w:vAlign w:val="bottom"/>
            <w:gridSpan w:val="4"/>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60" w:type="dxa"/>
            <w:vAlign w:val="bottom"/>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5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8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3"/>
          </w:tcPr>
          <w:p>
            <w:pPr>
              <w:jc w:val="center"/>
              <w:ind w:right="80"/>
              <w:spacing w:after="0" w:line="151" w:lineRule="exact"/>
              <w:rPr>
                <w:sz w:val="20"/>
                <w:szCs w:val="20"/>
                <w:color w:val="auto"/>
              </w:rPr>
            </w:pPr>
            <w:r>
              <w:rPr>
                <w:rFonts w:ascii="Times New Roman" w:cs="Times New Roman" w:eastAsia="Times New Roman" w:hAnsi="Times New Roman"/>
                <w:sz w:val="16"/>
                <w:szCs w:val="16"/>
                <w:b w:val="1"/>
                <w:bCs w:val="1"/>
                <w:color w:val="auto"/>
              </w:rPr>
              <w:t>net of income</w:t>
            </w:r>
          </w:p>
        </w:tc>
        <w:tc>
          <w:tcPr>
            <w:tcW w:w="112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4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220" w:type="dxa"/>
            <w:vAlign w:val="bottom"/>
          </w:tcPr>
          <w:p>
            <w:pPr>
              <w:spacing w:after="0"/>
              <w:rPr>
                <w:sz w:val="19"/>
                <w:szCs w:val="19"/>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7"/>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221,914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312,180</w:t>
            </w:r>
          </w:p>
        </w:tc>
        <w:tc>
          <w:tcPr>
            <w:tcW w:w="0" w:type="dxa"/>
            <w:vAlign w:val="bottom"/>
          </w:tcPr>
          <w:p>
            <w:pPr>
              <w:spacing w:after="0"/>
              <w:rPr>
                <w:sz w:val="1"/>
                <w:szCs w:val="1"/>
                <w:color w:val="auto"/>
              </w:rPr>
            </w:pPr>
          </w:p>
        </w:tc>
      </w:tr>
      <w:tr>
        <w:trPr>
          <w:trHeight w:val="171"/>
        </w:trPr>
        <w:tc>
          <w:tcPr>
            <w:tcW w:w="206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Stock-based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240"/>
              <w:spacing w:after="0" w:line="179" w:lineRule="exact"/>
              <w:rPr>
                <w:sz w:val="20"/>
                <w:szCs w:val="20"/>
                <w:color w:val="auto"/>
              </w:rPr>
            </w:pPr>
            <w:r>
              <w:rPr>
                <w:rFonts w:ascii="Times New Roman" w:cs="Times New Roman" w:eastAsia="Times New Roman" w:hAnsi="Times New Roman"/>
                <w:sz w:val="18"/>
                <w:szCs w:val="18"/>
                <w:color w:val="auto"/>
              </w:rPr>
              <w:t>compensation expense,</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of forfeitures</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rPr>
              <w:t>Dividends declared</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240"/>
              <w:spacing w:after="0" w:line="179" w:lineRule="exact"/>
              <w:rPr>
                <w:sz w:val="20"/>
                <w:szCs w:val="20"/>
                <w:color w:val="auto"/>
              </w:rPr>
            </w:pPr>
            <w:r>
              <w:rPr>
                <w:rFonts w:ascii="Times New Roman" w:cs="Times New Roman" w:eastAsia="Times New Roman" w:hAnsi="Times New Roman"/>
                <w:sz w:val="18"/>
                <w:szCs w:val="18"/>
                <w:color w:val="auto"/>
              </w:rPr>
              <w:t>related to RSA, net of</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accrued dividends</w:t>
            </w: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6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Purchase of vested stock</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240"/>
              <w:spacing w:after="0" w:line="179" w:lineRule="exact"/>
              <w:rPr>
                <w:sz w:val="20"/>
                <w:szCs w:val="20"/>
                <w:color w:val="auto"/>
              </w:rPr>
            </w:pPr>
            <w:r>
              <w:rPr>
                <w:rFonts w:ascii="Times New Roman" w:cs="Times New Roman" w:eastAsia="Times New Roman" w:hAnsi="Times New Roman"/>
                <w:sz w:val="18"/>
                <w:szCs w:val="18"/>
                <w:color w:val="auto"/>
              </w:rPr>
              <w:t>for employee payroll tax</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rPr>
              <w:t>Restricted stock awards,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of forfeitures</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ESPP issuances</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rPr>
              <w:t>Issuance of preferred</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240"/>
              <w:spacing w:after="0" w:line="179" w:lineRule="exact"/>
              <w:rPr>
                <w:sz w:val="20"/>
                <w:szCs w:val="20"/>
                <w:color w:val="auto"/>
              </w:rPr>
            </w:pPr>
            <w:r>
              <w:rPr>
                <w:rFonts w:ascii="Times New Roman" w:cs="Times New Roman" w:eastAsia="Times New Roman" w:hAnsi="Times New Roman"/>
                <w:sz w:val="18"/>
                <w:szCs w:val="18"/>
                <w:color w:val="auto"/>
              </w:rPr>
              <w:t>stock, net of issuance</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48,181</w:t>
            </w:r>
          </w:p>
        </w:tc>
        <w:tc>
          <w:tcPr>
            <w:tcW w:w="0" w:type="dxa"/>
            <w:vAlign w:val="bottom"/>
          </w:tcPr>
          <w:p>
            <w:pPr>
              <w:spacing w:after="0"/>
              <w:rPr>
                <w:sz w:val="1"/>
                <w:szCs w:val="1"/>
                <w:color w:val="auto"/>
              </w:rPr>
            </w:pPr>
          </w:p>
        </w:tc>
      </w:tr>
      <w:tr>
        <w:trPr>
          <w:trHeight w:val="171"/>
        </w:trPr>
        <w:tc>
          <w:tcPr>
            <w:tcW w:w="206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Securities purchase and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agreement</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w:t>
            </w:r>
          </w:p>
        </w:tc>
        <w:tc>
          <w:tcPr>
            <w:tcW w:w="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rPr>
              <w:t>Issuance of common</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240"/>
              <w:spacing w:after="0" w:line="179" w:lineRule="exact"/>
              <w:rPr>
                <w:sz w:val="20"/>
                <w:szCs w:val="20"/>
                <w:color w:val="auto"/>
              </w:rPr>
            </w:pPr>
            <w:r>
              <w:rPr>
                <w:rFonts w:ascii="Times New Roman" w:cs="Times New Roman" w:eastAsia="Times New Roman" w:hAnsi="Times New Roman"/>
                <w:sz w:val="18"/>
                <w:szCs w:val="18"/>
                <w:color w:val="auto"/>
              </w:rPr>
              <w:t>stock, net of offering</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171"/>
        </w:trPr>
        <w:tc>
          <w:tcPr>
            <w:tcW w:w="206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Amortization of offering</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240"/>
              <w:spacing w:after="0" w:line="179" w:lineRule="exact"/>
              <w:rPr>
                <w:sz w:val="20"/>
                <w:szCs w:val="20"/>
                <w:color w:val="auto"/>
              </w:rPr>
            </w:pPr>
            <w:r>
              <w:rPr>
                <w:rFonts w:ascii="Times New Roman" w:cs="Times New Roman" w:eastAsia="Times New Roman" w:hAnsi="Times New Roman"/>
                <w:sz w:val="18"/>
                <w:szCs w:val="18"/>
                <w:color w:val="auto"/>
              </w:rPr>
              <w:t>costs related to ATM</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Program</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rPr>
              <w:t>Dividends declared</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240"/>
              <w:spacing w:after="0" w:line="179" w:lineRule="exact"/>
              <w:rPr>
                <w:sz w:val="20"/>
                <w:szCs w:val="20"/>
                <w:color w:val="auto"/>
              </w:rPr>
            </w:pPr>
            <w:r>
              <w:rPr>
                <w:rFonts w:ascii="Times New Roman" w:cs="Times New Roman" w:eastAsia="Times New Roman" w:hAnsi="Times New Roman"/>
                <w:sz w:val="18"/>
                <w:szCs w:val="18"/>
                <w:color w:val="auto"/>
              </w:rPr>
              <w:t>common shares</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($0.19/share)</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171"/>
        </w:trPr>
        <w:tc>
          <w:tcPr>
            <w:tcW w:w="206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Dividends declared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240"/>
              <w:spacing w:after="0" w:line="179" w:lineRule="exact"/>
              <w:rPr>
                <w:sz w:val="20"/>
                <w:szCs w:val="20"/>
                <w:color w:val="auto"/>
              </w:rPr>
            </w:pPr>
            <w:r>
              <w:rPr>
                <w:rFonts w:ascii="Times New Roman" w:cs="Times New Roman" w:eastAsia="Times New Roman" w:hAnsi="Times New Roman"/>
                <w:sz w:val="18"/>
                <w:szCs w:val="18"/>
                <w:color w:val="auto"/>
              </w:rPr>
              <w:t>preferred shares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($9.44/share)</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4"/>
        </w:trPr>
        <w:tc>
          <w:tcPr>
            <w:tcW w:w="2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0" w:type="dxa"/>
            <w:vAlign w:val="bottom"/>
          </w:tcPr>
          <w:p>
            <w:pPr>
              <w:spacing w:after="0"/>
              <w:rPr>
                <w:sz w:val="1"/>
                <w:szCs w:val="1"/>
                <w:color w:val="auto"/>
              </w:rPr>
            </w:pPr>
          </w:p>
        </w:tc>
      </w:tr>
      <w:tr>
        <w:trPr>
          <w:trHeight w:val="171"/>
        </w:trPr>
        <w:tc>
          <w:tcPr>
            <w:tcW w:w="206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Other comprehensive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loss, net of tax</w:t>
            </w: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$ 48,181</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255,963</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386,707</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F-11</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80" w:type="dxa"/>
            <w:vAlign w:val="bottom"/>
            <w:gridSpan w:val="14"/>
          </w:tcPr>
          <w:p>
            <w:pPr>
              <w:jc w:val="center"/>
              <w:ind w:left="352"/>
              <w:spacing w:after="0"/>
              <w:rPr>
                <w:sz w:val="20"/>
                <w:szCs w:val="20"/>
                <w:color w:val="auto"/>
              </w:rPr>
            </w:pPr>
            <w:r>
              <w:rPr>
                <w:rFonts w:ascii="Times New Roman" w:cs="Times New Roman" w:eastAsia="Times New Roman" w:hAnsi="Times New Roman"/>
                <w:sz w:val="18"/>
                <w:szCs w:val="18"/>
                <w:color w:val="auto"/>
                <w:w w:val="97"/>
              </w:rPr>
              <w:t>See accompanying notes to consolidated financial statements.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40" w:type="dxa"/>
            <w:vAlign w:val="bottom"/>
          </w:tcPr>
          <w:p>
            <w:pPr>
              <w:spacing w:after="0"/>
              <w:rPr>
                <w:sz w:val="15"/>
                <w:szCs w:val="15"/>
                <w:color w:val="auto"/>
              </w:rPr>
            </w:pPr>
          </w:p>
        </w:tc>
        <w:tc>
          <w:tcPr>
            <w:tcW w:w="1780" w:type="dxa"/>
            <w:vAlign w:val="bottom"/>
            <w:gridSpan w:val="5"/>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center"/>
              <w:ind w:right="80"/>
              <w:spacing w:after="0" w:line="178"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3240" w:type="dxa"/>
            <w:vAlign w:val="bottom"/>
          </w:tcPr>
          <w:p>
            <w:pPr>
              <w:spacing w:after="0"/>
              <w:rPr>
                <w:sz w:val="8"/>
                <w:szCs w:val="8"/>
                <w:color w:val="auto"/>
              </w:rPr>
            </w:pPr>
          </w:p>
        </w:tc>
        <w:tc>
          <w:tcPr>
            <w:tcW w:w="17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vMerge w:val="restart"/>
          </w:tcPr>
          <w:p>
            <w:pPr>
              <w:jc w:val="center"/>
              <w:ind w:right="60"/>
              <w:spacing w:after="0" w:line="171"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1240" w:type="dxa"/>
            <w:vAlign w:val="bottom"/>
            <w:gridSpan w:val="3"/>
            <w:vMerge w:val="restart"/>
          </w:tcPr>
          <w:p>
            <w:pPr>
              <w:jc w:val="center"/>
              <w:ind w:right="100"/>
              <w:spacing w:after="0" w:line="171" w:lineRule="exact"/>
              <w:rPr>
                <w:sz w:val="20"/>
                <w:szCs w:val="20"/>
                <w:color w:val="auto"/>
              </w:rPr>
            </w:pPr>
            <w:r>
              <w:rPr>
                <w:rFonts w:ascii="Times New Roman" w:cs="Times New Roman" w:eastAsia="Times New Roman" w:hAnsi="Times New Roman"/>
                <w:sz w:val="18"/>
                <w:szCs w:val="18"/>
                <w:b w:val="1"/>
                <w:bCs w:val="1"/>
                <w:color w:val="auto"/>
                <w:w w:val="98"/>
              </w:rPr>
              <w:t>income (loss),</w:t>
            </w:r>
          </w:p>
        </w:tc>
        <w:tc>
          <w:tcPr>
            <w:tcW w:w="220" w:type="dxa"/>
            <w:vAlign w:val="bottom"/>
          </w:tcPr>
          <w:p>
            <w:pPr>
              <w:spacing w:after="0"/>
              <w:rPr>
                <w:sz w:val="8"/>
                <w:szCs w:val="8"/>
                <w:color w:val="auto"/>
              </w:rPr>
            </w:pPr>
          </w:p>
        </w:tc>
        <w:tc>
          <w:tcPr>
            <w:tcW w:w="900" w:type="dxa"/>
            <w:vAlign w:val="bottom"/>
            <w:vMerge w:val="restart"/>
          </w:tcPr>
          <w:p>
            <w:pPr>
              <w:jc w:val="center"/>
              <w:ind w:right="152"/>
              <w:spacing w:after="0" w:line="171"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79"/>
        </w:trPr>
        <w:tc>
          <w:tcPr>
            <w:tcW w:w="3240" w:type="dxa"/>
            <w:vAlign w:val="bottom"/>
          </w:tcPr>
          <w:p>
            <w:pPr>
              <w:spacing w:after="0"/>
              <w:rPr>
                <w:sz w:val="6"/>
                <w:szCs w:val="6"/>
                <w:color w:val="auto"/>
              </w:rPr>
            </w:pPr>
          </w:p>
        </w:tc>
        <w:tc>
          <w:tcPr>
            <w:tcW w:w="17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80" w:type="dxa"/>
            <w:vAlign w:val="bottom"/>
            <w:vMerge w:val="restart"/>
          </w:tcPr>
          <w:p>
            <w:pPr>
              <w:spacing w:after="0"/>
              <w:rPr>
                <w:sz w:val="6"/>
                <w:szCs w:val="6"/>
                <w:color w:val="auto"/>
              </w:rPr>
            </w:pPr>
          </w:p>
        </w:tc>
        <w:tc>
          <w:tcPr>
            <w:tcW w:w="1680" w:type="dxa"/>
            <w:vAlign w:val="bottom"/>
            <w:gridSpan w:val="4"/>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40" w:type="dxa"/>
            <w:vAlign w:val="bottom"/>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8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90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3"/>
          </w:tcPr>
          <w:p>
            <w:pPr>
              <w:jc w:val="center"/>
              <w:ind w:right="80"/>
              <w:spacing w:after="0" w:line="151" w:lineRule="exact"/>
              <w:rPr>
                <w:sz w:val="20"/>
                <w:szCs w:val="20"/>
                <w:color w:val="auto"/>
              </w:rPr>
            </w:pPr>
            <w:r>
              <w:rPr>
                <w:rFonts w:ascii="Times New Roman" w:cs="Times New Roman" w:eastAsia="Times New Roman" w:hAnsi="Times New Roman"/>
                <w:sz w:val="16"/>
                <w:szCs w:val="16"/>
                <w:b w:val="1"/>
                <w:bCs w:val="1"/>
                <w:color w:val="auto"/>
              </w:rPr>
              <w:t>net of income</w:t>
            </w:r>
          </w:p>
        </w:tc>
        <w:tc>
          <w:tcPr>
            <w:tcW w:w="112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24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220" w:type="dxa"/>
            <w:vAlign w:val="bottom"/>
          </w:tcPr>
          <w:p>
            <w:pPr>
              <w:spacing w:after="0"/>
              <w:rPr>
                <w:sz w:val="19"/>
                <w:szCs w:val="19"/>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274,002</w:t>
            </w:r>
          </w:p>
        </w:tc>
        <w:tc>
          <w:tcPr>
            <w:tcW w:w="0" w:type="dxa"/>
            <w:vAlign w:val="bottom"/>
          </w:tcPr>
          <w:p>
            <w:pPr>
              <w:spacing w:after="0"/>
              <w:rPr>
                <w:sz w:val="1"/>
                <w:szCs w:val="1"/>
                <w:color w:val="auto"/>
              </w:rPr>
            </w:pPr>
          </w:p>
        </w:tc>
      </w:tr>
      <w:tr>
        <w:trPr>
          <w:trHeight w:val="171"/>
        </w:trPr>
        <w:tc>
          <w:tcPr>
            <w:tcW w:w="324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w w:val="97"/>
              </w:rPr>
              <w:t>Stock-based compensation expense, net of</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forfeitures</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w w:val="98"/>
              </w:rPr>
              <w:t>Dividends declared related to RSA, net of</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dividends forfeited</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324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Purchase of vested stock for employee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payroll tax withholding</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Restricted stock awards, net of forfeitures</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ESPP issuances</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rPr>
              <w:t>Dividends declared common shares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($0.19/share)</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0" w:type="dxa"/>
            <w:vAlign w:val="bottom"/>
          </w:tcPr>
          <w:p>
            <w:pPr>
              <w:spacing w:after="0"/>
              <w:rPr>
                <w:sz w:val="1"/>
                <w:szCs w:val="1"/>
                <w:color w:val="auto"/>
              </w:rPr>
            </w:pPr>
          </w:p>
        </w:tc>
      </w:tr>
      <w:tr>
        <w:trPr>
          <w:trHeight w:val="171"/>
        </w:trPr>
        <w:tc>
          <w:tcPr>
            <w:tcW w:w="324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Dividends declared preferred shares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($20.00/share)</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0" w:type="dxa"/>
            <w:vAlign w:val="bottom"/>
          </w:tcPr>
          <w:p>
            <w:pPr>
              <w:spacing w:after="0"/>
              <w:rPr>
                <w:sz w:val="1"/>
                <w:szCs w:val="1"/>
                <w:color w:val="auto"/>
              </w:rPr>
            </w:pPr>
          </w:p>
        </w:tc>
      </w:tr>
      <w:tr>
        <w:trPr>
          <w:trHeight w:val="223"/>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2"/>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3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F-12</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Pr>
          <w:p>
            <w:pPr>
              <w:spacing w:after="0"/>
              <w:rPr>
                <w:sz w:val="19"/>
                <w:szCs w:val="19"/>
                <w:color w:val="auto"/>
              </w:rPr>
            </w:pPr>
          </w:p>
        </w:tc>
        <w:tc>
          <w:tcPr>
            <w:tcW w:w="4580" w:type="dxa"/>
            <w:vAlign w:val="bottom"/>
            <w:gridSpan w:val="13"/>
          </w:tcPr>
          <w:p>
            <w:pPr>
              <w:ind w:left="220"/>
              <w:spacing w:after="0"/>
              <w:rPr>
                <w:sz w:val="20"/>
                <w:szCs w:val="20"/>
                <w:color w:val="auto"/>
              </w:rPr>
            </w:pPr>
            <w:r>
              <w:rPr>
                <w:rFonts w:ascii="Times New Roman" w:cs="Times New Roman" w:eastAsia="Times New Roman" w:hAnsi="Times New Roman"/>
                <w:sz w:val="18"/>
                <w:szCs w:val="18"/>
                <w:color w:val="auto"/>
                <w:w w:val="97"/>
              </w:rPr>
              <w:t>See accompanying notes to consolidated financial statements.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EQUITY (UNAUDITED)</w:t>
      </w:r>
    </w:p>
    <w:p>
      <w:pPr>
        <w:spacing w:after="0" w:line="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ectPr>
          <w:pgSz w:w="11900" w:h="16838" w:orient="portrait"/>
          <w:cols w:equalWidth="0" w:num="1">
            <w:col w:w="11120"/>
          </w:cols>
          <w:pgMar w:left="320" w:top="12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Series B</w:t>
            </w: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7"/>
        </w:trPr>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stock</w:t>
            </w: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2"/>
              </w:rPr>
              <w:t>Retained</w:t>
            </w:r>
          </w:p>
        </w:tc>
      </w:tr>
      <w:tr>
        <w:trPr>
          <w:trHeight w:val="229"/>
        </w:trPr>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Shares  Amount</w:t>
            </w:r>
          </w:p>
        </w:tc>
        <w:tc>
          <w:tcPr>
            <w:tcW w:w="15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Shares  Amount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Amount</w:t>
            </w: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earnings</w:t>
            </w:r>
          </w:p>
        </w:tc>
      </w:tr>
    </w:tbl>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p>
      <w:pPr>
        <w:jc w:val="center"/>
        <w:ind w:right="280"/>
        <w:spacing w:after="0" w:line="213" w:lineRule="auto"/>
        <w:rPr>
          <w:sz w:val="20"/>
          <w:szCs w:val="20"/>
          <w:color w:val="auto"/>
        </w:rPr>
      </w:pPr>
      <w:r>
        <w:rPr>
          <w:rFonts w:ascii="Times New Roman" w:cs="Times New Roman" w:eastAsia="Times New Roman" w:hAnsi="Times New Roman"/>
          <w:sz w:val="18"/>
          <w:szCs w:val="18"/>
          <w:b w:val="1"/>
          <w:bCs w:val="1"/>
          <w:color w:val="auto"/>
        </w:rPr>
        <w:t>other</w:t>
      </w:r>
    </w:p>
    <w:tbl>
      <w:tblPr>
        <w:tblLayout w:type="fixed"/>
        <w:tblInd w:w="0" w:type="dxa"/>
        <w:tblCellMar>
          <w:top w:w="0" w:type="dxa"/>
          <w:left w:w="0" w:type="dxa"/>
          <w:bottom w:w="0" w:type="dxa"/>
          <w:right w:w="0" w:type="dxa"/>
        </w:tblCellMar>
      </w:tblPr>
      <w:tr>
        <w:trPr>
          <w:trHeight w:val="156"/>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8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1"/>
        </w:trPr>
        <w:tc>
          <w:tcPr>
            <w:tcW w:w="860" w:type="dxa"/>
            <w:vAlign w:val="bottom"/>
            <w:vMerge w:val="continue"/>
          </w:tcPr>
          <w:p>
            <w:pPr>
              <w:spacing w:after="0"/>
              <w:rPr>
                <w:sz w:val="14"/>
                <w:szCs w:val="14"/>
                <w:color w:val="auto"/>
              </w:rPr>
            </w:pPr>
          </w:p>
        </w:tc>
        <w:tc>
          <w:tcPr>
            <w:tcW w:w="12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6"/>
              </w:rPr>
              <w:t>income (loss),</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net of income</w:t>
            </w: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0"/>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620" w:space="220"/>
            <w:col w:w="3280"/>
          </w:cols>
          <w:pgMar w:left="320" w:top="124" w:right="459" w:bottom="1440" w:gutter="0" w:footer="0" w:header="0"/>
          <w:type w:val="continuous"/>
        </w:sectPr>
      </w:pPr>
    </w:p>
    <w:tbl>
      <w:tblPr>
        <w:tblLayout w:type="fixed"/>
        <w:tblInd w:w="140" w:type="dxa"/>
        <w:tblCellMar>
          <w:top w:w="0" w:type="dxa"/>
          <w:left w:w="0" w:type="dxa"/>
          <w:bottom w:w="0" w:type="dxa"/>
          <w:right w:w="0" w:type="dxa"/>
        </w:tblCellMar>
      </w:tblPr>
      <w:tr>
        <w:trPr>
          <w:trHeight w:val="151"/>
        </w:trPr>
        <w:tc>
          <w:tcPr>
            <w:tcW w:w="21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Balance at December 31,</w:t>
            </w: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237"/>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$ 19,738</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57,773</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218,266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296,282</w:t>
            </w:r>
          </w:p>
        </w:tc>
      </w:tr>
      <w:tr>
        <w:trPr>
          <w:trHeight w:val="171"/>
        </w:trPr>
        <w:tc>
          <w:tcPr>
            <w:tcW w:w="212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w w:val="97"/>
              </w:rPr>
              <w:t>Stock-based compensation</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6"/>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 net of forfeitures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r>
    </w:tbl>
    <w:p>
      <w:pPr>
        <w:spacing w:after="0" w:line="1" w:lineRule="exact"/>
        <w:rPr>
          <w:sz w:val="20"/>
          <w:szCs w:val="20"/>
          <w:color w:val="auto"/>
        </w:rPr>
      </w:pPr>
    </w:p>
    <w:p>
      <w:pPr>
        <w:sectPr>
          <w:pgSz w:w="11900" w:h="16838" w:orient="portrait"/>
          <w:cols w:equalWidth="0" w:num="1">
            <w:col w:w="11120"/>
          </w:cols>
          <w:pgMar w:left="320" w:top="124" w:right="459" w:bottom="1440" w:gutter="0" w:footer="0" w:header="0"/>
          <w:type w:val="continuous"/>
        </w:sectPr>
      </w:pPr>
    </w:p>
    <w:p>
      <w:pPr>
        <w:ind w:left="360"/>
        <w:spacing w:after="0" w:line="215" w:lineRule="auto"/>
        <w:rPr>
          <w:sz w:val="20"/>
          <w:szCs w:val="20"/>
          <w:color w:val="auto"/>
        </w:rPr>
      </w:pPr>
      <w:r>
        <w:rPr>
          <w:rFonts w:ascii="Times New Roman" w:cs="Times New Roman" w:eastAsia="Times New Roman" w:hAnsi="Times New Roman"/>
          <w:sz w:val="18"/>
          <w:szCs w:val="18"/>
          <w:color w:val="auto"/>
        </w:rPr>
        <w:t>Dividends declared related</w:t>
      </w:r>
    </w:p>
    <w:p>
      <w:pPr>
        <w:ind w:left="360"/>
        <w:spacing w:after="0" w:line="214" w:lineRule="auto"/>
        <w:rPr>
          <w:sz w:val="20"/>
          <w:szCs w:val="20"/>
          <w:color w:val="auto"/>
        </w:rPr>
      </w:pPr>
      <w:r>
        <w:rPr>
          <w:rFonts w:ascii="Times New Roman" w:cs="Times New Roman" w:eastAsia="Times New Roman" w:hAnsi="Times New Roman"/>
          <w:sz w:val="18"/>
          <w:szCs w:val="18"/>
          <w:color w:val="auto"/>
        </w:rPr>
        <w:t>to RSA, net of accrued</w:t>
      </w:r>
    </w:p>
    <w:tbl>
      <w:tblPr>
        <w:tblLayout w:type="fixed"/>
        <w:tblInd w:w="160" w:type="dxa"/>
        <w:tblCellMar>
          <w:top w:w="0" w:type="dxa"/>
          <w:left w:w="0" w:type="dxa"/>
          <w:bottom w:w="0" w:type="dxa"/>
          <w:right w:w="0" w:type="dxa"/>
        </w:tblCellMar>
      </w:tblPr>
      <w:tr>
        <w:trPr>
          <w:trHeight w:val="204"/>
        </w:trPr>
        <w:tc>
          <w:tcPr>
            <w:tcW w:w="2100" w:type="dxa"/>
            <w:vAlign w:val="bottom"/>
          </w:tcPr>
          <w:p>
            <w:pPr>
              <w:ind w:left="200"/>
              <w:spacing w:after="0" w:line="204" w:lineRule="exact"/>
              <w:rPr>
                <w:sz w:val="20"/>
                <w:szCs w:val="20"/>
                <w:color w:val="auto"/>
              </w:rPr>
            </w:pPr>
            <w:r>
              <w:rPr>
                <w:rFonts w:ascii="Times New Roman" w:cs="Times New Roman" w:eastAsia="Times New Roman" w:hAnsi="Times New Roman"/>
                <w:sz w:val="18"/>
                <w:szCs w:val="18"/>
                <w:color w:val="auto"/>
              </w:rPr>
              <w:t>dividends forfeited</w:t>
            </w:r>
          </w:p>
        </w:tc>
        <w:tc>
          <w:tcPr>
            <w:tcW w:w="740" w:type="dxa"/>
            <w:vAlign w:val="bottom"/>
            <w:gridSpan w:val="2"/>
          </w:tcPr>
          <w:p>
            <w:pPr>
              <w:jc w:val="center"/>
              <w:ind w:left="192"/>
              <w:spacing w:after="0" w:line="204" w:lineRule="exact"/>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7"/>
                <w:szCs w:val="17"/>
                <w:color w:val="auto"/>
              </w:rPr>
            </w:pPr>
          </w:p>
        </w:tc>
        <w:tc>
          <w:tcPr>
            <w:tcW w:w="480" w:type="dxa"/>
            <w:vAlign w:val="bottom"/>
            <w:gridSpan w:val="2"/>
          </w:tcPr>
          <w:p>
            <w:pPr>
              <w:ind w:left="160"/>
              <w:spacing w:after="0" w:line="204"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Purchase of vested stock</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00" w:type="dxa"/>
            <w:vAlign w:val="bottom"/>
          </w:tcPr>
          <w:p>
            <w:pPr>
              <w:ind w:left="200"/>
              <w:spacing w:after="0" w:line="179" w:lineRule="exact"/>
              <w:rPr>
                <w:sz w:val="20"/>
                <w:szCs w:val="20"/>
                <w:color w:val="auto"/>
              </w:rPr>
            </w:pPr>
            <w:r>
              <w:rPr>
                <w:rFonts w:ascii="Times New Roman" w:cs="Times New Roman" w:eastAsia="Times New Roman" w:hAnsi="Times New Roman"/>
                <w:sz w:val="18"/>
                <w:szCs w:val="18"/>
                <w:color w:val="auto"/>
              </w:rPr>
              <w:t>for employee payroll tax</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74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Restricted stock awards,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forfeitures</w:t>
            </w:r>
          </w:p>
        </w:tc>
        <w:tc>
          <w:tcPr>
            <w:tcW w:w="74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Retirement of common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ESPP issuances</w:t>
            </w:r>
          </w:p>
        </w:tc>
        <w:tc>
          <w:tcPr>
            <w:tcW w:w="74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stock, net of offering costs</w:t>
            </w:r>
          </w:p>
        </w:tc>
        <w:tc>
          <w:tcPr>
            <w:tcW w:w="74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preferred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00" w:type="dxa"/>
            <w:vAlign w:val="bottom"/>
          </w:tcPr>
          <w:p>
            <w:pPr>
              <w:ind w:left="200"/>
              <w:spacing w:after="0" w:line="179" w:lineRule="exact"/>
              <w:rPr>
                <w:sz w:val="20"/>
                <w:szCs w:val="20"/>
                <w:color w:val="auto"/>
              </w:rPr>
            </w:pPr>
            <w:r>
              <w:rPr>
                <w:rFonts w:ascii="Times New Roman" w:cs="Times New Roman" w:eastAsia="Times New Roman" w:hAnsi="Times New Roman"/>
                <w:sz w:val="18"/>
                <w:szCs w:val="18"/>
                <w:color w:val="auto"/>
              </w:rPr>
              <w:t>stock, net of issuance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74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48,181</w:t>
            </w:r>
          </w:p>
        </w:tc>
        <w:tc>
          <w:tcPr>
            <w:tcW w:w="0" w:type="dxa"/>
            <w:vAlign w:val="bottom"/>
          </w:tcPr>
          <w:p>
            <w:pPr>
              <w:spacing w:after="0"/>
              <w:rPr>
                <w:sz w:val="1"/>
                <w:szCs w:val="1"/>
                <w:color w:val="auto"/>
              </w:rPr>
            </w:pPr>
          </w:p>
        </w:tc>
      </w:tr>
      <w:tr>
        <w:trPr>
          <w:trHeight w:val="176"/>
        </w:trPr>
        <w:tc>
          <w:tcPr>
            <w:tcW w:w="21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Securities purchase and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agreement</w:t>
            </w: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(20)</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Amortization of offering</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00" w:type="dxa"/>
            <w:vAlign w:val="bottom"/>
          </w:tcPr>
          <w:p>
            <w:pPr>
              <w:ind w:left="200"/>
              <w:spacing w:after="0" w:line="179" w:lineRule="exact"/>
              <w:rPr>
                <w:sz w:val="20"/>
                <w:szCs w:val="20"/>
                <w:color w:val="auto"/>
              </w:rPr>
            </w:pPr>
            <w:r>
              <w:rPr>
                <w:rFonts w:ascii="Times New Roman" w:cs="Times New Roman" w:eastAsia="Times New Roman" w:hAnsi="Times New Roman"/>
                <w:sz w:val="18"/>
                <w:szCs w:val="18"/>
                <w:color w:val="auto"/>
              </w:rPr>
              <w:t>costs related to ATM</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w:t>
            </w:r>
          </w:p>
        </w:tc>
        <w:tc>
          <w:tcPr>
            <w:tcW w:w="74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Dividends declared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00" w:type="dxa"/>
            <w:vAlign w:val="bottom"/>
          </w:tcPr>
          <w:p>
            <w:pPr>
              <w:ind w:left="200"/>
              <w:spacing w:after="0" w:line="179" w:lineRule="exact"/>
              <w:rPr>
                <w:sz w:val="20"/>
                <w:szCs w:val="20"/>
                <w:color w:val="auto"/>
              </w:rPr>
            </w:pPr>
            <w:r>
              <w:rPr>
                <w:rFonts w:ascii="Times New Roman" w:cs="Times New Roman" w:eastAsia="Times New Roman" w:hAnsi="Times New Roman"/>
                <w:sz w:val="18"/>
                <w:szCs w:val="18"/>
                <w:color w:val="auto"/>
              </w:rPr>
              <w:t>common shares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($0.38/share)</w:t>
            </w:r>
          </w:p>
        </w:tc>
        <w:tc>
          <w:tcPr>
            <w:tcW w:w="74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Dividends declared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00" w:type="dxa"/>
            <w:vAlign w:val="bottom"/>
          </w:tcPr>
          <w:p>
            <w:pPr>
              <w:ind w:left="200"/>
              <w:spacing w:after="0" w:line="179" w:lineRule="exact"/>
              <w:rPr>
                <w:sz w:val="20"/>
                <w:szCs w:val="20"/>
                <w:color w:val="auto"/>
              </w:rPr>
            </w:pPr>
            <w:r>
              <w:rPr>
                <w:rFonts w:ascii="Times New Roman" w:cs="Times New Roman" w:eastAsia="Times New Roman" w:hAnsi="Times New Roman"/>
                <w:sz w:val="18"/>
                <w:szCs w:val="18"/>
                <w:color w:val="auto"/>
              </w:rPr>
              <w:t>preferred shares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($25.44/share)</w:t>
            </w:r>
          </w:p>
        </w:tc>
        <w:tc>
          <w:tcPr>
            <w:tcW w:w="74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net of tax</w:t>
            </w:r>
          </w:p>
        </w:tc>
        <w:tc>
          <w:tcPr>
            <w:tcW w:w="66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1"/>
        </w:trPr>
        <w:tc>
          <w:tcPr>
            <w:tcW w:w="2100" w:type="dxa"/>
            <w:vAlign w:val="bottom"/>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740" w:type="dxa"/>
            <w:vAlign w:val="bottom"/>
            <w:gridSpan w:val="2"/>
            <w:vMerge w:val="restart"/>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1"/>
              </w:rPr>
              <w:t>$ 48,181</w:t>
            </w:r>
          </w:p>
        </w:tc>
        <w:tc>
          <w:tcPr>
            <w:tcW w:w="0" w:type="dxa"/>
            <w:vAlign w:val="bottom"/>
          </w:tcPr>
          <w:p>
            <w:pPr>
              <w:spacing w:after="0"/>
              <w:rPr>
                <w:sz w:val="1"/>
                <w:szCs w:val="1"/>
                <w:color w:val="auto"/>
              </w:rPr>
            </w:pPr>
          </w:p>
        </w:tc>
      </w:t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78"/>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407"/>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03"/>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8"/>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407"/>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r>
      <w:tr>
        <w:trPr>
          <w:trHeight w:val="578"/>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48,181</w:t>
            </w:r>
          </w:p>
        </w:tc>
      </w:tr>
      <w:tr>
        <w:trPr>
          <w:trHeight w:val="407"/>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r>
      <w:tr>
        <w:trPr>
          <w:trHeight w:val="578"/>
        </w:trPr>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578"/>
        </w:trPr>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r>
      <w:tr>
        <w:trPr>
          <w:trHeight w:val="574"/>
        </w:trPr>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28"/>
        </w:trPr>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40,971</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40,971</w:t>
            </w:r>
          </w:p>
        </w:tc>
      </w:tr>
      <w:tr>
        <w:trPr>
          <w:trHeight w:val="408"/>
        </w:trPr>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61"/>
        </w:trPr>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28,876</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81,981</w:t>
            </w:r>
          </w:p>
        </w:tc>
        <w:tc>
          <w:tcPr>
            <w:tcW w:w="8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255,963</w:t>
            </w:r>
          </w:p>
        </w:tc>
        <w:tc>
          <w:tcPr>
            <w:tcW w:w="8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386,707</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-4055745</wp:posOffset>
            </wp:positionV>
            <wp:extent cx="6969125" cy="367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9125" cy="36703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-3321050</wp:posOffset>
            </wp:positionV>
            <wp:extent cx="6969125" cy="258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9125" cy="258445"/>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-2803525</wp:posOffset>
            </wp:positionV>
            <wp:extent cx="6969125" cy="141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9125" cy="141605"/>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-2402840</wp:posOffset>
            </wp:positionV>
            <wp:extent cx="6969125" cy="367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9125" cy="36703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-1777365</wp:posOffset>
            </wp:positionV>
            <wp:extent cx="6969125" cy="367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9125" cy="36703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-1042670</wp:posOffset>
            </wp:positionV>
            <wp:extent cx="6969125" cy="367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9125" cy="36703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-533400</wp:posOffset>
            </wp:positionV>
            <wp:extent cx="6969125" cy="258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9125" cy="258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80"/>
            <w:col w:w="5840"/>
          </w:cols>
          <w:pgMar w:left="320" w:top="124" w:right="459" w:bottom="1440" w:gutter="0" w:footer="0" w:header="0"/>
          <w:type w:val="continuous"/>
        </w:sect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40" w:type="dxa"/>
            <w:vAlign w:val="bottom"/>
          </w:tcPr>
          <w:p>
            <w:pPr>
              <w:spacing w:after="0"/>
              <w:rPr>
                <w:sz w:val="15"/>
                <w:szCs w:val="15"/>
                <w:color w:val="auto"/>
              </w:rPr>
            </w:pPr>
          </w:p>
        </w:tc>
        <w:tc>
          <w:tcPr>
            <w:tcW w:w="1780" w:type="dxa"/>
            <w:vAlign w:val="bottom"/>
            <w:gridSpan w:val="5"/>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center"/>
              <w:ind w:right="80"/>
              <w:spacing w:after="0" w:line="178"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3240" w:type="dxa"/>
            <w:vAlign w:val="bottom"/>
          </w:tcPr>
          <w:p>
            <w:pPr>
              <w:spacing w:after="0"/>
              <w:rPr>
                <w:sz w:val="8"/>
                <w:szCs w:val="8"/>
                <w:color w:val="auto"/>
              </w:rPr>
            </w:pPr>
          </w:p>
        </w:tc>
        <w:tc>
          <w:tcPr>
            <w:tcW w:w="17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vMerge w:val="restart"/>
          </w:tcPr>
          <w:p>
            <w:pPr>
              <w:jc w:val="center"/>
              <w:ind w:right="60"/>
              <w:spacing w:after="0" w:line="171"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1240" w:type="dxa"/>
            <w:vAlign w:val="bottom"/>
            <w:gridSpan w:val="3"/>
            <w:vMerge w:val="restart"/>
          </w:tcPr>
          <w:p>
            <w:pPr>
              <w:jc w:val="center"/>
              <w:ind w:right="100"/>
              <w:spacing w:after="0" w:line="171" w:lineRule="exact"/>
              <w:rPr>
                <w:sz w:val="20"/>
                <w:szCs w:val="20"/>
                <w:color w:val="auto"/>
              </w:rPr>
            </w:pPr>
            <w:r>
              <w:rPr>
                <w:rFonts w:ascii="Times New Roman" w:cs="Times New Roman" w:eastAsia="Times New Roman" w:hAnsi="Times New Roman"/>
                <w:sz w:val="18"/>
                <w:szCs w:val="18"/>
                <w:b w:val="1"/>
                <w:bCs w:val="1"/>
                <w:color w:val="auto"/>
                <w:w w:val="98"/>
              </w:rPr>
              <w:t>income (loss),</w:t>
            </w:r>
          </w:p>
        </w:tc>
        <w:tc>
          <w:tcPr>
            <w:tcW w:w="220" w:type="dxa"/>
            <w:vAlign w:val="bottom"/>
          </w:tcPr>
          <w:p>
            <w:pPr>
              <w:spacing w:after="0"/>
              <w:rPr>
                <w:sz w:val="8"/>
                <w:szCs w:val="8"/>
                <w:color w:val="auto"/>
              </w:rPr>
            </w:pPr>
          </w:p>
        </w:tc>
        <w:tc>
          <w:tcPr>
            <w:tcW w:w="900" w:type="dxa"/>
            <w:vAlign w:val="bottom"/>
            <w:vMerge w:val="restart"/>
          </w:tcPr>
          <w:p>
            <w:pPr>
              <w:jc w:val="center"/>
              <w:ind w:right="152"/>
              <w:spacing w:after="0" w:line="171"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79"/>
        </w:trPr>
        <w:tc>
          <w:tcPr>
            <w:tcW w:w="3240" w:type="dxa"/>
            <w:vAlign w:val="bottom"/>
          </w:tcPr>
          <w:p>
            <w:pPr>
              <w:spacing w:after="0"/>
              <w:rPr>
                <w:sz w:val="6"/>
                <w:szCs w:val="6"/>
                <w:color w:val="auto"/>
              </w:rPr>
            </w:pPr>
          </w:p>
        </w:tc>
        <w:tc>
          <w:tcPr>
            <w:tcW w:w="17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80" w:type="dxa"/>
            <w:vAlign w:val="bottom"/>
            <w:vMerge w:val="restart"/>
          </w:tcPr>
          <w:p>
            <w:pPr>
              <w:spacing w:after="0"/>
              <w:rPr>
                <w:sz w:val="6"/>
                <w:szCs w:val="6"/>
                <w:color w:val="auto"/>
              </w:rPr>
            </w:pPr>
          </w:p>
        </w:tc>
        <w:tc>
          <w:tcPr>
            <w:tcW w:w="1680" w:type="dxa"/>
            <w:vAlign w:val="bottom"/>
            <w:gridSpan w:val="4"/>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40" w:type="dxa"/>
            <w:vAlign w:val="bottom"/>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8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90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3"/>
          </w:tcPr>
          <w:p>
            <w:pPr>
              <w:jc w:val="center"/>
              <w:ind w:right="80"/>
              <w:spacing w:after="0" w:line="151" w:lineRule="exact"/>
              <w:rPr>
                <w:sz w:val="20"/>
                <w:szCs w:val="20"/>
                <w:color w:val="auto"/>
              </w:rPr>
            </w:pPr>
            <w:r>
              <w:rPr>
                <w:rFonts w:ascii="Times New Roman" w:cs="Times New Roman" w:eastAsia="Times New Roman" w:hAnsi="Times New Roman"/>
                <w:sz w:val="16"/>
                <w:szCs w:val="16"/>
                <w:b w:val="1"/>
                <w:bCs w:val="1"/>
                <w:color w:val="auto"/>
              </w:rPr>
              <w:t>net of income</w:t>
            </w:r>
          </w:p>
        </w:tc>
        <w:tc>
          <w:tcPr>
            <w:tcW w:w="112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24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220" w:type="dxa"/>
            <w:vAlign w:val="bottom"/>
          </w:tcPr>
          <w:p>
            <w:pPr>
              <w:spacing w:after="0"/>
              <w:rPr>
                <w:sz w:val="19"/>
                <w:szCs w:val="19"/>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249,046</w:t>
            </w:r>
          </w:p>
        </w:tc>
        <w:tc>
          <w:tcPr>
            <w:tcW w:w="0" w:type="dxa"/>
            <w:vAlign w:val="bottom"/>
          </w:tcPr>
          <w:p>
            <w:pPr>
              <w:spacing w:after="0"/>
              <w:rPr>
                <w:sz w:val="1"/>
                <w:szCs w:val="1"/>
                <w:color w:val="auto"/>
              </w:rPr>
            </w:pPr>
          </w:p>
        </w:tc>
      </w:tr>
      <w:tr>
        <w:trPr>
          <w:trHeight w:val="171"/>
        </w:trPr>
        <w:tc>
          <w:tcPr>
            <w:tcW w:w="324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w w:val="97"/>
              </w:rPr>
              <w:t>Stock-based compensation expense, net of</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forfeitures</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w w:val="98"/>
              </w:rPr>
              <w:t>Dividends declared related to RSA, net of</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dividends forfeited</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324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Purchase of vested stock for employee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payroll tax withholding</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3"/>
              </w:rPr>
              <w:t>(25)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Restricted stock awards, net of forfeitures</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ESPP issuances</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offering costs</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171"/>
        </w:trPr>
        <w:tc>
          <w:tcPr>
            <w:tcW w:w="324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w w:val="97"/>
              </w:rPr>
              <w:t>Issuance of common stock, net of offering</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costs</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rPr>
              <w:t>Dividends declared common shares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($0.38/share)</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0" w:type="dxa"/>
            <w:vAlign w:val="bottom"/>
          </w:tcPr>
          <w:p>
            <w:pPr>
              <w:spacing w:after="0"/>
              <w:rPr>
                <w:sz w:val="1"/>
                <w:szCs w:val="1"/>
                <w:color w:val="auto"/>
              </w:rPr>
            </w:pPr>
          </w:p>
        </w:tc>
      </w:tr>
      <w:tr>
        <w:trPr>
          <w:trHeight w:val="171"/>
        </w:trPr>
        <w:tc>
          <w:tcPr>
            <w:tcW w:w="324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Dividends declared preferred shares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($60.00/share)</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0" w:type="dxa"/>
            <w:vAlign w:val="bottom"/>
          </w:tcPr>
          <w:p>
            <w:pPr>
              <w:spacing w:after="0"/>
              <w:rPr>
                <w:sz w:val="1"/>
                <w:szCs w:val="1"/>
                <w:color w:val="auto"/>
              </w:rPr>
            </w:pPr>
          </w:p>
        </w:tc>
      </w:tr>
      <w:tr>
        <w:trPr>
          <w:trHeight w:val="223"/>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2"/>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3"/>
              </w:rPr>
              <w:t>F-14</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Pr>
          <w:p>
            <w:pPr>
              <w:spacing w:after="0"/>
              <w:rPr>
                <w:sz w:val="19"/>
                <w:szCs w:val="19"/>
                <w:color w:val="auto"/>
              </w:rPr>
            </w:pPr>
          </w:p>
        </w:tc>
        <w:tc>
          <w:tcPr>
            <w:tcW w:w="4580" w:type="dxa"/>
            <w:vAlign w:val="bottom"/>
            <w:gridSpan w:val="13"/>
          </w:tcPr>
          <w:p>
            <w:pPr>
              <w:jc w:val="center"/>
              <w:ind w:left="92"/>
              <w:spacing w:after="0"/>
              <w:rPr>
                <w:sz w:val="20"/>
                <w:szCs w:val="20"/>
                <w:color w:val="auto"/>
              </w:rPr>
            </w:pPr>
            <w:r>
              <w:rPr>
                <w:rFonts w:ascii="Times New Roman" w:cs="Times New Roman" w:eastAsia="Times New Roman" w:hAnsi="Times New Roman"/>
                <w:sz w:val="18"/>
                <w:szCs w:val="18"/>
                <w:color w:val="auto"/>
                <w:w w:val="97"/>
              </w:rPr>
              <w:t>See accompanying notes to consolidated financial statements.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8"/>
        </w:trPr>
        <w:tc>
          <w:tcPr>
            <w:tcW w:w="8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3"/>
        </w:trPr>
        <w:tc>
          <w:tcPr>
            <w:tcW w:w="8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0" w:type="dxa"/>
            <w:vAlign w:val="bottom"/>
          </w:tcPr>
          <w:p>
            <w:pPr>
              <w:spacing w:after="0"/>
              <w:rPr>
                <w:sz w:val="1"/>
                <w:szCs w:val="1"/>
                <w:color w:val="auto"/>
              </w:rPr>
            </w:pP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unrealized depreciation (appreciation) on joint ventures and non-control investments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(gain) loss on loans accounted for under the fair value option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gain on residuals in securitizations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loss on loan servicing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unrealized depreciation (appreciation) on warrants and derivative transactions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(68,531)</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accretion of premium/discount on debt securities available-for-sale and loans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on extinguishment of debt, deferred financing costs expensed</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deferred financing costs and deferred loan fees and costs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Lower of cost or market adjustment on loans held for sale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Bad debt expense, net of recoveries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598,186</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Sale of loans held for sale from affiliate</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131,155</w:t>
            </w: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Funding of loans held for sale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(799,644)</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Principal received on loans held for sale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receivable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0" w:type="dxa"/>
            <w:vAlign w:val="bottom"/>
          </w:tcPr>
          <w:p>
            <w:pPr>
              <w:spacing w:after="0"/>
              <w:rPr>
                <w:sz w:val="1"/>
                <w:szCs w:val="1"/>
                <w:color w:val="auto"/>
              </w:rPr>
            </w:pPr>
          </w:p>
        </w:tc>
      </w:tr>
      <w:tr>
        <w:trPr>
          <w:trHeight w:val="223"/>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Due to participants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21"/>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(61,419)</w:t>
            </w:r>
          </w:p>
        </w:tc>
        <w:tc>
          <w:tcPr>
            <w:tcW w:w="0" w:type="dxa"/>
            <w:vAlign w:val="bottom"/>
          </w:tcPr>
          <w:p>
            <w:pPr>
              <w:spacing w:after="0"/>
              <w:rPr>
                <w:sz w:val="1"/>
                <w:szCs w:val="1"/>
                <w:color w:val="auto"/>
              </w:rPr>
            </w:pPr>
          </w:p>
        </w:tc>
      </w:tr>
      <w:tr>
        <w:trPr>
          <w:trHeight w:val="608"/>
        </w:trPr>
        <w:tc>
          <w:tcPr>
            <w:tcW w:w="81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F-15</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10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8"/>
        </w:trPr>
        <w:tc>
          <w:tcPr>
            <w:tcW w:w="8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3"/>
        </w:trPr>
        <w:tc>
          <w:tcPr>
            <w:tcW w:w="81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received on loans held for investment, at fair value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54,533</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loans held for investment, at fair value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in loans held for investment, at cost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(179,018)</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Newtek Technology Solutions, Inc.</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 to joint ventures and other non-control investments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(25,642)</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Return of capital from joint ventures and other non-control investments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20,301</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fixed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Federal Home Loan Bank and Federal Reserve Bank stock</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Federal Home Loan Bank and Federal Reserve Bank stock</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(30,863)</w:t>
            </w:r>
          </w:p>
        </w:tc>
      </w:tr>
      <w:tr>
        <w:trPr>
          <w:trHeight w:val="22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Maturities of available-for-sale securities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39,500</w:t>
            </w:r>
          </w:p>
        </w:tc>
      </w:tr>
      <w:tr>
        <w:trPr>
          <w:trHeight w:val="217"/>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(122,833)</w:t>
            </w:r>
          </w:p>
        </w:tc>
      </w:tr>
      <w:tr>
        <w:trPr>
          <w:trHeight w:val="230"/>
        </w:trPr>
        <w:tc>
          <w:tcPr>
            <w:tcW w:w="8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 on bank notes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175,840</w:t>
            </w:r>
          </w:p>
        </w:tc>
      </w:tr>
      <w:tr>
        <w:trPr>
          <w:trHeight w:val="223"/>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on bank notes payable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(194,534)</w:t>
            </w: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184,983</w:t>
            </w:r>
          </w:p>
        </w:tc>
      </w:tr>
      <w:tr>
        <w:trPr>
          <w:trHeight w:val="223"/>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Federal Home Loan Bank advances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common shares sold, net of offering costs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13,818</w:t>
            </w:r>
          </w:p>
        </w:tc>
      </w:tr>
      <w:tr>
        <w:trPr>
          <w:trHeight w:val="223"/>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preferred stock, net of offering costs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purchase and exchange agreement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shares under share repurchase plan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Redemption of 2024 Notes</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w:t>
            </w:r>
          </w:p>
        </w:tc>
      </w:tr>
      <w:tr>
        <w:trPr>
          <w:trHeight w:val="223"/>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Maturity of 2025 5.00% Notes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2029 8.50% Notes</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71,875</w:t>
            </w:r>
          </w:p>
        </w:tc>
      </w:tr>
      <w:tr>
        <w:trPr>
          <w:trHeight w:val="223"/>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2029 8.625% Notes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2030 Notes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2029 8.50% Notes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Notes Payable - Securitization Trusts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(68,922)</w:t>
            </w:r>
          </w:p>
        </w:tc>
      </w:tr>
      <w:tr>
        <w:trPr>
          <w:trHeight w:val="223"/>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related to residuals in securitizations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 net of dividend reinvestment plan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w:t>
            </w:r>
          </w:p>
        </w:tc>
      </w:tr>
      <w:tr>
        <w:trPr>
          <w:trHeight w:val="223"/>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common stock issued under ESPP, net of discount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vested stock for employee payroll tax withholding</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192,132</w:t>
            </w:r>
          </w:p>
        </w:tc>
      </w:tr>
      <w:tr>
        <w:trPr>
          <w:trHeight w:val="21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cash—beginning of period (NOTE 2)</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184,006</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Deconsolidation of cash and restricted cash from controlled investments related to business dispositions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1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cash—end of period (NOTE 2)</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216,931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190,422</w:t>
            </w:r>
          </w:p>
        </w:tc>
      </w:tr>
      <w:tr>
        <w:trPr>
          <w:trHeight w:val="606"/>
        </w:trPr>
        <w:tc>
          <w:tcPr>
            <w:tcW w:w="81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F-16</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810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12"/>
        </w:trPr>
        <w:tc>
          <w:tcPr>
            <w:tcW w:w="8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8"/>
        </w:trPr>
        <w:tc>
          <w:tcPr>
            <w:tcW w:w="8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operating, investing and financing activities: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Foreclosed real estate acquired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but not paid during the period</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IPM stock acquired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IPM earn-out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and accrued interest acquired upon acquisition of 100% of NCL JV</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8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59,570</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r>
      <w:tr>
        <w:trPr>
          <w:trHeight w:val="613"/>
        </w:trPr>
        <w:tc>
          <w:tcPr>
            <w:tcW w:w="81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F-17</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810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12"/>
        </w:trPr>
        <w:tc>
          <w:tcPr>
            <w:tcW w:w="8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BASIS OF PRESENTATION:</w:t>
      </w:r>
    </w:p>
    <w:p>
      <w:pPr>
        <w:spacing w:after="0" w:line="229"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18"/>
          <w:szCs w:val="18"/>
          <w:color w:val="auto"/>
        </w:rPr>
        <w:t>The Company is a financial holding company that is a leading provider of business and financial solutions to independent business owners (SMBs) and provides SMBs with the following Newtek® branded business and financial solutions: Newtek Banking, Newtek Alternative Lending, Newtek Payments, Newtek Insurance and Newtek Payroll.</w:t>
      </w:r>
    </w:p>
    <w:p>
      <w:pPr>
        <w:spacing w:after="0" w:line="19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NewtekOne reports on a consolidated basis the financial condition and results of operations for the following consolidated subsidiaries: Newtek Bank; NSBF; NMS (and its subsidiary Mobil Money); NBC; PMT; NIA; TAM; POS; and NALH.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noted, all financial information included in the tables in the following footnotes is stated in thousands, except per share data.</w:t>
      </w:r>
    </w:p>
    <w:p>
      <w:pPr>
        <w:spacing w:after="0" w:line="2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6"/>
          <w:szCs w:val="16"/>
          <w:color w:val="auto"/>
        </w:rPr>
        <w:t>The accompanying notes to the consolidated financial statements should be read in conjunction with the Company’s Annual Report on Form 10-K for the year ended December 31, 2024, filed on March 17, 2025 (the “2024 Form 10-K”). The unaudited consolidated financial statements of the Company have been prepared in accordance with U.S. GAAP and pursuant to the requirements for reporting on Form 10-Q and Article 10 of Regulation S-X and, therefore, do not include all information and footnotes necessary for a fair presentation of the consolidated financial statements in accordance with U.S. GAAP. In the opinion of management, the consolidated financial statements reflect all adjustments and reclassifications that are necessary for the fair presentation of financial results as of and for the periods presented. The annualized results of operations for the three and nine months ended September 30, 2025 are not necessarily indicative of the results of operations that may be expected for the entire fiscal year. The December 31, 2024 consolidated statement of assets and liabilities has been derived from the audited financial statements as of that date. All intercompany balances and transactions have been eliminated in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4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NewtekOne, its subsidiaries and certain VIEs. Significant intercompany balances and transactions have been eliminated. The Company consolidates a subsidiary if the Company has a controlling financial interest in the entity as a result of holding a majority of the voting rights. VIEs are consolidated if NewtekOne has the power to direct the activities of the VIE that significantly impact financial performance and has the obligation to absorb losses or the right to receive benefits that could potentially be significant to the VIE (i.e., NewtekOne is the primary beneficiary). The determination of whether the Company is the primary beneficiary of a VIE is reassessed on an ongoing basis. Investments in companies which are not VIEs, but in which the Company has more than minor influence over the operating and financial policies, are accounted for using the equity method of accounting. Investments in VIEs where NewtekOne is not the primary beneficiary of a VIE are accounted for using the equity method of accounting. The maximum potential exposure to losses relative to investments in VIEs is generally limited to the investment balance. Refer to NOTE 3—SECURITIZATIONS AND VARIABLE INTEREST ENTITIES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in the prior financial statements have been reclassified to conform to current presentation.</w:t>
      </w:r>
    </w:p>
    <w:p>
      <w:pPr>
        <w:spacing w:after="0" w:line="2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previous net presentation of cash flows from investing and financing activities within the consolidated statements of cash flows has been revised to reflect a gross presentation of repayments and borrowings, principal received on and repurchases of loans held for investment, purchases and redemptions of Federal Home Loan Bank stock and Federal Reserve Bank stock, contributions and return of capital on joint venture investments, as well as purchases, sales and maturities of available-for-sale securities for all comparative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reclassifications did not result in any changes to previously reported net income, shareholder’s equity or net cash used in investing or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02"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A more detailed description of our accounting policies is included in the Company’s 2024 Form 10-K, which accounting policies remain significantly unchanged. There have been no other significant changes to our accounting policies, or the estimates made pursuant to those policies as described in our 2024 Form 10-K.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due from banks</w:t>
      </w:r>
    </w:p>
    <w:p>
      <w:pPr>
        <w:spacing w:after="0" w:line="24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The Company considers all highly liquid instruments with maturities of three months or less when purchased to be cash equivalents. Invested cash is held exclusively at financial institutions of high credit quality. As of September 30, 2025, cash deposits in excess of insured amounts totaled $29.0 million. The Company has not experienced any losses with respect to cash balances in excess of insured amounts and management does not believe there was a significant concentration of risk with respect to cash balances as of September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44"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color w:val="auto"/>
        </w:rPr>
        <w:t>Restricted cash includes amounts due on SBA loan-related remittances to third parties, cash reserves established as part of agreements with the SBA, cash reserves associated with consolidated securitization transactions, and cash margin as collateral for derivative instruments.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bearing deposits in banks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interest bearing deposits in banks reflects cash held at other financial institutions that earn interest.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restricted cash, and interest bearing deposits in banks as of September 30, 2025 and 2024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4"/>
        </w:trPr>
        <w:tc>
          <w:tcPr>
            <w:tcW w:w="20" w:type="dxa"/>
            <w:vAlign w:val="bottom"/>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27,929</w:t>
            </w:r>
          </w:p>
        </w:tc>
      </w:tr>
      <w:tr>
        <w:trPr>
          <w:trHeight w:val="223"/>
        </w:trPr>
        <w:tc>
          <w:tcPr>
            <w:tcW w:w="2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152,805</w:t>
            </w:r>
          </w:p>
        </w:tc>
      </w:tr>
      <w:tr>
        <w:trPr>
          <w:trHeight w:val="217"/>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381,374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190,422</w:t>
            </w: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08"/>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24"/>
                <w:szCs w:val="24"/>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4"/>
        </w:trPr>
        <w:tc>
          <w:tcPr>
            <w:tcW w:w="2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Cash held at Federal Reserve Bank</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152,283</w:t>
            </w:r>
          </w:p>
        </w:tc>
      </w:tr>
      <w:tr>
        <w:trPr>
          <w:trHeight w:val="223"/>
        </w:trPr>
        <w:tc>
          <w:tcPr>
            <w:tcW w:w="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held at other financial institutions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38,139</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100" w:hanging="95"/>
        <w:spacing w:after="0"/>
        <w:tabs>
          <w:tab w:leader="none" w:pos="10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Subject to changes in the Federal Funds rate set by the Federal Open Market Committee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and Servicing of Financial Assets</w:t>
      </w:r>
    </w:p>
    <w:p>
      <w:pPr>
        <w:spacing w:after="0" w:line="218"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8"/>
          <w:szCs w:val="18"/>
          <w:color w:val="auto"/>
        </w:rPr>
        <w:t>For a transfer of financial assets to be considered a sale, the transfer must meet the sale criteria of ASC 860, which, at the time of the transfer, requires that the transferred assets qualify as recognized financial assets and the Company surrender control over the assets. Such surrender requires that the assets be isolated from the Company, even in bankruptcy or other receivership, the purchaser have the right to pledge or sell the assets transferred and the Company not have an option or obligation to reacquire the assets.</w:t>
      </w:r>
    </w:p>
    <w:p>
      <w:pPr>
        <w:spacing w:after="0" w:line="208" w:lineRule="exact"/>
        <w:rPr>
          <w:sz w:val="20"/>
          <w:szCs w:val="20"/>
          <w:color w:val="auto"/>
        </w:rPr>
      </w:pPr>
    </w:p>
    <w:p>
      <w:pPr>
        <w:ind w:right="240"/>
        <w:spacing w:after="0" w:line="331" w:lineRule="auto"/>
        <w:rPr>
          <w:sz w:val="20"/>
          <w:szCs w:val="20"/>
          <w:color w:val="auto"/>
        </w:rPr>
      </w:pPr>
      <w:r>
        <w:rPr>
          <w:rFonts w:ascii="Times New Roman" w:cs="Times New Roman" w:eastAsia="Times New Roman" w:hAnsi="Times New Roman"/>
          <w:sz w:val="16"/>
          <w:szCs w:val="16"/>
          <w:color w:val="auto"/>
        </w:rPr>
        <w:t>Assets related to transactions that do not meet ASC Topic 860 — Transfers and Servicing (“ASC Topic 860”) requirements for accounting sale treatment are reflected in the Company’s consolidated statements of financial condition as investments and the sale proceeds are recognized as a liability.</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Company accounts for servicing assets in accordance with ASC Topic 860-50 - Transfers and Servicing - Servicing Assets and Liabilities. The Company and Newtek Bank earn servicing fees from the guaranteed portions of SBA 7(a) loans they originate and sell. The Company has also recorded servicing assets/liabilities on loans sold where the Company retained an obligation to service the loan sold.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initially measured at FV and subsequently measured at LCM and amortized based on their estimated life and impairment is recorded to the extent the amortized cost exceeds the asset’s FV.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4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 variable interest entity (“VIE”) is an entity in which equity investors lack the characteristics of a controlling financial interest, do not have sufficient equity at risk for the entity to finance its activities without additional subordinated financial support, or substantially all of the activities of the entity are conducted on behalf of an investor with disproportionally few voting rights. VIEs are consolidated by the primary beneficiary, which is the party who has the power to direct the activities of a VIE that most significantly impact the VIE’s economic performance and who has an obligation to absorb losses of the VIE or a right to receive benefits from the VIE that could potentially be significant to the VIE. The Company determines whether it is the primary beneficiary of a VIE upon initial involvement with a VIE and reassesses whether it is the primary beneficiary of a VIE on an ongoing basis. The determination of whether an entity is a VIE and whether the Company is the primary beneficiary of a VIE is based upon the facts and circumstances for the VIE and requires significant judgments such as whether the Company’s interest in a VIE is a variable interest, whether the Company controls the activities that most significantly impact the economic performance of the VIE, and whether the Company has the obligation to absorb losses or the right to receive benefits of the VIE that could be significant to the VIE. A VIE is consolidated if management determines the Company, is the primary beneficiary.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Loans</w:t>
      </w:r>
    </w:p>
    <w:p>
      <w:pPr>
        <w:spacing w:after="0" w:line="24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Accounting Standards Update (“ASU”) 2016-13, Financial Instruments - Credit Losses (Topic 326): Measurement of Credit Losses on Financial Instruments (“CECL”) approach requires an estimate of the credit losses expected over the life of a loan (or pool of loans). The allowance for credit losses is a valuation account that is deducted from the loans’ amortized cost basis to present the net, lifetime amount expected to be collected on the loans. Loan losses are charged off against the allowance when management believes a loan balance is uncollectible. Expected recoveries do not exceed the aggregate of amounts previously charged-off and expected to be charged-off.</w:t>
      </w:r>
    </w:p>
    <w:p>
      <w:pPr>
        <w:spacing w:after="0" w:line="21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The allowance is comprised of reserves measured on a collective (pool) basis based on a lifetime loss-rate model when similar risk characteristics exist. Loans that do not share risk characteristics are evaluated on an individual basis, which generally includes larger non-accruing commercial loans.</w:t>
      </w:r>
    </w:p>
    <w:p>
      <w:pPr>
        <w:spacing w:after="0" w:line="195" w:lineRule="exact"/>
        <w:rPr>
          <w:sz w:val="20"/>
          <w:szCs w:val="20"/>
          <w:color w:val="auto"/>
        </w:rPr>
      </w:pPr>
    </w:p>
    <w:p>
      <w:pPr>
        <w:ind w:right="140"/>
        <w:spacing w:after="0" w:line="303" w:lineRule="auto"/>
        <w:rPr>
          <w:sz w:val="20"/>
          <w:szCs w:val="20"/>
          <w:color w:val="auto"/>
        </w:rPr>
      </w:pPr>
      <w:r>
        <w:rPr>
          <w:rFonts w:ascii="Times New Roman" w:cs="Times New Roman" w:eastAsia="Times New Roman" w:hAnsi="Times New Roman"/>
          <w:sz w:val="16"/>
          <w:szCs w:val="16"/>
          <w:color w:val="auto"/>
        </w:rPr>
        <w:t>The discounted cash flow (“DCF”) method is used to estimate expected credit losses for all loan portfolio segments measured on a collective (pool) basis. For each loan segment, cash flow projections are generated at the instrument level wherein payment expectations are adjusted for estimated prepayment speeds, probability of default, and loss given default. The modeling of prepayment speeds is based on a combination of historical internal data and peer data.</w:t>
      </w:r>
    </w:p>
    <w:p>
      <w:pPr>
        <w:spacing w:after="0" w:line="17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Regression analysis of historical internal and peer data is used to determine suitable loss drivers to utilize when modeling lifetime probability of default. This analysis also determines how expected probability of default and loss given default will react to forecasted levels of the loss drivers. For all loan pools utilizing the DCF method, management utilizes various economic indicators such as changes in unemployment rates, gross domestic product, real estate values, and other relevant factors as loss drivers. For all DCF models, management has determined that due to historic volatility in economic data, four quarters currently represents a reasonable and supportable forecast period, followed by a four-quarter reversion to historical mean levels for each of the various economic indicators.</w:t>
      </w:r>
    </w:p>
    <w:p>
      <w:pPr>
        <w:spacing w:after="0" w:line="21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combination of adjustments for credit expectations (default and loss) and timing expectations (prepayment, curtailment, and time to recovery) produces an expected cash flow stream at the instrument level. Specific instrument effective yields are calculated, net of the impacts of prepayment assumptions, and the instrument expected cash flows are then discounted at that effective yield to produce an instrument-level Net Present Value (“NPV”). An allowance is established for the difference between the instrument’s NPV and amortized cost basis.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and (v) other external factors, that may include, but are not limited to, results of internal loan reviews, stress testing, examinations by bank regulatory agencies, or other events such as a natural disaster. Significant management judgment is required at each point in the measurement process.</w:t>
      </w:r>
    </w:p>
    <w:p>
      <w:pPr>
        <w:spacing w:after="0" w:line="21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Arriving at an appropriate level of allowance involves a high degree of judgment. The determination of the adequacy of the allowance and provisioning for estimated losses is evaluated regularly based on review of loans, with particular emphasis on non-performing and other loans that management believes warrant special consideration. While management uses available information to recognize losses on loans, changing economic conditions and the economic prospects of the borrowers may necessitate future additions or reductions to the allowance. Management estimates the allowance balance using relevant available information, from internal and external sources, related to past events, current conditions, and reasonable and supportable forecasts. The Company’s historical credit loss experience provides the basis for the estimation of expected credit losses, supplemented with peer loss information, and results in expected probabilities of default and expected losses given default.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w:t>
      </w:r>
    </w:p>
    <w:p>
      <w:pPr>
        <w:spacing w:after="0" w:line="220"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18"/>
          <w:szCs w:val="18"/>
          <w:color w:val="auto"/>
        </w:rPr>
        <w:t>Expected losses are applied to loans grouped in portfolio segments, which are pools of loans aggregated based on type of borrower and collateral, generally based upon federal call report segmentation. Portfolio segments have been combined or sub-segmented as needed to ensure loans of similar risk profiles are appropriately pooled. These portfolio segments are as follows:</w:t>
      </w:r>
    </w:p>
    <w:p>
      <w:pPr>
        <w:spacing w:after="0" w:line="203" w:lineRule="exact"/>
        <w:rPr>
          <w:sz w:val="20"/>
          <w:szCs w:val="20"/>
          <w:color w:val="auto"/>
        </w:rPr>
      </w:pPr>
    </w:p>
    <w:p>
      <w:pPr>
        <w:jc w:val="both"/>
        <w:ind w:left="620" w:hanging="788"/>
        <w:spacing w:after="0" w:line="256" w:lineRule="auto"/>
        <w:tabs>
          <w:tab w:leader="none" w:pos="600" w:val="left"/>
        </w:tabs>
        <w:rPr>
          <w:sz w:val="20"/>
          <w:szCs w:val="20"/>
          <w:color w:val="auto"/>
        </w:rPr>
      </w:pPr>
      <w:r>
        <w:rPr>
          <w:rFonts w:ascii="Times New Roman" w:cs="Times New Roman" w:eastAsia="Times New Roman" w:hAnsi="Times New Roman"/>
          <w:sz w:val="18"/>
          <w:szCs w:val="18"/>
          <w:i w:val="1"/>
          <w:iCs w:val="1"/>
          <w:color w:val="auto"/>
        </w:rPr>
        <w:t>CRE:</w:t>
      </w:r>
      <w:r>
        <w:rPr>
          <w:sz w:val="20"/>
          <w:szCs w:val="20"/>
          <w:color w:val="auto"/>
        </w:rPr>
        <w:tab/>
      </w:r>
      <w:r>
        <w:rPr>
          <w:rFonts w:ascii="Times New Roman" w:cs="Times New Roman" w:eastAsia="Times New Roman" w:hAnsi="Times New Roman"/>
          <w:sz w:val="18"/>
          <w:szCs w:val="18"/>
          <w:color w:val="auto"/>
        </w:rPr>
        <w:t>The CRE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spacing w:after="0" w:line="205" w:lineRule="exact"/>
        <w:rPr>
          <w:sz w:val="20"/>
          <w:szCs w:val="20"/>
          <w:color w:val="auto"/>
        </w:rPr>
      </w:pPr>
    </w:p>
    <w:p>
      <w:pPr>
        <w:ind w:left="600" w:right="60" w:hanging="788"/>
        <w:spacing w:after="0" w:line="268" w:lineRule="auto"/>
        <w:tabs>
          <w:tab w:leader="none" w:pos="580" w:val="left"/>
        </w:tabs>
        <w:rPr>
          <w:sz w:val="20"/>
          <w:szCs w:val="20"/>
          <w:color w:val="auto"/>
        </w:rPr>
      </w:pPr>
      <w:r>
        <w:rPr>
          <w:rFonts w:ascii="Times New Roman" w:cs="Times New Roman" w:eastAsia="Times New Roman" w:hAnsi="Times New Roman"/>
          <w:sz w:val="18"/>
          <w:szCs w:val="18"/>
          <w:i w:val="1"/>
          <w:iCs w:val="1"/>
          <w:color w:val="auto"/>
        </w:rPr>
        <w:t>C&amp;I:</w:t>
      </w:r>
      <w:r>
        <w:rPr>
          <w:sz w:val="20"/>
          <w:szCs w:val="20"/>
          <w:color w:val="auto"/>
        </w:rPr>
        <w:tab/>
      </w:r>
      <w:r>
        <w:rPr>
          <w:rFonts w:ascii="Times New Roman" w:cs="Times New Roman" w:eastAsia="Times New Roman" w:hAnsi="Times New Roman"/>
          <w:sz w:val="18"/>
          <w:szCs w:val="18"/>
          <w:color w:val="auto"/>
        </w:rPr>
        <w:t>The C&amp;I portfolio consists of loans made for general business purposes consisting of short-term working capital loans, equipment loans and unsecured business lines.</w:t>
      </w:r>
    </w:p>
    <w:p>
      <w:pPr>
        <w:spacing w:after="0" w:line="195" w:lineRule="exact"/>
        <w:rPr>
          <w:sz w:val="20"/>
          <w:szCs w:val="20"/>
          <w:color w:val="auto"/>
        </w:rPr>
      </w:pPr>
    </w:p>
    <w:p>
      <w:pPr>
        <w:ind w:left="800" w:hanging="788"/>
        <w:spacing w:after="0" w:line="247" w:lineRule="auto"/>
        <w:tabs>
          <w:tab w:leader="none" w:pos="780" w:val="left"/>
        </w:tabs>
        <w:rPr>
          <w:sz w:val="20"/>
          <w:szCs w:val="20"/>
          <w:color w:val="auto"/>
        </w:rPr>
      </w:pPr>
      <w:r>
        <w:rPr>
          <w:rFonts w:ascii="Times New Roman" w:cs="Times New Roman" w:eastAsia="Times New Roman" w:hAnsi="Times New Roman"/>
          <w:sz w:val="18"/>
          <w:szCs w:val="18"/>
          <w:i w:val="1"/>
          <w:iCs w:val="1"/>
          <w:color w:val="auto"/>
        </w:rPr>
        <w:t>SBA 7(a):</w:t>
      </w:r>
      <w:r>
        <w:rPr>
          <w:sz w:val="20"/>
          <w:szCs w:val="20"/>
          <w:color w:val="auto"/>
        </w:rPr>
        <w:tab/>
      </w:r>
      <w:r>
        <w:rPr>
          <w:rFonts w:ascii="Times New Roman" w:cs="Times New Roman" w:eastAsia="Times New Roman" w:hAnsi="Times New Roman"/>
          <w:sz w:val="18"/>
          <w:szCs w:val="18"/>
          <w:color w:val="auto"/>
        </w:rPr>
        <w:t>The SBA 7(a) portfolio includes loans originated under the federal Section 7(a) loan program (the “SBA 7(a) Program”), i.e., SBA 7(a) loans.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Program, a bank or other lender licensed by the SBA may underwrite loans between $5.0 thousand and $5.0 million for a variety of general business purposes based on the SBA’s loan program requirements. The Company applies the zero loss expectation exemption under CECL to the guaranteed portion of the loans. The unguaranteed portion of the loans that are held on balance sheet at amortized cost are subject to an ACL. In the context of CECL, these SBA 7(a) loans are held at Newtek Bank.</w:t>
      </w:r>
    </w:p>
    <w:p>
      <w:pPr>
        <w:spacing w:after="0" w:line="204"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i w:val="1"/>
          <w:iCs w:val="1"/>
          <w:color w:val="auto"/>
        </w:rPr>
        <w:t xml:space="preserve">Individually Evaluated Loans. </w:t>
      </w:r>
      <w:r>
        <w:rPr>
          <w:rFonts w:ascii="Times New Roman" w:cs="Times New Roman" w:eastAsia="Times New Roman" w:hAnsi="Times New Roman"/>
          <w:sz w:val="18"/>
          <w:szCs w:val="18"/>
          <w:color w:val="auto"/>
        </w:rPr>
        <w:t>Loans that do not share risk characteristics with existing pools are evaluated on an individual basis. Management defines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as nonaccrual loans with exposure above $100 thousand. In the first quarter of 2025, management began evaluating the remaining PCD loans individually, regardless of accrual status. For loans that are individually evaluated and collateral dependent, financial loans where management has determined that foreclosure of the collateral is probable, or where the borrower is experiencing financial difficulty and management expects repayment of the financial asset to be provided substantially through the sale of the collateral, the ACL is measured based on the difference between the fair value of the collateral and the amortized cost basis of the asset as of the measurement date. When repayment is expected to be from the operation of the collateral or going concern, the specific credit loss reserve is calculated as the amount by which the amortized cost basis of the financial asset exceeds the NPV from the operation of the collateral. When repayment is expected to be from the sale of the collateral, the specific credit loss reserve is calculated as the amount by which the amortized costs basis of the financial asset exceeds the fair value of the underlying collateral less estimated cost to sell. The allowance may be zero if the fair value of the collateral at the measurement date exceeds the amortized cost basis of the financial asset.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Accrued Interest. </w:t>
      </w:r>
      <w:r>
        <w:rPr>
          <w:rFonts w:ascii="Times New Roman" w:cs="Times New Roman" w:eastAsia="Times New Roman" w:hAnsi="Times New Roman"/>
          <w:sz w:val="18"/>
          <w:szCs w:val="18"/>
          <w:color w:val="auto"/>
        </w:rPr>
        <w:t>Upon the Acquisition and adoption of CECL, the Company made the following elections regarding accrued interest receivable: (1)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interest receivable balances 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Generally, accrued interest is reversed when a loan is placed on non-accrual or is written-off. Current year accrued interest is reversed through interest income while accrued interest from prior years is written-off through the ACL. Historically, the Company has not experienced uncollectible accrued interest receivable on investment securities.</w:t>
      </w:r>
    </w:p>
    <w:p>
      <w:pPr>
        <w:spacing w:after="0" w:line="21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Allowance for off-balance sheet credit exposures. </w:t>
      </w:r>
      <w:r>
        <w:rPr>
          <w:rFonts w:ascii="Times New Roman" w:cs="Times New Roman" w:eastAsia="Times New Roman" w:hAnsi="Times New Roman"/>
          <w:sz w:val="16"/>
          <w:szCs w:val="16"/>
          <w:color w:val="auto"/>
        </w:rPr>
        <w:t>The exposure is a component of other liabilities in the consolidated balance sheet and represents the estimate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probable credit losses inherent in unfunded commitments to extend credit. Unfunded commitments to extend credit include unused portions of lines of credit and standby and commercial letters of credit. The process used to determine the allowance for these exposures is consistent with the process for determining the allowance for loans, as adjusted for estimated funding probabilities or loan equivalency factors. A charge (credit) to provision for credit losses on the consolidated statements of income is made to account for the change in the allowance on off-balance sheet exposures between reporting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Available-for Sale (“AFS”) Debt Securities</w:t>
      </w:r>
    </w:p>
    <w:p>
      <w:pPr>
        <w:spacing w:after="0" w:line="24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impairment model for 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21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September 30, 2025 and 2024, the Company determined that the unrealized loss positions in the AFS securities were not the result of credit losses, and therefore, an allowance for credit losses was not recorded.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Interest Receivable</w:t>
      </w:r>
    </w:p>
    <w:p>
      <w:pPr>
        <w:spacing w:after="0" w:line="24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Upon the Acquisition and adoption of CECL, the Company made the following elections regarding accrued interest receivable: (1) presented accrued interest receivable balances separately within other assets balance sheet line item; (2) excluded interest receivable that is included in amortized cost of financing receivables from related disclosures requirements and (3) continued our policy to write-off accrued interest receivable by reversing interest income. For loans, write-off typically occurs upon becoming over 90 to 120 days past due. Historically, the Company has not experienced uncollectible accrued interest receivable on investment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Receivable</w:t>
      </w:r>
    </w:p>
    <w:p>
      <w:pPr>
        <w:spacing w:after="0" w:line="24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Settlement receivable represents amounts due from third parties for guaranteed portions of SBA 7(a) loans which have been sold at period-end but have not yet settled. The guaranteed portion of SBA 7(a) loan principal balances that have been sold but not yet settled as of September 30, 2025 and December 31, 2024 was $0.4 million and $47.4 million, respectively. The settlement receivable also includes $43.0 thousand and $5.0 million of premiums, which have been recognized in Net Gains on Sales of Loans as of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If available evidence suggests that it is more likely than not that some portion or all of the deferred tax assets will not be realized, a valuation allowance is required to reduce the deferred tax assets to the amount that is more likely than not to be realized. See NOTE 17—INCOME TAXES</w:t>
      </w:r>
      <w:r>
        <w:rPr>
          <w:rFonts w:ascii="Times New Roman" w:cs="Times New Roman" w:eastAsia="Times New Roman" w:hAnsi="Times New Roman"/>
          <w:sz w:val="18"/>
          <w:szCs w:val="18"/>
          <w:b w:val="1"/>
          <w:bCs w:val="1"/>
          <w:color w:val="auto"/>
        </w:rPr>
        <w:t>.</w:t>
      </w:r>
    </w:p>
    <w:p>
      <w:pPr>
        <w:spacing w:after="0" w:line="20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income tax expense, deferred tax assets and liabilities, and reserves for unrecognized tax benefits reflect management’s best assessment of estimated current and future taxes to be paid. We are subject to income taxes in the United States and its political subdivisions. Significant judgments and estimates are required in determining the consolidated income tax expense.</w:t>
      </w:r>
    </w:p>
    <w:p>
      <w:pPr>
        <w:spacing w:after="0" w:line="205"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The Company’s U.S. federal and state income tax returns prior to fiscal year 2021 are generally closed, and management continually evaluates expiring statutes of limitations, audits, proposed settlements, changes in tax law and new authoritative rulings. Interest and penalties assessed by tax jurisdictions for income tax matters are presented as income tax expense on the consolidated statement of income.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4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Business Combinations—Joint Venture Formations (ASU 2023-05): </w:t>
      </w:r>
      <w:r>
        <w:rPr>
          <w:rFonts w:ascii="Times New Roman" w:cs="Times New Roman" w:eastAsia="Times New Roman" w:hAnsi="Times New Roman"/>
          <w:sz w:val="16"/>
          <w:szCs w:val="16"/>
          <w:color w:val="auto"/>
        </w:rPr>
        <w:t>In August 2023, the FASB issued ASU 2023-05, Business Combinations – Joint Venture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Formations (Subtopic 805-60). The amendments in this Update address the accounting for contributions made to a joint venture, upon formation, in a joint venture’s separate financial statements. The objectives of the amendments are to (1) provide decision-useful information to investors and other allocators of capital (collectively, investors) in a joint venture’s financial statements and (2) reduce diversity in practice. The amendments in this Update are effective prospectively for all joint venture formations with a formation date on or after January 1, 2025. Additionally,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either prospectively or retrospectively. The Company adopted this guidance as of January 1, 2025 and the adoption of this standard is not expected to a have a material impact on its consolidated financial statements.</w:t>
      </w:r>
    </w:p>
    <w:p>
      <w:pPr>
        <w:spacing w:after="0" w:line="197"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Improvements to Income Tax Disclosures (ASU 2023-09): </w:t>
      </w:r>
      <w:r>
        <w:rPr>
          <w:rFonts w:ascii="Times New Roman" w:cs="Times New Roman" w:eastAsia="Times New Roman" w:hAnsi="Times New Roman"/>
          <w:sz w:val="18"/>
          <w:szCs w:val="18"/>
          <w:color w:val="auto"/>
        </w:rPr>
        <w:t>In December 2023, the FASB issued ASU 2023-09, Income Taxes (Topic 740): Improvements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Disclosures. The purpose of this guidance is to enhance the rate reconciliation and income taxes paid disclosures. This ASU requires that an entity disclose, on an annual basis, specific categories in the rate reconciliation and provide additional information for reconciling items that meet a quantitative threshold. For the state and local income tax category of the rate reconciliation, entities must disclose a qualitative description of the states and local jurisdictions that make up the majority (greater than 50 percent) of the category. For the income taxes paid disclosures, entities will be required to disclose, on an annual basis, the amount of income taxes paid (net of refunds received) disaggregated by federal, state, and foreign taxes. The amendments must be applied using either a prospective or retrospective approach. The Company adopted this guidance as of January 1, 2025, which will result in enhanced income tax disclosures within the consolidated financial statements beginning with its December 31, 2025 Form 10-K.</w:t>
      </w:r>
    </w:p>
    <w:p>
      <w:pPr>
        <w:spacing w:after="0" w:line="20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Compensation—Stock Compensation (ASU 2024-01): </w:t>
      </w:r>
      <w:r>
        <w:rPr>
          <w:rFonts w:ascii="Times New Roman" w:cs="Times New Roman" w:eastAsia="Times New Roman" w:hAnsi="Times New Roman"/>
          <w:sz w:val="18"/>
          <w:szCs w:val="18"/>
          <w:color w:val="auto"/>
        </w:rPr>
        <w:t>In March 2024, the FASB issued ASU 2024-01, Compensation - Stock Compensation (Topic 718), Scope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Profits Interest and Similar Awards. This standard provides clarity regarding whether profits interest and similar awards are within the scope of Topic 718 of the Accounting Standards Codification. This standard is effective for fiscal years beginning after December 15, 2024. The amendments should be applied retrospectively to all prior periods presented in the financial statements. Early adoption is permitted. The Company adopted ASU 2024-01 on January 1, 2025 and the adoption of this standard is not expected to a have a material impact on its consolidated financial statements.</w:t>
      </w:r>
    </w:p>
    <w:p>
      <w:pPr>
        <w:spacing w:after="0" w:line="205"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Liabilities (405): Amendments to SEC Paragraphs Pursuant to SEC Staff Accounting Bulletin No. 122 (ASU 2025-02): </w:t>
      </w:r>
      <w:r>
        <w:rPr>
          <w:rFonts w:ascii="Times New Roman" w:cs="Times New Roman" w:eastAsia="Times New Roman" w:hAnsi="Times New Roman"/>
          <w:sz w:val="18"/>
          <w:szCs w:val="18"/>
          <w:color w:val="auto"/>
        </w:rPr>
        <w:t>In March 2025, the FASB issued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2025-02. The purpose of this guidance is to amend the Accounting Standards Codification to remove the text of SEC Staff Accounting Bulletin (“SAB”) 121 “Accounting for Obligations to Safeguard Crypto-Assets an Entity Holds for its Platform Users” as it has been rescinded by the issuance of SAB 122. ASU 2025-02 is effective immediately and is not expected to have an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Income Statement-Reporting Comprehensive Income-Expense Disaggregation Disclosures (ASU 2024-03): </w:t>
      </w:r>
      <w:r>
        <w:rPr>
          <w:rFonts w:ascii="Times New Roman" w:cs="Times New Roman" w:eastAsia="Times New Roman" w:hAnsi="Times New Roman"/>
          <w:sz w:val="16"/>
          <w:szCs w:val="16"/>
          <w:color w:val="auto"/>
        </w:rPr>
        <w:t>In November 2024, the FASB issued ASU 2024-03,</w:t>
      </w:r>
    </w:p>
    <w:p>
      <w:pPr>
        <w:spacing w:after="0" w:line="4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 xml:space="preserve">and in January 2025, the FASB issued ASU 2025-01, </w:t>
      </w:r>
      <w:r>
        <w:rPr>
          <w:rFonts w:ascii="Times New Roman" w:cs="Times New Roman" w:eastAsia="Times New Roman" w:hAnsi="Times New Roman"/>
          <w:sz w:val="16"/>
          <w:szCs w:val="16"/>
          <w:i w:val="1"/>
          <w:iCs w:val="1"/>
          <w:color w:val="auto"/>
        </w:rPr>
        <w:t>Income Statement-Reporting Comprehensive Income-Expense Disaggregation Disclosures: Clarifying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Effective Date (ASU 2025-01). </w:t>
      </w:r>
      <w:r>
        <w:rPr>
          <w:rFonts w:ascii="Times New Roman" w:cs="Times New Roman" w:eastAsia="Times New Roman" w:hAnsi="Times New Roman"/>
          <w:sz w:val="16"/>
          <w:szCs w:val="16"/>
          <w:color w:val="auto"/>
        </w:rPr>
        <w:t>ASU 2024-03 requires public business entities to disclose, on an annual and interim basis, disaggregated information about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income statement expense line items in the notes to the financial statements. Public business entities are required to apply the guidance prospectively and may elect to apply it retrospectively. ASU 2024-03, as clarified by ASU 2025-01, is effective for fiscal years beginning after December 15, 2026, and interim periods within fiscal years beginning after December 15, 2027, with early adoption permitted. The Company is in the process of evaluating the impact of adopting this standard and, at this time, does not anticipate it will have a material impact on its consolidated financial statements.</w:t>
      </w:r>
    </w:p>
    <w:p>
      <w:pPr>
        <w:spacing w:after="0" w:line="18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Debt with Conversion and Other Options (Subtopic 470-20) Induced Conversions of Convertible Debt Instruments (ASU 2024-04): </w:t>
      </w:r>
      <w:r>
        <w:rPr>
          <w:rFonts w:ascii="Times New Roman" w:cs="Times New Roman" w:eastAsia="Times New Roman" w:hAnsi="Times New Roman"/>
          <w:sz w:val="18"/>
          <w:szCs w:val="18"/>
          <w:color w:val="auto"/>
        </w:rPr>
        <w:t>In November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FASB issued ASU 2024-04,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is in the process of evaluating the impact of adopting this standard and, at this time, does not anticipate it will have a material impact on its consolidated financial statements.</w:t>
      </w:r>
    </w:p>
    <w:p>
      <w:pPr>
        <w:spacing w:after="0" w:line="21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Business Combinations (Topic 805) and Consolidation (Topic 810)—Determining the Accounting Acquirer in the Acquisition of a Variable Interest Entity (ASU 2025-03): </w:t>
      </w:r>
      <w:r>
        <w:rPr>
          <w:rFonts w:ascii="Times New Roman" w:cs="Times New Roman" w:eastAsia="Times New Roman" w:hAnsi="Times New Roman"/>
          <w:sz w:val="16"/>
          <w:szCs w:val="16"/>
          <w:color w:val="auto"/>
        </w:rPr>
        <w:t>In May 2025, the FASB issued ASU No. 2025-03, which revises current guidance for determining the accounting acquirer for a transaction effected</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ASU 2025-03 is effective for the Company’s annual reporting periods beginning after December 15, 2026, and interim reporting periods within those annual reporting periods, with early adoption permitted. ASU 2025-03 is required to be applied prospectively. The Company is evaluating adoption timing and the impact ASU 2025-03 will have on its financial statements and related disclosures.</w:t>
      </w:r>
    </w:p>
    <w:p>
      <w:pPr>
        <w:spacing w:after="0" w:line="2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Compensation—Stock Compensation (Topic 718) and Revenue from Contracts with Customers (Topic 606)—Clarifications to Share-Based Consideration Payable to a Customer(ASU 2025-04): </w:t>
      </w:r>
      <w:r>
        <w:rPr>
          <w:rFonts w:ascii="Times New Roman" w:cs="Times New Roman" w:eastAsia="Times New Roman" w:hAnsi="Times New Roman"/>
          <w:sz w:val="18"/>
          <w:szCs w:val="18"/>
          <w:color w:val="auto"/>
        </w:rPr>
        <w:t>In May 2025, the FASB issued ASU 2025-04, to reduce diversity in practice and improve the decision usefulness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operability of the guidance for share-based consideration payable to a customer in conjunction with selling goods or services. This update is effective for annual reporting periods (including interim reporting periods within annual reporting periods) beginning after December 15, 2026, though early adoption is permitted. The Company has not engaged in providing share-based compensation to a customer and does not presently anticipate doing so.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Financial Instruments—Credit Losses (Topic 326): Measurement of Credit Losses for Accounts Receivable and Contract Assets: </w:t>
      </w:r>
      <w:r>
        <w:rPr>
          <w:rFonts w:ascii="Times New Roman" w:cs="Times New Roman" w:eastAsia="Times New Roman" w:hAnsi="Times New Roman"/>
          <w:sz w:val="16"/>
          <w:szCs w:val="16"/>
          <w:color w:val="auto"/>
        </w:rPr>
        <w:t>In July 2025, the FASB issued</w:t>
      </w:r>
    </w:p>
    <w:p>
      <w:pPr>
        <w:spacing w:after="0" w:line="46"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ASU No. 2025-05, which provides a practical expedient when estimating expected credit losses on current accounts receivable and/or current contract assets arising from Transactions under Topic 606, including those assets acquired in a transaction accounted for under Topic 805, Business Combinations. The amendments require that an entity may elect a practical expedient that assumes that current conditions as of the balance sheet date do not change for the remaining life of the asset. ASU 2025-05 is effective for the Company’s annual reporting periods beginning after December 15, 2025, and interim reporting periods within those annual reporting periods, with early adoption permitted. ASU 2025-05 is required to be applied prospectively. The Company is evaluating adoption timing and the impact ASU 2025-05 will have on its financial statements and at this time, does not anticipate it will have a material impact on its consolidated financial statements.</w:t>
      </w:r>
    </w:p>
    <w:p>
      <w:pPr>
        <w:spacing w:after="0" w:line="204"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i w:val="1"/>
          <w:iCs w:val="1"/>
          <w:color w:val="auto"/>
        </w:rPr>
        <w:t xml:space="preserve">Intangibles—Goodwill and Other—Internal-Use Software (Subtopic 350-40): Targeted Improvements to the Accounting for Internal-Use Software.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2025, the FASB issued ASU No. 2025-06, which modernizes the accounting for internal-use software costs under ASC 350-40 by aligning it with current development practices, especially agile and iterative methods. It clarifies when to begin capitalizing costs, improves operability across different development approaches, and enhances disclosure requirements. ASU 2025-06 is effective for fiscal years beginning after December 15, 2027, and for interim periods within those annual reporting periods, with early adoption permitted. The Company is evaluating adoption timing and the impact ASU 2025-06 will have on its consolidated financial statements and, at this time, does not anticipate it will have a material impact.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Derivatives and Hedging (Topic 815) and Revenue from Contracts with Customers (Topic 606): Derivatives Scope Refinements and Scope Clarification for Share-Based Noncash Consideration from a Customer in a Revenue Contract. </w:t>
      </w:r>
      <w:r>
        <w:rPr>
          <w:rFonts w:ascii="Times New Roman" w:cs="Times New Roman" w:eastAsia="Times New Roman" w:hAnsi="Times New Roman"/>
          <w:sz w:val="16"/>
          <w:szCs w:val="16"/>
          <w:color w:val="auto"/>
        </w:rPr>
        <w:t>In September 2025, the FASB issued ASU No. 2025-07, which refines the scope</w:t>
      </w:r>
    </w:p>
    <w:p>
      <w:pPr>
        <w:spacing w:after="0" w:line="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of derivative accounting under Topic 815 and clarifies the treatment of share-based noncash consideration under ASC 606. This update is effective for annual periods beginning after December 15, 2025, including interim periods within those annual periods, with early adoption permitted. Entities may apply the amendments prospectively to new contracts or retrospectively with a cumulative-effect adjustment. The Company is evaluating adoption timing and the impact ASU 2025-07 will have on its consolidated financial statements and, at this time, does not anticipate it will have a material impact.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3—SECURITIZATIONS AND VARIABLE INTEREST ENTITIES:</w:t>
      </w:r>
    </w:p>
    <w:p>
      <w:pPr>
        <w:spacing w:after="0" w:line="21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 securitization, the unguaranteed portions of SBA 7(a) loans are transferred to a special purpose vehicle (a “Trust”), which in turn issues notes against the Trust’s assets in private placements. The Trust’s primary source of income for repaying the securitization notes is the cash flows generated from the unguaranteed portion of SBA 7(a) loans owned by the Trust. A Trust is considered to be a VIE.</w:t>
      </w:r>
    </w:p>
    <w:p>
      <w:pPr>
        <w:spacing w:after="0" w:line="17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Assets owned by securitization Trusts, which are VIEs, are included in the Company’s consolidated financial statements when the Company has concluded that it is the primary beneficiary of the Trust. The Company therefore consolidates the entities using the carrying amounts of the Trusts’ assets and liabilities and reflects the assets in Restricted cash and Loans held for investment, at fair value and reflects the associated financing in Borrowings on the Consolidated Statements of Financial Condition. The creditors or other beneficial interest holders of Trusts for which the Company is the primary beneficiary generally have recourse only to the assets and cash flows of the Trust and do not have recourse to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2010 through June 2023, NSBF engaged in thirteen (13) securitizations of the unguaranteed portions of its SBA 7(a) loans where management</w:t>
      </w:r>
    </w:p>
    <w:p>
      <w:pPr>
        <w:spacing w:after="0"/>
        <w:rPr>
          <w:sz w:val="20"/>
          <w:szCs w:val="20"/>
          <w:color w:val="auto"/>
        </w:rPr>
      </w:pPr>
      <w:r>
        <w:rPr>
          <w:rFonts w:ascii="Times New Roman" w:cs="Times New Roman" w:eastAsia="Times New Roman" w:hAnsi="Times New Roman"/>
          <w:sz w:val="18"/>
          <w:szCs w:val="18"/>
          <w:color w:val="auto"/>
        </w:rPr>
        <w:t>determined the Company was the primary beneficiary and thus consolidated the Trusts. Three (3) of these securitizations remain consolidated as of</w:t>
      </w:r>
    </w:p>
    <w:p>
      <w:pPr>
        <w:spacing w:after="0"/>
        <w:rPr>
          <w:sz w:val="20"/>
          <w:szCs w:val="20"/>
          <w:color w:val="auto"/>
        </w:rPr>
      </w:pPr>
      <w:r>
        <w:rPr>
          <w:rFonts w:ascii="Times New Roman" w:cs="Times New Roman" w:eastAsia="Times New Roman" w:hAnsi="Times New Roman"/>
          <w:sz w:val="16"/>
          <w:szCs w:val="16"/>
          <w:color w:val="auto"/>
        </w:rPr>
        <w:t>September 30, 2025. Risks associated with the Company’s involvement with the consolidated Trusts includes potential losses of residual interests in the Trusts.</w:t>
      </w:r>
    </w:p>
    <w:p>
      <w:pPr>
        <w:spacing w:after="0" w:line="217"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The following table presents the total assets and total liabilities associated with the Company’s variable interests in consolidated Trusts, as classified in the consolidated statements of financial condition: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Pr>
          <w:p>
            <w:pPr>
              <w:spacing w:after="0"/>
              <w:rPr>
                <w:sz w:val="20"/>
                <w:szCs w:val="20"/>
                <w:color w:val="auto"/>
              </w:rPr>
            </w:pPr>
          </w:p>
        </w:tc>
        <w:tc>
          <w:tcPr>
            <w:tcW w:w="19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43"/>
        </w:trPr>
        <w:tc>
          <w:tcPr>
            <w:tcW w:w="66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213,814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257,179</w:t>
            </w:r>
          </w:p>
        </w:tc>
      </w:tr>
      <w:tr>
        <w:trPr>
          <w:trHeight w:val="242"/>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220,117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263,482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6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186,635</w:t>
            </w:r>
          </w:p>
        </w:tc>
      </w:tr>
      <w:tr>
        <w:trPr>
          <w:trHeight w:val="21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140,596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186,635</w:t>
            </w: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Assets owned by securitization Trusts, which are VIEs, are not included in the Company’s consolidated financial statements financial statements when the Company has concluded that it is not the primary beneficiary of the Trust and the transfer of the financial assets meet the sale criteria of ASC 860. As the beneficial interests in these securitizations meet the definition of a debt security, pertain to securitized financial assets and based on other criteria met, it falls under the scope of ASC 325-40. This guidance also permits an entity to elect to account for the beneficial interests under the fair value option. The Company has made the irrevocable decision to measure the beneficial interests using the fair value option under ASC 825 with changes in fair value recognized in earnings each reporting period.</w:t>
      </w:r>
    </w:p>
    <w:p>
      <w:pPr>
        <w:spacing w:after="0" w:line="18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On April 23, 2025, the Company’s subsidiary Newtek ALP Holdings closed a securitization pursuant to which it sold $155,930,000 of Class A Notes, $23,820,000 of Class B Notes, and $4,330,000 of a Class C Note (collectively, the “2025-1 Notes”) issued by NALP Business Loan Trust 2025-1 (the “Securitization Trust”). The 2025-1 Notes were backed by $216,564,700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The 2025-1 Trust meets the definition of a VIE and the Company holds a variable interest in the 2025-1 Trust, however, the Company is not considered the primary beneficiary of the 2025-1 Trust, because the power over the activities that have the most significant impact on the economic performance of the Securitization Trust is held by a single noteholder who has the ability to remove the Company as decision maker over the activities that most significantly impact the economic performance of the 2025-1 Trust. Consequently the Company is not required to consolidate the 2025-1 Trust. The Company’s beneficial interest in the 2025-1 Trust is evidenced by sole ownership of the Ownership Certificate and its beneficial interest in the credit risk of the securitized ALP Loans. Newtek ALP Holdings, the sponsor of the Securitization Trust, is a wholly owned subsidiary of the Company, therefore the Company effectively owns 100% of the equity interest in the 2025-1 Trust.</w:t>
      </w:r>
    </w:p>
    <w:p>
      <w:pPr>
        <w:spacing w:after="0" w:line="18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The Company’s continuing involvement with and exposure to loss from the VIEs includes the carrying value of the retained interest, and obligations under representations and warranties contained in the loan sale agreements. Creditors of the 2025-1 Trust have no recourse to the Company’s assets or general credit. The underlying performance of the ALP loans transferred to the Trust has a direct impact on the fair values and cash flows of the beneficial interests held and the servicing asset recognized.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in the unconsolidated 2025-1 Trust is accounted for using the fair value option under ASC 825, with changes in fair value recognized in earnings each reporting period, and is classified in Residuals in securitizations, at fair value in the Company’s consolidated statements of financial condition, and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Maximum</w:t>
            </w:r>
          </w:p>
        </w:tc>
        <w:tc>
          <w:tcPr>
            <w:tcW w:w="100" w:type="dxa"/>
            <w:vAlign w:val="bottom"/>
          </w:tcPr>
          <w:p>
            <w:pPr>
              <w:spacing w:after="0"/>
              <w:rPr>
                <w:sz w:val="21"/>
                <w:szCs w:val="21"/>
                <w:color w:val="auto"/>
              </w:rPr>
            </w:pPr>
          </w:p>
        </w:tc>
        <w:tc>
          <w:tcPr>
            <w:tcW w:w="1220" w:type="dxa"/>
            <w:vAlign w:val="bottom"/>
          </w:tcPr>
          <w:p>
            <w:pPr>
              <w:jc w:val="center"/>
              <w:ind w:right="14"/>
              <w:spacing w:after="0"/>
              <w:rPr>
                <w:sz w:val="20"/>
                <w:szCs w:val="20"/>
                <w:color w:val="auto"/>
              </w:rPr>
            </w:pPr>
            <w:r>
              <w:rPr>
                <w:rFonts w:ascii="Times New Roman" w:cs="Times New Roman" w:eastAsia="Times New Roman" w:hAnsi="Times New Roman"/>
                <w:sz w:val="18"/>
                <w:szCs w:val="18"/>
                <w:b w:val="1"/>
                <w:bCs w:val="1"/>
                <w:color w:val="auto"/>
                <w:w w:val="95"/>
              </w:rPr>
              <w:t>Total Assets in</w:t>
            </w:r>
          </w:p>
        </w:tc>
        <w:tc>
          <w:tcPr>
            <w:tcW w:w="0" w:type="dxa"/>
            <w:vAlign w:val="bottom"/>
          </w:tcPr>
          <w:p>
            <w:pPr>
              <w:spacing w:after="0"/>
              <w:rPr>
                <w:sz w:val="1"/>
                <w:szCs w:val="1"/>
                <w:color w:val="auto"/>
              </w:rPr>
            </w:pPr>
          </w:p>
        </w:tc>
      </w:tr>
      <w:tr>
        <w:trPr>
          <w:trHeight w:val="243"/>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Transfer of loans - sale treatment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Exposure to Loss</w:t>
            </w:r>
          </w:p>
        </w:tc>
        <w:tc>
          <w:tcPr>
            <w:tcW w:w="100" w:type="dxa"/>
            <w:vAlign w:val="bottom"/>
          </w:tcPr>
          <w:p>
            <w:pPr>
              <w:spacing w:after="0"/>
              <w:rPr>
                <w:sz w:val="21"/>
                <w:szCs w:val="21"/>
                <w:color w:val="auto"/>
              </w:rPr>
            </w:pPr>
          </w:p>
        </w:tc>
        <w:tc>
          <w:tcPr>
            <w:tcW w:w="1220" w:type="dxa"/>
            <w:vAlign w:val="bottom"/>
          </w:tcPr>
          <w:p>
            <w:pPr>
              <w:jc w:val="center"/>
              <w:ind w:right="14"/>
              <w:spacing w:after="0"/>
              <w:rPr>
                <w:sz w:val="20"/>
                <w:szCs w:val="20"/>
                <w:color w:val="auto"/>
              </w:rPr>
            </w:pPr>
            <w:r>
              <w:rPr>
                <w:rFonts w:ascii="Times New Roman" w:cs="Times New Roman" w:eastAsia="Times New Roman" w:hAnsi="Times New Roman"/>
                <w:sz w:val="18"/>
                <w:szCs w:val="18"/>
                <w:b w:val="1"/>
                <w:bCs w:val="1"/>
                <w:color w:val="auto"/>
                <w:w w:val="99"/>
              </w:rPr>
              <w:t>VIE</w:t>
            </w:r>
          </w:p>
        </w:tc>
        <w:tc>
          <w:tcPr>
            <w:tcW w:w="0" w:type="dxa"/>
            <w:vAlign w:val="bottom"/>
          </w:tcPr>
          <w:p>
            <w:pPr>
              <w:spacing w:after="0"/>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interests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212,509</w:t>
            </w:r>
          </w:p>
        </w:tc>
        <w:tc>
          <w:tcPr>
            <w:tcW w:w="0" w:type="dxa"/>
            <w:vAlign w:val="bottom"/>
          </w:tcPr>
          <w:p>
            <w:pPr>
              <w:spacing w:after="0"/>
              <w:rPr>
                <w:sz w:val="1"/>
                <w:szCs w:val="1"/>
                <w:color w:val="auto"/>
              </w:rPr>
            </w:pPr>
          </w:p>
        </w:tc>
      </w:tr>
      <w:tr>
        <w:trPr>
          <w:trHeight w:val="525"/>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4—INVESTMENTS: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consisted of the following at: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Residuals in securitizations, at fair value (NOTE 3)</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ventures and other non-control investments, at fair value</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available-for-sale, at fair value</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Federal Home Loan Bank and Federal Reserve Bank stock</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242"/>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150,164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Investments in Joint Ventures (JV) and Other Non-Control Investments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NCL JV: On May 20, 2019, the Company and its joint venture partner launched NCL JV to provide ALP loans (formerly referred to as non-conforming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conventional commercial and industrial term loans) to U.S. middle-market companies and small businesses. NCL JV is a 50/50 joint venture between NCL,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wholly-owned subsidiary of the Company, and Conventional Lending TCP Holding, LLC (“TCP”), a wholly-owned, indirect subsidiary of BlackRock TCP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Corp. (Nasdaq: TCPC). NCL JV ceased funding new ALP loans during 2020. On January 28, 2022, NCL JV closed a securitization with the sale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$56.3 million of Class A Notes, NCL Business Loan Trust 2022-1, Business Loan-Backed Notes, Series 2022-1, secured by a segregated asset pool consisting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primarily of NCL JV’s portfolio of ALP loans secured by liens on commercial or residential mortgaged properties, originated by NCL JV and NBL. The Notes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rated “A” (sf) by DBRS Morningstar. The Notes were priced at a yield of 3.209%. The proceeds of the securitization were used, in part, to repay NCL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JV’s credit facility and return capital to the NCL JV partners. On August 25, 2025, the Class A Noteholders were re-paid in full, the assets owned by the NCL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Loan Trust 2022-1 were distributed to NCL JV and the NCL Business Loan Trust 2022-1 was subsequently terminated. On August 27, 2025, NALH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an interest purchase agreement with TCP to acquire TCP’s 50% ownership interest in NCL JV for $15.75 million, resulting in NALH owning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of NCL JV. Since the assets acquired did not meet the definition of a business under ASC 805-10-55, the transaction was accounted for as an asset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under ASC 805-50. On September 30, 2025, NALH caused the dissolution of NCL JV.</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certain summarized financial information for NCL JV:</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Statements of Assets and Liabilities Information (Unaudited)</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7"/>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Loans, at FV (amortized cost of $0 and $52,751, respectively)</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53,895</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42"/>
        </w:trPr>
        <w:tc>
          <w:tcPr>
            <w:tcW w:w="4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Securitization notes payable</w:t>
            </w:r>
          </w:p>
        </w:tc>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Borders>
              <w:top w:val="single" w:sz="8" w:color="CCEEFF"/>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25,322</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17"/>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26,189</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35,543</w:t>
            </w:r>
          </w:p>
        </w:tc>
        <w:tc>
          <w:tcPr>
            <w:tcW w:w="0" w:type="dxa"/>
            <w:vAlign w:val="bottom"/>
          </w:tcPr>
          <w:p>
            <w:pPr>
              <w:spacing w:after="0"/>
              <w:rPr>
                <w:sz w:val="1"/>
                <w:szCs w:val="1"/>
                <w:color w:val="auto"/>
              </w:rPr>
            </w:pPr>
          </w:p>
        </w:tc>
      </w:tr>
      <w:tr>
        <w:trPr>
          <w:trHeight w:val="217"/>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net assets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61,732</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Statements of Operations Information</w:t>
            </w: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(loss) income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(depreciation) appreciation on investments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42"/>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Net (decrease) increase in net assets resulting from operations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TSO JV: On August 5, 2022, NCL and TSO II Booster Aggregator, L.P. (“TSO II”) entered into a joint venture, TSO JV, and began making investments in ALP loans during the fourth quarter of 2022. NCL and TSO II each committed to contribute an equal share of equity funding to the TSO JV and each have equal voting rights on all material matters. On July 23, 2024, TSO JV closed a securitization backed by ALP loans, selling $137.2 million of Class A Notes and $17.2 million of Class B Notes (collectively, the “TSO Notes”) issued by NALP Business Loan Trust 2024-1. The TSO Notes were backed by $190.5 million of collateral, consisting of Company originated ALP loans. The Class A and Class B Notes received Morningstar DBRS ratings of “A (sf)” and “BBB (high) (sf),” respectively. TSO JV ceased investing in new ALP loans in July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show certain summarized financial information for TSO JV:</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Statements of Assets and Liabilities Information (Unaudited)</w:t>
            </w:r>
          </w:p>
        </w:tc>
        <w:tc>
          <w:tcPr>
            <w:tcW w:w="16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24"/>
                <w:szCs w:val="24"/>
                <w:color w:val="auto"/>
              </w:rPr>
            </w:pP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at FV (amortized cost of $153,915 and $173,654, respectively)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ind w:left="340"/>
              <w:spacing w:after="0" w:line="190"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188,444</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205,720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Securitization notes payable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109,182</w:t>
            </w:r>
          </w:p>
        </w:tc>
        <w:tc>
          <w:tcPr>
            <w:tcW w:w="1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110,453</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67,724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188,444</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Selected Statements of Operations Information (Unaudited)</w:t>
            </w:r>
          </w:p>
        </w:tc>
        <w:tc>
          <w:tcPr>
            <w:tcW w:w="340" w:type="dxa"/>
            <w:vAlign w:val="bottom"/>
          </w:tcPr>
          <w:p>
            <w:pPr>
              <w:spacing w:after="0"/>
              <w:rPr>
                <w:sz w:val="20"/>
                <w:szCs w:val="20"/>
                <w:color w:val="auto"/>
              </w:rPr>
            </w:pPr>
          </w:p>
        </w:tc>
        <w:tc>
          <w:tcPr>
            <w:tcW w:w="30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20"/>
                <w:szCs w:val="20"/>
                <w:color w:val="auto"/>
              </w:rPr>
            </w:pPr>
          </w:p>
        </w:tc>
        <w:tc>
          <w:tcPr>
            <w:tcW w:w="294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4"/>
        </w:trPr>
        <w:tc>
          <w:tcPr>
            <w:tcW w:w="45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r>
      <w:tr>
        <w:trPr>
          <w:trHeight w:val="22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w:t>
            </w:r>
          </w:p>
        </w:tc>
      </w:tr>
      <w:tr>
        <w:trPr>
          <w:trHeight w:val="21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r>
      <w:tr>
        <w:trPr>
          <w:trHeight w:val="217"/>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(depreciation) appreciation on investments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r>
      <w:tr>
        <w:trPr>
          <w:trHeight w:val="223"/>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Realized loss on derivative transactions</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on derivative transactions</w:t>
            </w:r>
          </w:p>
        </w:tc>
        <w:tc>
          <w:tcPr>
            <w:tcW w:w="3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42"/>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Intelligent Protection Management Corp.</w:t>
      </w:r>
    </w:p>
    <w:p>
      <w:pPr>
        <w:spacing w:after="0" w:line="22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On January 2, 2025, the Company completed the sale of its wholly owned subsidiary Newtek Technology Solutions, Inc. (“NTS”) to Paltalk, Inc. (subsequently renamed Intelligent Protection Management Corp. (“IPM”)) (Nasdaq: IPM) (the “NTS Sale”). In connection with the NTS Sale, the Company received the Closing Consideration consisting of $4.0 million Cash Consideration and 4.0 million shares of IPM Preferred Stock. Upon the occurrence of certain specified transfers of the IPM Preferred Stock, each share of IPM Preferred Stock will automatically convert into one share of common stock of IPM, subject to certain anti-dilution adjustments. In addition to the Closing Consideration, the Company may be entitled to receive an earn-out in an amount of up to $5.0 million, payable in cash, IPM Preferred Stock, or a combination thereof (as determined in IPM’s discretion), based on IPM’s achievement of certain cumulative average Adjusted EBITDA thresholds for the 2025 and 2026 fiscal years. The Company is entitled to appoint one representative to the IPM board of directors. Barry Sloane, the Company’s President, Chairman and Chief Executive Officer serves on the IPM board of directors as the Company’s representative. The Company has accounted for its investment in IPM under ASC 321 beginning in the first quarter of 2025 and as such management measured the equity investment at fair value and the carrying amount will be remeasured at each reporting period with changes in fair value recorded in earnings. In addition, the assets, liabilities and operations of NTS were classified as held for sale as of December 31, 2024.</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Affiliated Companies</w:t>
      </w:r>
    </w:p>
    <w:p>
      <w:pPr>
        <w:spacing w:after="0" w:line="24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An affiliated company is an unconsolidated entity in which the Company has an ownership of 5% or more of its voting securities. Investments related to our joint ventures and other non-controlled investments for the nine months ended September 30, 2025 and 2024 were as follows:</w:t>
      </w:r>
    </w:p>
    <w:p>
      <w:pPr>
        <w:spacing w:after="0" w:line="6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40" w:type="dxa"/>
            <w:vAlign w:val="bottom"/>
          </w:tcPr>
          <w:p>
            <w:pPr>
              <w:spacing w:after="0"/>
              <w:rPr>
                <w:sz w:val="13"/>
                <w:szCs w:val="13"/>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Return of</w:t>
            </w:r>
          </w:p>
        </w:tc>
        <w:tc>
          <w:tcPr>
            <w:tcW w:w="240" w:type="dxa"/>
            <w:vAlign w:val="bottom"/>
          </w:tcPr>
          <w:p>
            <w:pPr>
              <w:spacing w:after="0"/>
              <w:rPr>
                <w:sz w:val="13"/>
                <w:szCs w:val="13"/>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20" w:type="dxa"/>
            <w:vAlign w:val="bottom"/>
          </w:tcPr>
          <w:p>
            <w:pPr>
              <w:spacing w:after="0"/>
              <w:rPr>
                <w:sz w:val="13"/>
                <w:szCs w:val="13"/>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91"/>
        </w:trPr>
        <w:tc>
          <w:tcPr>
            <w:tcW w:w="3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Joint Ventures</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740" w:type="dxa"/>
            <w:vAlign w:val="bottom"/>
            <w:tcBorders>
              <w:top w:val="single" w:sz="8" w:color="auto"/>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NCL JV</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line="217" w:lineRule="exact"/>
              <w:rPr>
                <w:sz w:val="20"/>
                <w:szCs w:val="20"/>
                <w:color w:val="auto"/>
              </w:rPr>
            </w:pPr>
            <w:r>
              <w:rPr>
                <w:rFonts w:ascii="Times New Roman" w:cs="Times New Roman" w:eastAsia="Times New Roman" w:hAnsi="Times New Roman"/>
                <w:sz w:val="18"/>
                <w:szCs w:val="18"/>
                <w:color w:val="auto"/>
              </w:rPr>
              <w:t xml:space="preserve">(31,843) </w:t>
            </w:r>
            <w:r>
              <w:rPr>
                <w:rFonts w:ascii="Times New Roman" w:cs="Times New Roman" w:eastAsia="Times New Roman" w:hAnsi="Times New Roman"/>
                <w:sz w:val="22"/>
                <w:szCs w:val="22"/>
                <w:color w:val="auto"/>
                <w:vertAlign w:val="superscript"/>
              </w:rPr>
              <w:t>3</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3"/>
        </w:trPr>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TSO JV</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17"/>
        </w:trPr>
        <w:tc>
          <w:tcPr>
            <w:tcW w:w="3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Joint Ventures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03"/>
        </w:trPr>
        <w:tc>
          <w:tcPr>
            <w:tcW w:w="38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Other Non-Control Investments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EMCAP Loan Holdings, LLC</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Biller Genie Software, LLC</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Intelligent Protection Management Corp.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IPM Earnout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IPM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line="223" w:lineRule="exact"/>
              <w:rPr>
                <w:sz w:val="20"/>
                <w:szCs w:val="20"/>
                <w:color w:val="auto"/>
              </w:rPr>
            </w:pPr>
            <w:r>
              <w:rPr>
                <w:rFonts w:ascii="Times New Roman" w:cs="Times New Roman" w:eastAsia="Times New Roman" w:hAnsi="Times New Roman"/>
                <w:sz w:val="16"/>
                <w:szCs w:val="16"/>
                <w:color w:val="auto"/>
              </w:rPr>
              <w:t xml:space="preserve">(240)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Non-Control Investments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26,303</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40" w:hanging="235"/>
        <w:spacing w:after="0"/>
        <w:tabs>
          <w:tab w:leader="none" w:pos="2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Fair value of the Earn-out of $2.268 million as of January 2, 2025, valued in accordance with ASC 805 and ASC 820.</w:t>
      </w:r>
    </w:p>
    <w:p>
      <w:pPr>
        <w:spacing w:after="0" w:line="68" w:lineRule="exact"/>
        <w:rPr>
          <w:sz w:val="20"/>
          <w:szCs w:val="20"/>
          <w:color w:val="auto"/>
        </w:rPr>
      </w:pPr>
    </w:p>
    <w:p>
      <w:pPr>
        <w:ind w:left="160" w:hanging="155"/>
        <w:spacing w:after="0" w:line="219" w:lineRule="auto"/>
        <w:tabs>
          <w:tab w:leader="none" w:pos="17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Four million shares of IPM Preferred Stock initially valued at $2.05 per share, which was the closing price of IPM’s common shares on January 2, 2025, with net gains/(losses) calculated based on a closing price of $1.99 on September 30, 2025.</w:t>
      </w:r>
    </w:p>
    <w:p>
      <w:pPr>
        <w:spacing w:after="0" w:line="75" w:lineRule="exact"/>
        <w:rPr>
          <w:sz w:val="20"/>
          <w:szCs w:val="20"/>
          <w:color w:val="auto"/>
        </w:rPr>
      </w:pPr>
    </w:p>
    <w:p>
      <w:pPr>
        <w:ind w:left="160" w:right="220" w:hanging="155"/>
        <w:spacing w:after="0" w:line="223" w:lineRule="auto"/>
        <w:tabs>
          <w:tab w:leader="none" w:pos="17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$26.2 million of loans and accrued interest acquired as part of NALH’s August 2025 acquisition of the remaining 50% of NCL JV not previously owned by NALH.</w:t>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at December</w:t>
            </w:r>
          </w:p>
        </w:tc>
        <w:tc>
          <w:tcPr>
            <w:tcW w:w="16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Purchases</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Return of</w:t>
            </w:r>
          </w:p>
        </w:tc>
        <w:tc>
          <w:tcPr>
            <w:tcW w:w="2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 September</w:t>
            </w:r>
          </w:p>
        </w:tc>
        <w:tc>
          <w:tcPr>
            <w:tcW w:w="120" w:type="dxa"/>
            <w:vAlign w:val="bottom"/>
          </w:tcPr>
          <w:p>
            <w:pPr>
              <w:spacing w:after="0"/>
              <w:rPr>
                <w:sz w:val="13"/>
                <w:szCs w:val="13"/>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Dividend</w:t>
            </w:r>
          </w:p>
        </w:tc>
        <w:tc>
          <w:tcPr>
            <w:tcW w:w="0" w:type="dxa"/>
            <w:vAlign w:val="bottom"/>
          </w:tcPr>
          <w:p>
            <w:pPr>
              <w:spacing w:after="0"/>
              <w:rPr>
                <w:sz w:val="1"/>
                <w:szCs w:val="1"/>
                <w:color w:val="auto"/>
              </w:rPr>
            </w:pPr>
          </w:p>
        </w:tc>
      </w:tr>
      <w:tr>
        <w:trPr>
          <w:trHeight w:val="190"/>
        </w:trPr>
        <w:tc>
          <w:tcPr>
            <w:tcW w:w="3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(Cost)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Gains/(Losses)</w:t>
            </w:r>
          </w:p>
        </w:tc>
        <w:tc>
          <w:tcPr>
            <w:tcW w:w="320" w:type="dxa"/>
            <w:vAlign w:val="bottom"/>
          </w:tcPr>
          <w:p>
            <w:pPr>
              <w:spacing w:after="0"/>
              <w:rPr>
                <w:sz w:val="16"/>
                <w:szCs w:val="16"/>
                <w:color w:val="auto"/>
              </w:rPr>
            </w:pPr>
          </w:p>
        </w:tc>
        <w:tc>
          <w:tcPr>
            <w:tcW w:w="12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2"/>
        </w:trPr>
        <w:tc>
          <w:tcPr>
            <w:tcW w:w="3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Joint Ventures</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74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8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NCL JV</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TSO JV</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Joint Ventures</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03"/>
        </w:trPr>
        <w:tc>
          <w:tcPr>
            <w:tcW w:w="38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Other Non-Control Investments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EMCAP Loan Holdings, LLC</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Biller Genie Software, LLC</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Non-Control Investments</w:t>
            </w: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Available-for-Sale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amortized cost and fair value of debt securities available-for-sale by major type as of September 30, 2025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64"/>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4" w:lineRule="exact"/>
              <w:rPr>
                <w:sz w:val="20"/>
                <w:szCs w:val="20"/>
                <w:color w:val="auto"/>
              </w:rPr>
            </w:pPr>
            <w:r>
              <w:rPr>
                <w:rFonts w:ascii="Times New Roman" w:cs="Times New Roman" w:eastAsia="Times New Roman" w:hAnsi="Times New Roman"/>
                <w:sz w:val="18"/>
                <w:szCs w:val="18"/>
                <w:color w:val="auto"/>
                <w:w w:val="96"/>
              </w:rPr>
              <w:t>Amortized</w:t>
            </w:r>
          </w:p>
        </w:tc>
        <w:tc>
          <w:tcPr>
            <w:tcW w:w="140" w:type="dxa"/>
            <w:vAlign w:val="bottom"/>
          </w:tcPr>
          <w:p>
            <w:pPr>
              <w:spacing w:after="0"/>
              <w:rPr>
                <w:sz w:val="14"/>
                <w:szCs w:val="14"/>
                <w:color w:val="auto"/>
              </w:rPr>
            </w:pPr>
          </w:p>
        </w:tc>
        <w:tc>
          <w:tcPr>
            <w:tcW w:w="104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Unrealized</w:t>
            </w:r>
          </w:p>
        </w:tc>
        <w:tc>
          <w:tcPr>
            <w:tcW w:w="940" w:type="dxa"/>
            <w:vAlign w:val="bottom"/>
          </w:tcPr>
          <w:p>
            <w:pPr>
              <w:jc w:val="center"/>
              <w:ind w:left="72"/>
              <w:spacing w:after="0" w:line="164"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20"/>
              <w:spacing w:after="0" w:line="164" w:lineRule="exact"/>
              <w:rPr>
                <w:sz w:val="20"/>
                <w:szCs w:val="20"/>
                <w:color w:val="auto"/>
              </w:rPr>
            </w:pPr>
            <w:r>
              <w:rPr>
                <w:rFonts w:ascii="Times New Roman" w:cs="Times New Roman" w:eastAsia="Times New Roman" w:hAnsi="Times New Roman"/>
                <w:sz w:val="18"/>
                <w:szCs w:val="18"/>
                <w:color w:val="auto"/>
                <w:w w:val="96"/>
              </w:rPr>
              <w:t>Amortized</w:t>
            </w:r>
          </w:p>
        </w:tc>
        <w:tc>
          <w:tcPr>
            <w:tcW w:w="140" w:type="dxa"/>
            <w:vAlign w:val="bottom"/>
          </w:tcPr>
          <w:p>
            <w:pPr>
              <w:spacing w:after="0"/>
              <w:rPr>
                <w:sz w:val="14"/>
                <w:szCs w:val="14"/>
                <w:color w:val="auto"/>
              </w:rPr>
            </w:pPr>
          </w:p>
        </w:tc>
        <w:tc>
          <w:tcPr>
            <w:tcW w:w="1040" w:type="dxa"/>
            <w:vAlign w:val="bottom"/>
            <w:gridSpan w:val="2"/>
          </w:tcPr>
          <w:p>
            <w:pPr>
              <w:jc w:val="center"/>
              <w:ind w:right="220"/>
              <w:spacing w:after="0" w:line="164" w:lineRule="exact"/>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4"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6"/>
        </w:trPr>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4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Losses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c>
          <w:tcPr>
            <w:tcW w:w="14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4"/>
              </w:rPr>
              <w:t>Fair Value</w:t>
            </w:r>
          </w:p>
        </w:tc>
      </w:tr>
      <w:tr>
        <w:trPr>
          <w:trHeight w:val="217"/>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0"/>
        <w:spacing w:after="0" w:line="268" w:lineRule="auto"/>
        <w:rPr>
          <w:sz w:val="20"/>
          <w:szCs w:val="20"/>
          <w:color w:val="auto"/>
        </w:rPr>
      </w:pPr>
      <w:r>
        <w:rPr>
          <w:rFonts w:ascii="Times New Roman" w:cs="Times New Roman" w:eastAsia="Times New Roman" w:hAnsi="Times New Roman"/>
          <w:sz w:val="18"/>
          <w:szCs w:val="18"/>
          <w:color w:val="auto"/>
        </w:rPr>
        <w:t>As of September 30, 2025 and December 31, 2024, there was none and $30.4 thousand of accrued interest receivable on available-for-sale securities, respectively, included in Other assets in the accompanying Consolidated Statements of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and 2024, securities sold or settled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3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 30,</w:t>
            </w:r>
          </w:p>
        </w:tc>
        <w:tc>
          <w:tcPr>
            <w:tcW w:w="860" w:type="dxa"/>
            <w:vAlign w:val="bottom"/>
            <w:tcBorders>
              <w:bottom w:val="single" w:sz="8" w:color="auto"/>
            </w:tcBorders>
          </w:tcPr>
          <w:p>
            <w:pPr>
              <w:spacing w:after="0"/>
              <w:rPr>
                <w:sz w:val="20"/>
                <w:szCs w:val="20"/>
                <w:color w:val="auto"/>
              </w:rPr>
            </w:pPr>
          </w:p>
        </w:tc>
      </w:tr>
      <w:tr>
        <w:trPr>
          <w:trHeight w:val="217"/>
        </w:trPr>
        <w:tc>
          <w:tcPr>
            <w:tcW w:w="23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18"/>
                <w:szCs w:val="18"/>
                <w:color w:val="auto"/>
              </w:rPr>
            </w:pPr>
          </w:p>
        </w:tc>
      </w:tr>
      <w:tr>
        <w:trPr>
          <w:trHeight w:val="217"/>
        </w:trPr>
        <w:tc>
          <w:tcPr>
            <w:tcW w:w="2300" w:type="dxa"/>
            <w:vAlign w:val="bottom"/>
          </w:tcPr>
          <w:p>
            <w:pPr>
              <w:spacing w:after="0"/>
              <w:rPr>
                <w:sz w:val="18"/>
                <w:szCs w:val="18"/>
                <w:color w:val="auto"/>
              </w:rPr>
            </w:pP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 of Securities</w:t>
            </w: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 of Securities</w:t>
            </w: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 of Securities</w:t>
            </w:r>
          </w:p>
        </w:tc>
        <w:tc>
          <w:tcPr>
            <w:tcW w:w="8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 of Securities</w:t>
            </w: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or settled</w:t>
            </w:r>
          </w:p>
        </w:tc>
        <w:tc>
          <w:tcPr>
            <w:tcW w:w="130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5"/>
              </w:rPr>
              <w:t>one settled</w:t>
            </w:r>
          </w:p>
        </w:tc>
        <w:tc>
          <w:tcPr>
            <w:tcW w:w="8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6"/>
              </w:rPr>
              <w:t>two settled</w:t>
            </w: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99"/>
              </w:rPr>
              <w:t>$10,000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8"/>
              </w:rPr>
              <w:t>five settled</w:t>
            </w:r>
          </w:p>
        </w:tc>
        <w:tc>
          <w:tcPr>
            <w:tcW w:w="8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8"/>
              </w:rPr>
              <w:t>three settled</w:t>
            </w:r>
          </w:p>
        </w:tc>
        <w:tc>
          <w:tcPr>
            <w:tcW w:w="8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99"/>
              </w:rPr>
              <w:t>$39,500</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w:t>
      </w:r>
    </w:p>
    <w:p>
      <w:pPr>
        <w:spacing w:after="0" w:line="24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color w:val="auto"/>
        </w:rPr>
        <w:t>The following tables summarize the gross unrealized losses and fair value of debt securities available-for-sale by length of time each major security type has been in a continuous unrealized loss position: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6"/>
              </w:rPr>
              <w:t>September 30, 2025</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7"/>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Less Than 12 Months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12 Months or More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64"/>
        </w:trPr>
        <w:tc>
          <w:tcPr>
            <w:tcW w:w="30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left="72"/>
              <w:spacing w:after="0" w:line="164"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52"/>
              <w:spacing w:after="0" w:line="164"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6"/>
              </w:rPr>
              <w:t>Number of</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52"/>
              <w:spacing w:after="0" w:line="164" w:lineRule="exact"/>
              <w:rPr>
                <w:sz w:val="20"/>
                <w:szCs w:val="20"/>
                <w:color w:val="auto"/>
              </w:rPr>
            </w:pPr>
            <w:r>
              <w:rPr>
                <w:rFonts w:ascii="Times New Roman" w:cs="Times New Roman" w:eastAsia="Times New Roman" w:hAnsi="Times New Roman"/>
                <w:sz w:val="18"/>
                <w:szCs w:val="18"/>
                <w:color w:val="auto"/>
                <w:w w:val="98"/>
              </w:rPr>
              <w:t>Unrealized</w:t>
            </w:r>
          </w:p>
        </w:tc>
      </w:tr>
      <w:tr>
        <w:trPr>
          <w:trHeight w:val="236"/>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3"/>
              </w:rPr>
              <w:t>Losses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w w:val="96"/>
              </w:rPr>
              <w:t>Fair Value</w:t>
            </w: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3"/>
              </w:rPr>
              <w:t>Losses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Holdings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Fair Value</w:t>
            </w:r>
          </w:p>
        </w:tc>
        <w:tc>
          <w:tcPr>
            <w:tcW w:w="140" w:type="dxa"/>
            <w:vAlign w:val="bottom"/>
          </w:tcPr>
          <w:p>
            <w:pPr>
              <w:spacing w:after="0"/>
              <w:rPr>
                <w:sz w:val="20"/>
                <w:szCs w:val="20"/>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3"/>
              </w:rPr>
              <w:t>Losses</w:t>
            </w:r>
          </w:p>
        </w:tc>
      </w:tr>
      <w:tr>
        <w:trPr>
          <w:trHeight w:val="217"/>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7"/>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Less Than 12 Months</w:t>
            </w:r>
          </w:p>
        </w:tc>
        <w:tc>
          <w:tcPr>
            <w:tcW w:w="140" w:type="dxa"/>
            <w:vAlign w:val="bottom"/>
          </w:tcPr>
          <w:p>
            <w:pPr>
              <w:spacing w:after="0"/>
              <w:rPr>
                <w:sz w:val="18"/>
                <w:szCs w:val="18"/>
                <w:color w:val="auto"/>
              </w:rPr>
            </w:pPr>
          </w:p>
        </w:tc>
        <w:tc>
          <w:tcPr>
            <w:tcW w:w="234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12 Months or More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2"/>
        </w:trPr>
        <w:tc>
          <w:tcPr>
            <w:tcW w:w="30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52"/>
              <w:spacing w:after="0" w:line="172"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52"/>
              <w:spacing w:after="0" w:line="172"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6"/>
              </w:rPr>
              <w:t>Number of</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52"/>
              <w:spacing w:after="0" w:line="172" w:lineRule="exact"/>
              <w:rPr>
                <w:sz w:val="20"/>
                <w:szCs w:val="20"/>
                <w:color w:val="auto"/>
              </w:rPr>
            </w:pPr>
            <w:r>
              <w:rPr>
                <w:rFonts w:ascii="Times New Roman" w:cs="Times New Roman" w:eastAsia="Times New Roman" w:hAnsi="Times New Roman"/>
                <w:sz w:val="18"/>
                <w:szCs w:val="18"/>
                <w:color w:val="auto"/>
                <w:w w:val="98"/>
              </w:rPr>
              <w:t>Unrealized</w:t>
            </w:r>
          </w:p>
        </w:tc>
      </w:tr>
      <w:tr>
        <w:trPr>
          <w:trHeight w:val="228"/>
        </w:trPr>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Losses</w:t>
            </w:r>
          </w:p>
        </w:tc>
        <w:tc>
          <w:tcPr>
            <w:tcW w:w="14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3"/>
              </w:rPr>
              <w:t>Losses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Holdings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Fair Value</w:t>
            </w:r>
          </w:p>
        </w:tc>
        <w:tc>
          <w:tcPr>
            <w:tcW w:w="140" w:type="dxa"/>
            <w:vAlign w:val="bottom"/>
          </w:tcPr>
          <w:p>
            <w:pPr>
              <w:spacing w:after="0"/>
              <w:rPr>
                <w:sz w:val="19"/>
                <w:szCs w:val="19"/>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3"/>
              </w:rPr>
              <w:t>Losses</w:t>
            </w:r>
          </w:p>
        </w:tc>
      </w:tr>
      <w:tr>
        <w:trPr>
          <w:trHeight w:val="217"/>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310"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6"/>
          <w:szCs w:val="16"/>
          <w:color w:val="auto"/>
        </w:rPr>
        <w:t>Management evaluates debt securities available-for-sale debt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Consolidated Statements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Maturities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available-for-sale by contractual maturity: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20"/>
                <w:szCs w:val="20"/>
                <w:color w:val="auto"/>
              </w:rPr>
            </w:pPr>
          </w:p>
        </w:tc>
        <w:tc>
          <w:tcPr>
            <w:tcW w:w="2980" w:type="dxa"/>
            <w:vAlign w:val="bottom"/>
            <w:gridSpan w:val="4"/>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7"/>
        </w:trPr>
        <w:tc>
          <w:tcPr>
            <w:tcW w:w="4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Amortized Cost</w:t>
            </w: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Amortized Cost</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Fair Value</w:t>
            </w:r>
          </w:p>
        </w:tc>
      </w:tr>
      <w:tr>
        <w:trPr>
          <w:trHeight w:val="217"/>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within 1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r>
      <w:tr>
        <w:trPr>
          <w:trHeight w:val="242"/>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Newtek Bank’s debt securities available-for-sale pledged for deposits, borrowings, and other purposes: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Pr>
          <w:p>
            <w:pPr>
              <w:spacing w:after="0"/>
              <w:rPr>
                <w:sz w:val="20"/>
                <w:szCs w:val="20"/>
                <w:color w:val="auto"/>
              </w:rPr>
            </w:pPr>
          </w:p>
        </w:tc>
        <w:tc>
          <w:tcPr>
            <w:tcW w:w="19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7"/>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Pledged for deposits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Pledged for borrowings and other:</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2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FRB borrowings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23"/>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FHLB borrowings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20,937</w:t>
            </w:r>
          </w:p>
        </w:tc>
      </w:tr>
      <w:tr>
        <w:trPr>
          <w:trHeight w:val="242"/>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pledged</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5—LOANS</w:t>
      </w:r>
      <w:r>
        <w:rPr>
          <w:rFonts w:ascii="Times New Roman" w:cs="Times New Roman" w:eastAsia="Times New Roman" w:hAnsi="Times New Roman"/>
          <w:sz w:val="18"/>
          <w:szCs w:val="18"/>
          <w:color w:val="auto"/>
        </w:rPr>
        <w: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investment (HFI), at fair value</w:t>
      </w:r>
    </w:p>
    <w:p>
      <w:pPr>
        <w:spacing w:after="0" w:line="24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Loans HFI, at fair value, includes SBA 7(a) loans originated by NSBF. On occasion, NSBF has distributed loans to NewtekOne that were originated as SBA 7(a) loans by NSBF where the SBA guarantee has been subsequently repurchased by NSBF. The following table shows the Company’s loan portfolio by collateral type for loans HFI, at fair value:</w:t>
      </w:r>
    </w:p>
    <w:p>
      <w:pPr>
        <w:spacing w:after="0" w:line="24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b w:val="1"/>
          <w:bCs w:val="1"/>
          <w:color w:val="auto"/>
        </w:rPr>
        <w:t>Loans HFI, at Fair Value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9"/>
        </w:trPr>
        <w:tc>
          <w:tcPr>
            <w:tcW w:w="65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175,353</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67,474</w:t>
            </w: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Equipment¹</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56,454</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and Inventory</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54,267</w:t>
            </w: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r>
      <w:tr>
        <w:trPr>
          <w:trHeight w:val="22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Other²</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10,554</w:t>
            </w:r>
          </w:p>
        </w:tc>
      </w:tr>
      <w:tr>
        <w:trPr>
          <w:trHeight w:val="242"/>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310,526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371,146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60" w:right="60" w:hanging="155"/>
        <w:spacing w:after="0" w:line="223" w:lineRule="auto"/>
        <w:tabs>
          <w:tab w:leader="none" w:pos="17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Machinery and Equipment includes one loan at NewtekOne at $4.7 million Cost and $4.4 million Fair value as of September 30, 2025, and $4.7 million Cost and $4.6 million Fair Value as of December 31, 2024.</w:t>
      </w:r>
    </w:p>
    <w:p>
      <w:pPr>
        <w:ind w:left="160" w:right="40" w:hanging="155"/>
        <w:spacing w:after="0" w:line="214" w:lineRule="auto"/>
        <w:tabs>
          <w:tab w:leader="none" w:pos="173"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includes one loan at NewtekOne at $1.1 million Cost and $0.3 million Fair Value as of September 30, 2025, and one loan at $2.0 million Cost and $1.1 million Fair Value as of December 31,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HFI, at amortized cost, net of deferred fees and costs</w:t>
      </w:r>
    </w:p>
    <w:p>
      <w:pPr>
        <w:spacing w:after="0" w:line="1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Loans HFI, at amortized cost, net of deferred fees and costs, includes unguaranteed portions of SBA 7(a) loans, guaranteed portions of SBA 7(a) loans repurchased from the secondary market, CRE, and C&amp;I loans originated and held by Newtek Bank. The following table shows the Company’s loan portfolio by loan type for loans HFI, at amortized cost:</w:t>
      </w:r>
    </w:p>
    <w:p>
      <w:pPr>
        <w:spacing w:after="0" w:line="15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Loans HFI, at Amortized Cost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r>
      <w:tr>
        <w:trPr>
          <w:trHeight w:val="222"/>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380,981</w:t>
            </w:r>
          </w:p>
        </w:tc>
        <w:tc>
          <w:tcPr>
            <w:tcW w:w="160" w:type="dxa"/>
            <w:vAlign w:val="bottom"/>
          </w:tcPr>
          <w:p>
            <w:pPr>
              <w:spacing w:after="0"/>
              <w:rPr>
                <w:sz w:val="19"/>
                <w:szCs w:val="19"/>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191,831</w:t>
            </w:r>
          </w:p>
        </w:tc>
        <w:tc>
          <w:tcPr>
            <w:tcW w:w="160" w:type="dxa"/>
            <w:vAlign w:val="bottom"/>
          </w:tcPr>
          <w:p>
            <w:pPr>
              <w:spacing w:after="0"/>
              <w:rPr>
                <w:sz w:val="19"/>
                <w:szCs w:val="19"/>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1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160" w:type="dxa"/>
            <w:vAlign w:val="bottom"/>
          </w:tcPr>
          <w:p>
            <w:pPr>
              <w:spacing w:after="0"/>
              <w:rPr>
                <w:sz w:val="19"/>
                <w:szCs w:val="19"/>
                <w:color w:val="auto"/>
              </w:rPr>
            </w:pPr>
          </w:p>
        </w:tc>
      </w:tr>
      <w:tr>
        <w:trPr>
          <w:trHeight w:val="21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620,370</w:t>
            </w:r>
          </w:p>
        </w:tc>
        <w:tc>
          <w:tcPr>
            <w:tcW w:w="160" w:type="dxa"/>
            <w:vAlign w:val="bottom"/>
          </w:tcPr>
          <w:p>
            <w:pPr>
              <w:spacing w:after="0"/>
              <w:rPr>
                <w:sz w:val="18"/>
                <w:szCs w:val="18"/>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fees and costs, net</w:t>
            </w:r>
          </w:p>
        </w:tc>
        <w:tc>
          <w:tcPr>
            <w:tcW w:w="1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tcPr>
          <w:p>
            <w:pPr>
              <w:spacing w:after="0"/>
              <w:rPr>
                <w:sz w:val="19"/>
                <w:szCs w:val="19"/>
                <w:color w:val="auto"/>
              </w:rPr>
            </w:pPr>
          </w:p>
        </w:tc>
      </w:tr>
      <w:tr>
        <w:trPr>
          <w:trHeight w:val="21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Loans held for investment, at amortized cost, net of deferred fees and costs</w:t>
            </w:r>
          </w:p>
        </w:tc>
        <w:tc>
          <w:tcPr>
            <w:tcW w:w="13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834,087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621,651</w:t>
            </w:r>
          </w:p>
        </w:tc>
        <w:tc>
          <w:tcPr>
            <w:tcW w:w="16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65"/>
        </w:trPr>
        <w:tc>
          <w:tcPr>
            <w:tcW w:w="5360" w:type="dxa"/>
            <w:vAlign w:val="bottom"/>
          </w:tcPr>
          <w:p>
            <w:pPr>
              <w:spacing w:after="0"/>
              <w:rPr>
                <w:sz w:val="24"/>
                <w:szCs w:val="24"/>
                <w:color w:val="auto"/>
              </w:rPr>
            </w:pPr>
          </w:p>
        </w:tc>
        <w:tc>
          <w:tcPr>
            <w:tcW w:w="162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F-31</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2"/>
        </w:trPr>
        <w:tc>
          <w:tcPr>
            <w:tcW w:w="53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Due and Non-Accrual Loans HFI</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HFI, at fair value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aging of accrual and non-accrual loans HFI, at fair value by class: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184"/>
        </w:trPr>
        <w:tc>
          <w:tcPr>
            <w:tcW w:w="2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Past Due and Accruing</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Accounted for Under the</w:t>
            </w:r>
          </w:p>
        </w:tc>
      </w:tr>
      <w:tr>
        <w:trPr>
          <w:trHeight w:val="192"/>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80" w:type="dxa"/>
            <w:vAlign w:val="bottom"/>
          </w:tcPr>
          <w:p>
            <w:pPr>
              <w:spacing w:after="0"/>
              <w:rPr>
                <w:sz w:val="16"/>
                <w:szCs w:val="16"/>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60" w:type="dxa"/>
            <w:vAlign w:val="bottom"/>
          </w:tcPr>
          <w:p>
            <w:pPr>
              <w:spacing w:after="0"/>
              <w:rPr>
                <w:sz w:val="16"/>
                <w:szCs w:val="16"/>
                <w:color w:val="auto"/>
              </w:rPr>
            </w:pPr>
          </w:p>
        </w:tc>
        <w:tc>
          <w:tcPr>
            <w:tcW w:w="156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FV Option</w:t>
            </w:r>
          </w:p>
        </w:tc>
      </w:tr>
      <w:tr>
        <w:trPr>
          <w:trHeight w:val="196"/>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73,145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96,414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209,306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305,720</w:t>
            </w:r>
          </w:p>
        </w:tc>
      </w:tr>
    </w:tbl>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184"/>
        </w:trPr>
        <w:tc>
          <w:tcPr>
            <w:tcW w:w="2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Past Due and Accruing</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Accounted for Under the</w:t>
            </w:r>
          </w:p>
        </w:tc>
      </w:tr>
      <w:tr>
        <w:trPr>
          <w:trHeight w:val="192"/>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80" w:type="dxa"/>
            <w:vAlign w:val="bottom"/>
          </w:tcPr>
          <w:p>
            <w:pPr>
              <w:spacing w:after="0"/>
              <w:rPr>
                <w:sz w:val="16"/>
                <w:szCs w:val="16"/>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60" w:type="dxa"/>
            <w:vAlign w:val="bottom"/>
          </w:tcPr>
          <w:p>
            <w:pPr>
              <w:spacing w:after="0"/>
              <w:rPr>
                <w:sz w:val="16"/>
                <w:szCs w:val="16"/>
                <w:color w:val="auto"/>
              </w:rPr>
            </w:pPr>
          </w:p>
        </w:tc>
        <w:tc>
          <w:tcPr>
            <w:tcW w:w="156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FV Option</w:t>
            </w:r>
          </w:p>
        </w:tc>
      </w:tr>
      <w:tr>
        <w:trPr>
          <w:trHeight w:val="196"/>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23,158</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9,268</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67,304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118,130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251,616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HFI, at amortized cost, net of deferred fees and costs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aging of accrual and non-accrual loans HFI, at amortized cost by class: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Total Carried at</w:t>
            </w:r>
          </w:p>
        </w:tc>
        <w:tc>
          <w:tcPr>
            <w:tcW w:w="0" w:type="dxa"/>
            <w:vAlign w:val="bottom"/>
          </w:tcPr>
          <w:p>
            <w:pPr>
              <w:spacing w:after="0"/>
              <w:rPr>
                <w:sz w:val="1"/>
                <w:szCs w:val="1"/>
                <w:color w:val="auto"/>
              </w:rPr>
            </w:pPr>
          </w:p>
        </w:tc>
      </w:tr>
      <w:tr>
        <w:trPr>
          <w:trHeight w:val="192"/>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At amortized cost</w:t>
            </w:r>
          </w:p>
        </w:tc>
        <w:tc>
          <w:tcPr>
            <w:tcW w:w="14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10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6"/>
                <w:szCs w:val="16"/>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0" w:type="dxa"/>
            <w:vAlign w:val="bottom"/>
          </w:tcPr>
          <w:p>
            <w:pPr>
              <w:spacing w:after="0"/>
              <w:rPr>
                <w:sz w:val="1"/>
                <w:szCs w:val="1"/>
                <w:color w:val="auto"/>
              </w:rPr>
            </w:pPr>
          </w:p>
        </w:tc>
      </w:tr>
      <w:tr>
        <w:trPr>
          <w:trHeight w:val="159"/>
        </w:trPr>
        <w:tc>
          <w:tcPr>
            <w:tcW w:w="322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509,912</w:t>
            </w:r>
          </w:p>
        </w:tc>
        <w:tc>
          <w:tcPr>
            <w:tcW w:w="0" w:type="dxa"/>
            <w:vAlign w:val="bottom"/>
          </w:tcPr>
          <w:p>
            <w:pPr>
              <w:spacing w:after="0"/>
              <w:rPr>
                <w:sz w:val="1"/>
                <w:szCs w:val="1"/>
                <w:color w:val="auto"/>
              </w:rPr>
            </w:pPr>
          </w:p>
        </w:tc>
      </w:tr>
      <w:tr>
        <w:trPr>
          <w:trHeight w:val="190"/>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256,921</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61,528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64,887</w:t>
            </w:r>
          </w:p>
        </w:tc>
        <w:tc>
          <w:tcPr>
            <w:tcW w:w="0" w:type="dxa"/>
            <w:vAlign w:val="bottom"/>
          </w:tcPr>
          <w:p>
            <w:pPr>
              <w:spacing w:after="0"/>
              <w:rPr>
                <w:sz w:val="1"/>
                <w:szCs w:val="1"/>
                <w:color w:val="auto"/>
              </w:rPr>
            </w:pPr>
          </w:p>
        </w:tc>
      </w:tr>
      <w:tr>
        <w:trPr>
          <w:trHeight w:val="183"/>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10,665</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65,678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90,071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741,649</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831,720</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0" w:type="dxa"/>
            <w:vAlign w:val="bottom"/>
          </w:tcPr>
          <w:p>
            <w:pPr>
              <w:spacing w:after="0"/>
              <w:rPr>
                <w:sz w:val="1"/>
                <w:szCs w:val="1"/>
                <w:color w:val="auto"/>
              </w:rPr>
            </w:pPr>
          </w:p>
        </w:tc>
      </w:tr>
      <w:tr>
        <w:trPr>
          <w:trHeight w:val="183"/>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834,087</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(45,166)</w:t>
            </w:r>
          </w:p>
        </w:tc>
        <w:tc>
          <w:tcPr>
            <w:tcW w:w="0" w:type="dxa"/>
            <w:vAlign w:val="bottom"/>
          </w:tcPr>
          <w:p>
            <w:pPr>
              <w:spacing w:after="0"/>
              <w:rPr>
                <w:sz w:val="1"/>
                <w:szCs w:val="1"/>
                <w:color w:val="auto"/>
              </w:rPr>
            </w:pPr>
          </w:p>
        </w:tc>
      </w:tr>
      <w:tr>
        <w:trPr>
          <w:trHeight w:val="17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788,921</w:t>
            </w:r>
          </w:p>
        </w:tc>
        <w:tc>
          <w:tcPr>
            <w:tcW w:w="0" w:type="dxa"/>
            <w:vAlign w:val="bottom"/>
          </w:tcPr>
          <w:p>
            <w:pPr>
              <w:spacing w:after="0"/>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0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Total Carried at</w:t>
            </w:r>
          </w:p>
        </w:tc>
        <w:tc>
          <w:tcPr>
            <w:tcW w:w="0" w:type="dxa"/>
            <w:vAlign w:val="bottom"/>
          </w:tcPr>
          <w:p>
            <w:pPr>
              <w:spacing w:after="0"/>
              <w:rPr>
                <w:sz w:val="1"/>
                <w:szCs w:val="1"/>
                <w:color w:val="auto"/>
              </w:rPr>
            </w:pPr>
          </w:p>
        </w:tc>
      </w:tr>
      <w:tr>
        <w:trPr>
          <w:trHeight w:val="192"/>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At amortized cost</w:t>
            </w:r>
          </w:p>
        </w:tc>
        <w:tc>
          <w:tcPr>
            <w:tcW w:w="14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20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6"/>
                <w:szCs w:val="16"/>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0" w:type="dxa"/>
            <w:vAlign w:val="bottom"/>
          </w:tcPr>
          <w:p>
            <w:pPr>
              <w:spacing w:after="0"/>
              <w:rPr>
                <w:sz w:val="1"/>
                <w:szCs w:val="1"/>
                <w:color w:val="auto"/>
              </w:rPr>
            </w:pPr>
          </w:p>
        </w:tc>
      </w:tr>
      <w:tr>
        <w:trPr>
          <w:trHeight w:val="159"/>
        </w:trPr>
        <w:tc>
          <w:tcPr>
            <w:tcW w:w="324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380,981</w:t>
            </w:r>
          </w:p>
        </w:tc>
        <w:tc>
          <w:tcPr>
            <w:tcW w:w="0" w:type="dxa"/>
            <w:vAlign w:val="bottom"/>
          </w:tcPr>
          <w:p>
            <w:pPr>
              <w:spacing w:after="0"/>
              <w:rPr>
                <w:sz w:val="1"/>
                <w:szCs w:val="1"/>
                <w:color w:val="auto"/>
              </w:rPr>
            </w:pPr>
          </w:p>
        </w:tc>
      </w:t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0" w:type="dxa"/>
            <w:vAlign w:val="bottom"/>
          </w:tcPr>
          <w:p>
            <w:pPr>
              <w:spacing w:after="0"/>
              <w:rPr>
                <w:sz w:val="1"/>
                <w:szCs w:val="1"/>
                <w:color w:val="auto"/>
              </w:rPr>
            </w:pPr>
          </w:p>
        </w:tc>
      </w:tr>
      <w:tr>
        <w:trPr>
          <w:trHeight w:val="20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0" w:type="dxa"/>
            <w:vAlign w:val="bottom"/>
          </w:tcPr>
          <w:p>
            <w:pPr>
              <w:spacing w:after="0"/>
              <w:rPr>
                <w:sz w:val="1"/>
                <w:szCs w:val="1"/>
                <w:color w:val="auto"/>
              </w:rPr>
            </w:pPr>
          </w:p>
        </w:tc>
      </w:tr>
      <w:tr>
        <w:trPr>
          <w:trHeight w:val="18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11,539</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44,926</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575,444</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620,370</w:t>
            </w:r>
          </w:p>
        </w:tc>
        <w:tc>
          <w:tcPr>
            <w:tcW w:w="0" w:type="dxa"/>
            <w:vAlign w:val="bottom"/>
          </w:tcPr>
          <w:p>
            <w:pPr>
              <w:spacing w:after="0"/>
              <w:rPr>
                <w:sz w:val="1"/>
                <w:szCs w:val="1"/>
                <w:color w:val="auto"/>
              </w:rPr>
            </w:pPr>
          </w:p>
        </w:tc>
      </w:tr>
      <w:tr>
        <w:trPr>
          <w:trHeight w:val="20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0" w:type="dxa"/>
            <w:vAlign w:val="bottom"/>
          </w:tcPr>
          <w:p>
            <w:pPr>
              <w:spacing w:after="0"/>
              <w:rPr>
                <w:sz w:val="1"/>
                <w:szCs w:val="1"/>
                <w:color w:val="auto"/>
              </w:rPr>
            </w:pPr>
          </w:p>
        </w:tc>
      </w:tr>
      <w:tr>
        <w:trPr>
          <w:trHeight w:val="18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0" w:type="dxa"/>
            <w:vAlign w:val="bottom"/>
          </w:tcPr>
          <w:p>
            <w:pPr>
              <w:spacing w:after="0"/>
              <w:rPr>
                <w:sz w:val="1"/>
                <w:szCs w:val="1"/>
                <w:color w:val="auto"/>
              </w:rPr>
            </w:pPr>
          </w:p>
        </w:tc>
      </w:tr>
      <w:tr>
        <w:trPr>
          <w:trHeight w:val="20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591,418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44"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 Company uses internal loan reviews to assess the performance of individual loans. In addition, an independent review of the loan portfolio is performed annually by an external firm. The goal of the Company’s annual review of each borrower’s financial performance is to validate the adequacy of the risk grade assigned.</w:t>
      </w:r>
    </w:p>
    <w:p>
      <w:pPr>
        <w:spacing w:after="0" w:line="2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uses a grading system to rank the quality of each loan. The grade is periodically evaluated and adjusted as performance dictates. Loan grades 1 through 4 are passing grades and grade 5 is special mention. Collectively, grades 6 through 7 represent classified loans in Newtek Bank’s portfolio. The following guidelines govern the assignment of these risk grades:</w:t>
      </w:r>
    </w:p>
    <w:p>
      <w:pPr>
        <w:spacing w:after="0" w:line="2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Exceptional (1 Rated): These loans are of the highest quality, with strong, well-documented sources of repayment. These loans will typically have multiple demonstrated sources of repayment with no significant identifiable risk to collection, exhibit well-qualified management, and have liquid financial statements relative to both direct and indirect obligations.</w:t>
      </w:r>
    </w:p>
    <w:p>
      <w:pPr>
        <w:spacing w:after="0" w:line="2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Quality (2 Rated): These loans are of very high credit quality, with strong, well-documented sources of repayment. These loans exhibit very strong, well defined primary and secondary sources of repayment, with no significant identifiable risk of collection and have internally generated cash flow that more than adequately covers current maturities of long-term debt.</w:t>
      </w:r>
    </w:p>
    <w:p>
      <w:pPr>
        <w:spacing w:after="0" w:line="20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Satisfactory (3 Rated): These loans exhibit satisfactory credit risk and have excellent sources of repayment, with no significant identifiable risk of collection. These loans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spacing w:after="0" w:line="20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Acceptable (4 Rated): These loans show signs of weakness in either adequate sources of repayment or collateral but have demonstrated mitigating factors that minimize the risk of delinquency or loss. These loans may have unproved, insufficient or marginal primary sources of repayment that appear sufficient to service the debt at this time. These loans also include loans underwritten using projected and/or proforma financial information provided by the borrower. Repayment weaknesses may be due to minor operational issues, financial trends, or reliance on projected performance. They may also contain marginal or unproven secondary sources to liquidate the debt, including combinations of liquidation of collateral and liquidation value to the net worth of the borrower or guarantor.</w:t>
      </w:r>
    </w:p>
    <w:p>
      <w:pPr>
        <w:spacing w:after="0" w:line="215"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Special mention (5 Rated): These loans show signs of weaknesses in either adequate sources of repayment or collateral. These loans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spacing w:after="0" w:line="205" w:lineRule="exact"/>
        <w:rPr>
          <w:sz w:val="20"/>
          <w:szCs w:val="20"/>
          <w:color w:val="auto"/>
        </w:rPr>
      </w:pPr>
    </w:p>
    <w:p>
      <w:pPr>
        <w:jc w:val="both"/>
        <w:ind w:right="100"/>
        <w:spacing w:after="0" w:line="303" w:lineRule="auto"/>
        <w:rPr>
          <w:sz w:val="20"/>
          <w:szCs w:val="20"/>
          <w:color w:val="auto"/>
        </w:rPr>
      </w:pPr>
      <w:r>
        <w:rPr>
          <w:rFonts w:ascii="Times New Roman" w:cs="Times New Roman" w:eastAsia="Times New Roman" w:hAnsi="Times New Roman"/>
          <w:sz w:val="16"/>
          <w:szCs w:val="16"/>
          <w:color w:val="auto"/>
        </w:rPr>
        <w:t>Substandard (6 Rated): Loans graded Substandard are inadequately protected by current sound net worth, paying capacity of the obligor, or pledged collateral. Loans classified as Substandard must have a well-defined weakness or weaknesses that jeopardize the liquidation of the debt; are characterized by the distinct possibility that the Bank will sustain some loss if the deficiencies are not corrected. These loans are consistently not meeting the repayment schedule.</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spacing w:after="0" w:line="2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asset quality indicators by portfolio class and origination year at September 30, 2025 and December 31,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Term Loans HFI by Origination Year</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SBA, at fair value</w:t>
            </w:r>
          </w:p>
        </w:tc>
        <w:tc>
          <w:tcPr>
            <w:tcW w:w="24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240" w:type="dxa"/>
            <w:vAlign w:val="bottom"/>
          </w:tcPr>
          <w:p>
            <w:pPr>
              <w:spacing w:after="0"/>
              <w:rPr>
                <w:sz w:val="18"/>
                <w:szCs w:val="18"/>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820" w:type="dxa"/>
            <w:vAlign w:val="bottom"/>
            <w:gridSpan w:val="3"/>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230,166</w:t>
            </w:r>
          </w:p>
        </w:tc>
        <w:tc>
          <w:tcPr>
            <w:tcW w:w="0" w:type="dxa"/>
            <w:vAlign w:val="bottom"/>
          </w:tcPr>
          <w:p>
            <w:pPr>
              <w:spacing w:after="0"/>
              <w:rPr>
                <w:sz w:val="1"/>
                <w:szCs w:val="1"/>
                <w:color w:val="auto"/>
              </w:rPr>
            </w:pPr>
          </w:p>
        </w:tc>
      </w:tr>
      <w:tr>
        <w:trPr>
          <w:trHeight w:val="223"/>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71,424</w:t>
            </w: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 8</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17"/>
        </w:trPr>
        <w:tc>
          <w:tcPr>
            <w:tcW w:w="28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305,720</w:t>
            </w:r>
          </w:p>
        </w:tc>
        <w:tc>
          <w:tcPr>
            <w:tcW w:w="0" w:type="dxa"/>
            <w:vAlign w:val="bottom"/>
          </w:tcPr>
          <w:p>
            <w:pPr>
              <w:spacing w:after="0"/>
              <w:rPr>
                <w:sz w:val="1"/>
                <w:szCs w:val="1"/>
                <w:color w:val="auto"/>
              </w:rPr>
            </w:pPr>
          </w:p>
        </w:tc>
      </w:tr>
      <w:tr>
        <w:trPr>
          <w:trHeight w:val="203"/>
        </w:trPr>
        <w:tc>
          <w:tcPr>
            <w:tcW w:w="282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w w:val="92"/>
              </w:rPr>
              <w:t>SBA, at amortized cost, net of deferred</w:t>
            </w:r>
          </w:p>
        </w:tc>
        <w:tc>
          <w:tcPr>
            <w:tcW w:w="11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fees and costs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415,780</w:t>
            </w:r>
          </w:p>
        </w:tc>
        <w:tc>
          <w:tcPr>
            <w:tcW w:w="0" w:type="dxa"/>
            <w:vAlign w:val="bottom"/>
          </w:tcPr>
          <w:p>
            <w:pPr>
              <w:spacing w:after="0"/>
              <w:rPr>
                <w:sz w:val="1"/>
                <w:szCs w:val="1"/>
                <w:color w:val="auto"/>
              </w:rPr>
            </w:pPr>
          </w:p>
        </w:tc>
      </w:tr>
      <w:tr>
        <w:trPr>
          <w:trHeight w:val="223"/>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67,109</w:t>
            </w: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23,987</w:t>
            </w:r>
          </w:p>
        </w:tc>
        <w:tc>
          <w:tcPr>
            <w:tcW w:w="0" w:type="dxa"/>
            <w:vAlign w:val="bottom"/>
          </w:tcPr>
          <w:p>
            <w:pPr>
              <w:spacing w:after="0"/>
              <w:rPr>
                <w:sz w:val="1"/>
                <w:szCs w:val="1"/>
                <w:color w:val="auto"/>
              </w:rPr>
            </w:pPr>
          </w:p>
        </w:tc>
      </w:tr>
      <w:tr>
        <w:trPr>
          <w:trHeight w:val="223"/>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 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17"/>
        </w:trPr>
        <w:tc>
          <w:tcPr>
            <w:tcW w:w="28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231,730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509,912</w:t>
            </w:r>
          </w:p>
        </w:tc>
        <w:tc>
          <w:tcPr>
            <w:tcW w:w="0" w:type="dxa"/>
            <w:vAlign w:val="bottom"/>
          </w:tcPr>
          <w:p>
            <w:pPr>
              <w:spacing w:after="0"/>
              <w:rPr>
                <w:sz w:val="1"/>
                <w:szCs w:val="1"/>
                <w:color w:val="auto"/>
              </w:rPr>
            </w:pPr>
          </w:p>
        </w:tc>
      </w:tr>
      <w:tr>
        <w:trPr>
          <w:trHeight w:val="203"/>
        </w:trPr>
        <w:tc>
          <w:tcPr>
            <w:tcW w:w="282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w w:val="92"/>
              </w:rPr>
              <w:t>CRE, at amortized cost, net of deferred</w:t>
            </w:r>
          </w:p>
        </w:tc>
        <w:tc>
          <w:tcPr>
            <w:tcW w:w="11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fees and costs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251,035</w:t>
            </w:r>
          </w:p>
        </w:tc>
        <w:tc>
          <w:tcPr>
            <w:tcW w:w="0" w:type="dxa"/>
            <w:vAlign w:val="bottom"/>
          </w:tcPr>
          <w:p>
            <w:pPr>
              <w:spacing w:after="0"/>
              <w:rPr>
                <w:sz w:val="1"/>
                <w:szCs w:val="1"/>
                <w:color w:val="auto"/>
              </w:rPr>
            </w:pPr>
          </w:p>
        </w:tc>
      </w:tr>
      <w:tr>
        <w:trPr>
          <w:trHeight w:val="223"/>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77,676</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53,268</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32,416</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52,196</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256,921</w:t>
            </w:r>
          </w:p>
        </w:tc>
        <w:tc>
          <w:tcPr>
            <w:tcW w:w="0" w:type="dxa"/>
            <w:vAlign w:val="bottom"/>
          </w:tcPr>
          <w:p>
            <w:pPr>
              <w:spacing w:after="0"/>
              <w:rPr>
                <w:sz w:val="1"/>
                <w:szCs w:val="1"/>
                <w:color w:val="auto"/>
              </w:rPr>
            </w:pPr>
          </w:p>
        </w:tc>
      </w:tr>
      <w:tr>
        <w:trPr>
          <w:trHeight w:val="203"/>
        </w:trPr>
        <w:tc>
          <w:tcPr>
            <w:tcW w:w="282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w w:val="92"/>
              </w:rPr>
              <w:t>C&amp;I, at amortized cost, net of deferred</w:t>
            </w:r>
          </w:p>
        </w:tc>
        <w:tc>
          <w:tcPr>
            <w:tcW w:w="11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fees and costs</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42,765</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57,511</w:t>
            </w: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0" w:type="dxa"/>
            <w:vAlign w:val="bottom"/>
          </w:tcPr>
          <w:p>
            <w:pPr>
              <w:spacing w:after="0"/>
              <w:rPr>
                <w:sz w:val="1"/>
                <w:szCs w:val="1"/>
                <w:color w:val="auto"/>
              </w:rPr>
            </w:pPr>
          </w:p>
        </w:tc>
      </w:tr>
      <w:tr>
        <w:trPr>
          <w:trHeight w:val="223"/>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7"/>
        </w:trPr>
        <w:tc>
          <w:tcPr>
            <w:tcW w:w="28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0" w:type="dxa"/>
            <w:vAlign w:val="bottom"/>
          </w:tcPr>
          <w:p>
            <w:pPr>
              <w:spacing w:after="0"/>
              <w:rPr>
                <w:sz w:val="1"/>
                <w:szCs w:val="1"/>
                <w:color w:val="auto"/>
              </w:rPr>
            </w:pPr>
          </w:p>
        </w:tc>
      </w:tr>
      <w:tr>
        <w:trPr>
          <w:trHeight w:val="217"/>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271,960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177,166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139,210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191,029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Term Loans HFI by Origination Year</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SBA, at fair value</w:t>
            </w:r>
          </w:p>
        </w:tc>
        <w:tc>
          <w:tcPr>
            <w:tcW w:w="24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22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040" w:type="dxa"/>
            <w:vAlign w:val="bottom"/>
            <w:gridSpan w:val="3"/>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299,708</w:t>
            </w:r>
          </w:p>
        </w:tc>
        <w:tc>
          <w:tcPr>
            <w:tcW w:w="0" w:type="dxa"/>
            <w:vAlign w:val="bottom"/>
          </w:tcPr>
          <w:p>
            <w:pPr>
              <w:spacing w:after="0"/>
              <w:rPr>
                <w:sz w:val="1"/>
                <w:szCs w:val="1"/>
                <w:color w:val="auto"/>
              </w:rPr>
            </w:pPr>
          </w:p>
        </w:tc>
      </w:tr>
      <w:tr>
        <w:trPr>
          <w:trHeight w:val="223"/>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69,839</w:t>
            </w:r>
          </w:p>
        </w:tc>
        <w:tc>
          <w:tcPr>
            <w:tcW w:w="0" w:type="dxa"/>
            <w:vAlign w:val="bottom"/>
          </w:tcPr>
          <w:p>
            <w:pPr>
              <w:spacing w:after="0"/>
              <w:rPr>
                <w:sz w:val="1"/>
                <w:szCs w:val="1"/>
                <w:color w:val="auto"/>
              </w:rPr>
            </w:pPr>
          </w:p>
        </w:tc>
      </w:tr>
      <w:tr>
        <w:trPr>
          <w:trHeight w:val="22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 8</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7"/>
        </w:trPr>
        <w:tc>
          <w:tcPr>
            <w:tcW w:w="30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0" w:type="dxa"/>
            <w:vAlign w:val="bottom"/>
          </w:tcPr>
          <w:p>
            <w:pPr>
              <w:spacing w:after="0"/>
              <w:rPr>
                <w:sz w:val="1"/>
                <w:szCs w:val="1"/>
                <w:color w:val="auto"/>
              </w:rPr>
            </w:pPr>
          </w:p>
        </w:tc>
      </w:tr>
      <w:tr>
        <w:trPr>
          <w:trHeight w:val="203"/>
        </w:trPr>
        <w:tc>
          <w:tcPr>
            <w:tcW w:w="30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SBA, at amortized cost, net of deferred</w:t>
            </w:r>
          </w:p>
        </w:tc>
        <w:tc>
          <w:tcPr>
            <w:tcW w:w="11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fees and costs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335,693</w:t>
            </w:r>
          </w:p>
        </w:tc>
        <w:tc>
          <w:tcPr>
            <w:tcW w:w="0" w:type="dxa"/>
            <w:vAlign w:val="bottom"/>
          </w:tcPr>
          <w:p>
            <w:pPr>
              <w:spacing w:after="0"/>
              <w:rPr>
                <w:sz w:val="1"/>
                <w:szCs w:val="1"/>
                <w:color w:val="auto"/>
              </w:rPr>
            </w:pPr>
          </w:p>
        </w:tc>
      </w:tr>
      <w:tr>
        <w:trPr>
          <w:trHeight w:val="223"/>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40,228</w:t>
            </w:r>
          </w:p>
        </w:tc>
        <w:tc>
          <w:tcPr>
            <w:tcW w:w="0" w:type="dxa"/>
            <w:vAlign w:val="bottom"/>
          </w:tcPr>
          <w:p>
            <w:pPr>
              <w:spacing w:after="0"/>
              <w:rPr>
                <w:sz w:val="1"/>
                <w:szCs w:val="1"/>
                <w:color w:val="auto"/>
              </w:rPr>
            </w:pPr>
          </w:p>
        </w:tc>
      </w:tr>
      <w:tr>
        <w:trPr>
          <w:trHeight w:val="22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23"/>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 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7"/>
        </w:trPr>
        <w:tc>
          <w:tcPr>
            <w:tcW w:w="30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233,106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380,981</w:t>
            </w:r>
          </w:p>
        </w:tc>
        <w:tc>
          <w:tcPr>
            <w:tcW w:w="0" w:type="dxa"/>
            <w:vAlign w:val="bottom"/>
          </w:tcPr>
          <w:p>
            <w:pPr>
              <w:spacing w:after="0"/>
              <w:rPr>
                <w:sz w:val="1"/>
                <w:szCs w:val="1"/>
                <w:color w:val="auto"/>
              </w:rPr>
            </w:pPr>
          </w:p>
        </w:tc>
      </w:tr>
      <w:tr>
        <w:trPr>
          <w:trHeight w:val="203"/>
        </w:trPr>
        <w:tc>
          <w:tcPr>
            <w:tcW w:w="30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w w:val="99"/>
              </w:rPr>
              <w:t>CRE, at amortized cost, net of deferred</w:t>
            </w:r>
          </w:p>
        </w:tc>
        <w:tc>
          <w:tcPr>
            <w:tcW w:w="11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fees and costs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187,593</w:t>
            </w:r>
          </w:p>
        </w:tc>
        <w:tc>
          <w:tcPr>
            <w:tcW w:w="0" w:type="dxa"/>
            <w:vAlign w:val="bottom"/>
          </w:tcPr>
          <w:p>
            <w:pPr>
              <w:spacing w:after="0"/>
              <w:rPr>
                <w:sz w:val="1"/>
                <w:szCs w:val="1"/>
                <w:color w:val="auto"/>
              </w:rPr>
            </w:pPr>
          </w:p>
        </w:tc>
      </w:tr>
      <w:tr>
        <w:trPr>
          <w:trHeight w:val="223"/>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2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51,889</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191,831</w:t>
            </w:r>
          </w:p>
        </w:tc>
        <w:tc>
          <w:tcPr>
            <w:tcW w:w="0" w:type="dxa"/>
            <w:vAlign w:val="bottom"/>
          </w:tcPr>
          <w:p>
            <w:pPr>
              <w:spacing w:after="0"/>
              <w:rPr>
                <w:sz w:val="1"/>
                <w:szCs w:val="1"/>
                <w:color w:val="auto"/>
              </w:rPr>
            </w:pPr>
          </w:p>
        </w:tc>
      </w:tr>
      <w:tr>
        <w:trPr>
          <w:trHeight w:val="203"/>
        </w:trPr>
        <w:tc>
          <w:tcPr>
            <w:tcW w:w="30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C&amp;I, at amortized cost, net of deferred</w:t>
            </w:r>
          </w:p>
        </w:tc>
        <w:tc>
          <w:tcPr>
            <w:tcW w:w="11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fees and costs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0" w:type="dxa"/>
            <w:vAlign w:val="bottom"/>
          </w:tcPr>
          <w:p>
            <w:pPr>
              <w:spacing w:after="0"/>
              <w:rPr>
                <w:sz w:val="1"/>
                <w:szCs w:val="1"/>
                <w:color w:val="auto"/>
              </w:rPr>
            </w:pPr>
          </w:p>
        </w:tc>
      </w:tr>
      <w:tr>
        <w:trPr>
          <w:trHeight w:val="22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0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0" w:type="dxa"/>
            <w:vAlign w:val="bottom"/>
          </w:tcPr>
          <w:p>
            <w:pPr>
              <w:spacing w:after="0"/>
              <w:rPr>
                <w:sz w:val="1"/>
                <w:szCs w:val="1"/>
                <w:color w:val="auto"/>
              </w:rPr>
            </w:pPr>
          </w:p>
        </w:tc>
      </w:tr>
      <w:tr>
        <w:trPr>
          <w:trHeight w:val="217"/>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202,909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164,029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207,279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2—SIGNIFICANT ACCOUNTING POLICIES for a description of the methodologies used to estimate the ACL.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activity in the ACL for the nine months ended September 30, 2025 and 2024:</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17"/>
        </w:trPr>
        <w:tc>
          <w:tcPr>
            <w:tcW w:w="2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Total</w:t>
            </w:r>
          </w:p>
        </w:tc>
      </w:tr>
      <w:tr>
        <w:trPr>
          <w:trHeight w:val="21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r>
      <w:tr>
        <w:trPr>
          <w:trHeight w:val="22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 offs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Provision for credit losses</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16,404</w:t>
            </w:r>
          </w:p>
        </w:tc>
      </w:tr>
      <w:tr>
        <w:trPr>
          <w:trHeight w:val="242"/>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26,045</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160" w:right="200" w:hanging="155"/>
        <w:spacing w:after="0" w:line="227" w:lineRule="auto"/>
        <w:tabs>
          <w:tab w:leader="none" w:pos="201"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$31 thousand and $338 thousand of Provision for credit losses relating to unfunded commitments for the nine months ended September 30, 2025 and September 30, 2024, respectively, which is recorded within Accounts payable, accrued expenses and other liabilities in accordance with ASC 326.</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activity in the ACL for the three months ended September 30, 2025 and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17"/>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r>
      <w:tr>
        <w:trPr>
          <w:trHeight w:val="217"/>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w:t>
            </w:r>
          </w:p>
        </w:tc>
      </w:tr>
      <w:tr>
        <w:trPr>
          <w:trHeight w:val="22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 offs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2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5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Provision for credit losses</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r>
      <w:tr>
        <w:trPr>
          <w:trHeight w:val="242"/>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26,045</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160" w:right="260" w:hanging="155"/>
        <w:spacing w:after="0" w:line="216" w:lineRule="auto"/>
        <w:tabs>
          <w:tab w:leader="none" w:pos="17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$3 thousand and $218 thousand of Provision for credit losses relating to unfunded commitments for the three months ended September 30, 2025 and 2024, respectively, which is recorded within Accounts payable, accrued expenses and other liabilities in accordance with ASC 326.</w:t>
      </w:r>
    </w:p>
    <w:p>
      <w:pPr>
        <w:spacing w:after="0" w:line="22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The Company identified 383 and 145 loans as of September 30, 2025 and December 31, 2024, respectively, that did not share similar risk characteristics with the loan segments identified in NOTE 2—SIGNIFICANT ACCOUNTING POLICIES and evaluated them for impairment individually.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individually evaluated and collectively evaluated ACL by segment: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1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w:t>
            </w:r>
          </w:p>
        </w:tc>
        <w:tc>
          <w:tcPr>
            <w:tcW w:w="2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w:t>
            </w:r>
          </w:p>
        </w:tc>
        <w:tc>
          <w:tcPr>
            <w:tcW w:w="2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Total</w:t>
            </w:r>
          </w:p>
        </w:tc>
      </w:tr>
      <w:tr>
        <w:trPr>
          <w:trHeight w:val="217"/>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r>
      <w:tr>
        <w:trPr>
          <w:trHeight w:val="223"/>
        </w:trPr>
        <w:tc>
          <w:tcPr>
            <w:tcW w:w="2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Collectively Evaluated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23,214</w:t>
            </w:r>
          </w:p>
        </w:tc>
      </w:tr>
      <w:tr>
        <w:trPr>
          <w:trHeight w:val="242"/>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recorded investment in loans individually evaluated and collectively evaluated by segment: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Recorded Investment</w:t>
            </w: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Pr>
          <w:p>
            <w:pPr>
              <w:spacing w:after="0"/>
              <w:rPr>
                <w:sz w:val="18"/>
                <w:szCs w:val="18"/>
                <w:color w:val="auto"/>
              </w:rPr>
            </w:pP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w:t>
            </w:r>
          </w:p>
        </w:tc>
        <w:tc>
          <w:tcPr>
            <w:tcW w:w="24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r>
      <w:tr>
        <w:trPr>
          <w:trHeight w:val="217"/>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24,341</w:t>
            </w:r>
          </w:p>
        </w:tc>
        <w:tc>
          <w:tcPr>
            <w:tcW w:w="40" w:type="dxa"/>
            <w:vAlign w:val="bottom"/>
          </w:tcPr>
          <w:p>
            <w:pPr>
              <w:spacing w:after="0"/>
              <w:rPr>
                <w:sz w:val="18"/>
                <w:szCs w:val="18"/>
                <w:color w:val="auto"/>
              </w:rPr>
            </w:pPr>
          </w:p>
        </w:tc>
      </w:tr>
      <w:tr>
        <w:trPr>
          <w:trHeight w:val="223"/>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Collectively Evaluated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238,097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189,196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596,029</w:t>
            </w:r>
          </w:p>
        </w:tc>
        <w:tc>
          <w:tcPr>
            <w:tcW w:w="40" w:type="dxa"/>
            <w:vAlign w:val="bottom"/>
          </w:tcPr>
          <w:p>
            <w:pPr>
              <w:spacing w:after="0"/>
              <w:rPr>
                <w:sz w:val="19"/>
                <w:szCs w:val="19"/>
                <w:color w:val="auto"/>
              </w:rPr>
            </w:pPr>
          </w:p>
        </w:tc>
      </w:tr>
      <w:tr>
        <w:trPr>
          <w:trHeight w:val="242"/>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256,921</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620,370</w:t>
            </w:r>
          </w:p>
        </w:tc>
        <w:tc>
          <w:tcPr>
            <w:tcW w:w="40" w:type="dxa"/>
            <w:vAlign w:val="bottom"/>
          </w:tcPr>
          <w:p>
            <w:pPr>
              <w:spacing w:after="0"/>
              <w:rPr>
                <w:sz w:val="20"/>
                <w:szCs w:val="20"/>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00"/>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3"/>
              </w:rPr>
              <w:t>F-35</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2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associated ACL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September 30, 2025</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180" w:type="dxa"/>
            <w:vAlign w:val="bottom"/>
          </w:tcPr>
          <w:p>
            <w:pPr>
              <w:spacing w:after="0"/>
              <w:rPr>
                <w:sz w:val="14"/>
                <w:szCs w:val="14"/>
                <w:color w:val="auto"/>
              </w:rPr>
            </w:pPr>
          </w:p>
        </w:tc>
        <w:tc>
          <w:tcPr>
            <w:tcW w:w="1700" w:type="dxa"/>
            <w:vAlign w:val="bottom"/>
            <w:gridSpan w:val="3"/>
          </w:tcPr>
          <w:p>
            <w:pPr>
              <w:jc w:val="center"/>
              <w:ind w:right="100"/>
              <w:spacing w:after="0" w:line="170" w:lineRule="exact"/>
              <w:rPr>
                <w:sz w:val="20"/>
                <w:szCs w:val="20"/>
                <w:color w:val="auto"/>
              </w:rPr>
            </w:pPr>
            <w:r>
              <w:rPr>
                <w:rFonts w:ascii="Times New Roman" w:cs="Times New Roman" w:eastAsia="Times New Roman" w:hAnsi="Times New Roman"/>
                <w:sz w:val="18"/>
                <w:szCs w:val="18"/>
                <w:b w:val="1"/>
                <w:bCs w:val="1"/>
                <w:color w:val="auto"/>
                <w:w w:val="97"/>
              </w:rPr>
              <w:t>Nonaccrual without</w:t>
            </w:r>
          </w:p>
        </w:tc>
        <w:tc>
          <w:tcPr>
            <w:tcW w:w="140" w:type="dxa"/>
            <w:vAlign w:val="bottom"/>
          </w:tcPr>
          <w:p>
            <w:pPr>
              <w:spacing w:after="0"/>
              <w:rPr>
                <w:sz w:val="14"/>
                <w:szCs w:val="14"/>
                <w:color w:val="auto"/>
              </w:rPr>
            </w:pPr>
          </w:p>
        </w:tc>
        <w:tc>
          <w:tcPr>
            <w:tcW w:w="1540" w:type="dxa"/>
            <w:vAlign w:val="bottom"/>
            <w:gridSpan w:val="2"/>
          </w:tcPr>
          <w:p>
            <w:pPr>
              <w:jc w:val="center"/>
              <w:ind w:right="220"/>
              <w:spacing w:after="0" w:line="170" w:lineRule="exact"/>
              <w:rPr>
                <w:sz w:val="20"/>
                <w:szCs w:val="20"/>
                <w:color w:val="auto"/>
              </w:rPr>
            </w:pPr>
            <w:r>
              <w:rPr>
                <w:rFonts w:ascii="Times New Roman" w:cs="Times New Roman" w:eastAsia="Times New Roman" w:hAnsi="Times New Roman"/>
                <w:sz w:val="18"/>
                <w:szCs w:val="18"/>
                <w:b w:val="1"/>
                <w:bCs w:val="1"/>
                <w:color w:val="auto"/>
                <w:w w:val="97"/>
              </w:rPr>
              <w:t>Nonaccrual with</w:t>
            </w:r>
          </w:p>
        </w:tc>
        <w:tc>
          <w:tcPr>
            <w:tcW w:w="360" w:type="dxa"/>
            <w:vAlign w:val="bottom"/>
          </w:tcPr>
          <w:p>
            <w:pPr>
              <w:spacing w:after="0"/>
              <w:rPr>
                <w:sz w:val="14"/>
                <w:szCs w:val="14"/>
                <w:color w:val="auto"/>
              </w:rPr>
            </w:pP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ACL</w:t>
            </w:r>
          </w:p>
        </w:tc>
        <w:tc>
          <w:tcPr>
            <w:tcW w:w="1700" w:type="dxa"/>
            <w:vAlign w:val="bottom"/>
            <w:gridSpan w:val="3"/>
          </w:tcPr>
          <w:p>
            <w:pPr>
              <w:jc w:val="center"/>
              <w:ind w:right="100"/>
              <w:spacing w:after="0" w:line="170" w:lineRule="exact"/>
              <w:rPr>
                <w:sz w:val="20"/>
                <w:szCs w:val="20"/>
                <w:color w:val="auto"/>
              </w:rPr>
            </w:pPr>
            <w:r>
              <w:rPr>
                <w:rFonts w:ascii="Times New Roman" w:cs="Times New Roman" w:eastAsia="Times New Roman" w:hAnsi="Times New Roman"/>
                <w:sz w:val="18"/>
                <w:szCs w:val="18"/>
                <w:b w:val="1"/>
                <w:bCs w:val="1"/>
                <w:color w:val="auto"/>
                <w:w w:val="97"/>
              </w:rPr>
              <w:t>Nonaccrual without</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line="170" w:lineRule="exact"/>
              <w:rPr>
                <w:sz w:val="20"/>
                <w:szCs w:val="20"/>
                <w:color w:val="auto"/>
              </w:rPr>
            </w:pPr>
            <w:r>
              <w:rPr>
                <w:rFonts w:ascii="Times New Roman" w:cs="Times New Roman" w:eastAsia="Times New Roman" w:hAnsi="Times New Roman"/>
                <w:sz w:val="18"/>
                <w:szCs w:val="18"/>
                <w:b w:val="1"/>
                <w:bCs w:val="1"/>
                <w:color w:val="auto"/>
                <w:w w:val="97"/>
              </w:rPr>
              <w:t>Nonaccrual with</w:t>
            </w:r>
          </w:p>
        </w:tc>
        <w:tc>
          <w:tcPr>
            <w:tcW w:w="360" w:type="dxa"/>
            <w:vAlign w:val="bottom"/>
          </w:tcPr>
          <w:p>
            <w:pPr>
              <w:spacing w:after="0"/>
              <w:rPr>
                <w:sz w:val="14"/>
                <w:szCs w:val="14"/>
                <w:color w:val="auto"/>
              </w:rPr>
            </w:pPr>
          </w:p>
        </w:tc>
        <w:tc>
          <w:tcPr>
            <w:tcW w:w="1220" w:type="dxa"/>
            <w:vAlign w:val="bottom"/>
            <w:vMerge w:val="restart"/>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ACL</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3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39,317</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unpaid contractual principal balance and recorded investment for the loans individually assessed is shown in the table below by type: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Real Estate</w:t>
            </w:r>
          </w:p>
        </w:tc>
        <w:tc>
          <w:tcPr>
            <w:tcW w:w="160" w:type="dxa"/>
            <w:vAlign w:val="bottom"/>
          </w:tcPr>
          <w:p>
            <w:pPr>
              <w:spacing w:after="0"/>
              <w:rPr>
                <w:sz w:val="14"/>
                <w:szCs w:val="14"/>
                <w:color w:val="auto"/>
              </w:rPr>
            </w:pPr>
          </w:p>
        </w:tc>
        <w:tc>
          <w:tcPr>
            <w:tcW w:w="1120" w:type="dxa"/>
            <w:vAlign w:val="bottom"/>
            <w:gridSpan w:val="2"/>
          </w:tcPr>
          <w:p>
            <w:pPr>
              <w:jc w:val="center"/>
              <w:ind w:right="240"/>
              <w:spacing w:after="0" w:line="170" w:lineRule="exact"/>
              <w:rPr>
                <w:sz w:val="20"/>
                <w:szCs w:val="20"/>
                <w:color w:val="auto"/>
              </w:rPr>
            </w:pPr>
            <w:r>
              <w:rPr>
                <w:rFonts w:ascii="Times New Roman" w:cs="Times New Roman" w:eastAsia="Times New Roman" w:hAnsi="Times New Roman"/>
                <w:sz w:val="18"/>
                <w:szCs w:val="18"/>
                <w:b w:val="1"/>
                <w:bCs w:val="1"/>
                <w:color w:val="auto"/>
                <w:w w:val="98"/>
              </w:rPr>
              <w:t>Non-Real</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Real Estate</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8"/>
                <w:szCs w:val="18"/>
                <w:b w:val="1"/>
                <w:bCs w:val="1"/>
                <w:color w:val="auto"/>
                <w:w w:val="98"/>
              </w:rPr>
              <w:t>Non-Real</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8"/>
                <w:szCs w:val="18"/>
                <w:b w:val="1"/>
                <w:bCs w:val="1"/>
                <w:color w:val="auto"/>
                <w:w w:val="95"/>
              </w:rPr>
              <w:t>Estate</w:t>
            </w:r>
          </w:p>
        </w:tc>
        <w:tc>
          <w:tcPr>
            <w:tcW w:w="240" w:type="dxa"/>
            <w:vAlign w:val="bottom"/>
          </w:tcPr>
          <w:p>
            <w:pPr>
              <w:spacing w:after="0"/>
              <w:rPr>
                <w:sz w:val="15"/>
                <w:szCs w:val="15"/>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5"/>
                <w:szCs w:val="15"/>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ACL</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8"/>
                <w:szCs w:val="18"/>
                <w:b w:val="1"/>
                <w:bCs w:val="1"/>
                <w:color w:val="auto"/>
                <w:w w:val="99"/>
              </w:rPr>
              <w:t>Estate</w:t>
            </w:r>
          </w:p>
        </w:tc>
        <w:tc>
          <w:tcPr>
            <w:tcW w:w="260" w:type="dxa"/>
            <w:vAlign w:val="bottom"/>
          </w:tcPr>
          <w:p>
            <w:pPr>
              <w:spacing w:after="0"/>
              <w:rPr>
                <w:sz w:val="15"/>
                <w:szCs w:val="15"/>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5"/>
                <w:szCs w:val="15"/>
                <w:color w:val="auto"/>
              </w:rPr>
            </w:pPr>
          </w:p>
        </w:tc>
        <w:tc>
          <w:tcPr>
            <w:tcW w:w="92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ACL</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Collateral</w:t>
            </w:r>
          </w:p>
        </w:tc>
        <w:tc>
          <w:tcPr>
            <w:tcW w:w="2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Collateral</w:t>
            </w: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49,585</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2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70,784</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Accrued interest on loans totaled $20.2 million and $15.5 million as of September 30, 2025 and December 31, 2024, respectively, and is excluded from the estimate of credit losses. The Company writes off accrued interest receivable by reversing interest income and typically occurs upon loans becoming 90 to 120 days past due.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 Made to Borrowers Experiencing Financial Difficulty</w:t>
      </w:r>
    </w:p>
    <w:p>
      <w:pPr>
        <w:spacing w:after="0" w:line="244" w:lineRule="exact"/>
        <w:rPr>
          <w:sz w:val="20"/>
          <w:szCs w:val="20"/>
          <w:color w:val="auto"/>
        </w:rPr>
      </w:pPr>
    </w:p>
    <w:p>
      <w:pPr>
        <w:jc w:val="both"/>
        <w:ind w:right="120"/>
        <w:spacing w:after="0" w:line="303" w:lineRule="auto"/>
        <w:rPr>
          <w:sz w:val="20"/>
          <w:szCs w:val="20"/>
          <w:color w:val="auto"/>
        </w:rPr>
      </w:pPr>
      <w:r>
        <w:rPr>
          <w:rFonts w:ascii="Times New Roman" w:cs="Times New Roman" w:eastAsia="Times New Roman" w:hAnsi="Times New Roman"/>
          <w:sz w:val="16"/>
          <w:szCs w:val="16"/>
          <w:color w:val="auto"/>
        </w:rPr>
        <w:t>During the three months ended September 30, 2025, the Company executed one loan modification involving a borrower experiencing financial difficulty, with an amortized cost basis of $0.25 million. The modification resulted in an other-than-insignificant delay in payments; however, the Company expects to receive all contractual principal and interest. The terms of the modification did not include principal forgiveness, term extension, or interest rate reductions.</w:t>
      </w:r>
    </w:p>
    <w:p>
      <w:pPr>
        <w:spacing w:after="0" w:line="171"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color w:val="auto"/>
        </w:rPr>
        <w:t>No other loan modifications to borrowers experiencing financial difficulty were executed during the three and nine months ended September 30,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Loans held for sale, at fair value</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0"/>
        </w:trPr>
        <w:tc>
          <w:tcPr>
            <w:tcW w:w="700" w:type="dxa"/>
            <w:vAlign w:val="bottom"/>
            <w:tcBorders>
              <w:bottom w:val="single" w:sz="8" w:color="CCEEFF"/>
            </w:tcBorders>
          </w:tcPr>
          <w:p>
            <w:pPr>
              <w:spacing w:after="0"/>
              <w:rPr>
                <w:sz w:val="21"/>
                <w:szCs w:val="21"/>
                <w:color w:val="auto"/>
              </w:rPr>
            </w:pPr>
          </w:p>
        </w:tc>
        <w:tc>
          <w:tcPr>
            <w:tcW w:w="59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7"/>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128,255</w:t>
            </w:r>
          </w:p>
        </w:tc>
      </w:tr>
      <w:tr>
        <w:trPr>
          <w:trHeight w:val="22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Lien</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26,678</w:t>
            </w:r>
          </w:p>
        </w:tc>
      </w:tr>
      <w:tr>
        <w:trPr>
          <w:trHeight w:val="22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7(a)</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r>
      <w:tr>
        <w:trPr>
          <w:trHeight w:val="223"/>
        </w:trPr>
        <w:tc>
          <w:tcPr>
            <w:tcW w:w="66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SBA 7(a) Partials</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ALP</w:t>
            </w:r>
          </w:p>
        </w:tc>
        <w:tc>
          <w:tcPr>
            <w:tcW w:w="5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212,498</w:t>
            </w:r>
          </w:p>
        </w:tc>
      </w:tr>
      <w:tr>
        <w:trPr>
          <w:trHeight w:val="21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757,001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372,286</w:t>
            </w:r>
          </w:p>
        </w:tc>
      </w:tr>
      <w:tr>
        <w:trPr>
          <w:trHeight w:val="20"/>
        </w:trPr>
        <w:tc>
          <w:tcPr>
            <w:tcW w:w="7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180" w:hanging="175"/>
        <w:spacing w:after="0"/>
        <w:tabs>
          <w:tab w:leader="none" w:pos="18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Reclassified from Loans held for sale, at LCM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aging of accrual and non-accrual loans HFS, at fair value by class: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84"/>
        </w:trPr>
        <w:tc>
          <w:tcPr>
            <w:tcW w:w="2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Past Due and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Accounted for Under</w:t>
            </w:r>
          </w:p>
        </w:tc>
      </w:tr>
      <w:tr>
        <w:trPr>
          <w:trHeight w:val="192"/>
        </w:trPr>
        <w:tc>
          <w:tcPr>
            <w:tcW w:w="2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the FV Option</w:t>
            </w:r>
          </w:p>
        </w:tc>
      </w:tr>
      <w:tr>
        <w:trPr>
          <w:trHeight w:val="20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470,372</w:t>
            </w:r>
          </w:p>
        </w:tc>
      </w:tr>
      <w:tr>
        <w:trPr>
          <w:trHeight w:val="223"/>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ALP, at fair value</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286,629</w:t>
            </w:r>
          </w:p>
        </w:tc>
      </w:tr>
      <w:tr>
        <w:trPr>
          <w:trHeight w:val="203"/>
        </w:trPr>
        <w:tc>
          <w:tcPr>
            <w:tcW w:w="26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717,441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757,001</w:t>
            </w:r>
          </w:p>
        </w:tc>
      </w:tr>
    </w:tbl>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84"/>
        </w:trPr>
        <w:tc>
          <w:tcPr>
            <w:tcW w:w="2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Past Due and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Accounted for Under</w:t>
            </w:r>
          </w:p>
        </w:tc>
      </w:tr>
      <w:tr>
        <w:trPr>
          <w:trHeight w:val="192"/>
        </w:trPr>
        <w:tc>
          <w:tcPr>
            <w:tcW w:w="2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the FV Option</w:t>
            </w:r>
          </w:p>
        </w:tc>
      </w:tr>
      <w:tr>
        <w:trPr>
          <w:trHeight w:val="20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29,119</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159,788</w:t>
            </w:r>
          </w:p>
        </w:tc>
      </w:tr>
      <w:tr>
        <w:trPr>
          <w:trHeight w:val="223"/>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ALP, at fair value</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210,006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212,498</w:t>
            </w:r>
          </w:p>
        </w:tc>
      </w:tr>
      <w:tr>
        <w:trPr>
          <w:trHeight w:val="203"/>
        </w:trPr>
        <w:tc>
          <w:tcPr>
            <w:tcW w:w="26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29,119</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Loans held for sale, at LCM</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0"/>
        </w:trPr>
        <w:tc>
          <w:tcPr>
            <w:tcW w:w="70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Pr>
          <w:p>
            <w:pPr>
              <w:spacing w:after="0"/>
              <w:rPr>
                <w:sz w:val="21"/>
                <w:szCs w:val="21"/>
                <w:color w:val="auto"/>
              </w:rPr>
            </w:pPr>
          </w:p>
        </w:tc>
        <w:tc>
          <w:tcPr>
            <w:tcW w:w="20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7"/>
        </w:trPr>
        <w:tc>
          <w:tcPr>
            <w:tcW w:w="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36,783</w:t>
            </w:r>
          </w:p>
        </w:tc>
      </w:tr>
      <w:tr>
        <w:trPr>
          <w:trHeight w:val="22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Lien</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23"/>
        </w:trPr>
        <w:tc>
          <w:tcPr>
            <w:tcW w:w="644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SBA 7(a) Partials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r>
      <w:tr>
        <w:trPr>
          <w:trHeight w:val="217"/>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sale, at LCM</w:t>
            </w: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58,803</w:t>
            </w:r>
          </w:p>
        </w:tc>
      </w:tr>
      <w:tr>
        <w:trPr>
          <w:trHeight w:val="20"/>
        </w:trPr>
        <w:tc>
          <w:tcPr>
            <w:tcW w:w="7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ind w:left="180" w:hanging="175"/>
        <w:spacing w:after="0"/>
        <w:tabs>
          <w:tab w:leader="none" w:pos="18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Reclassified to Loans held for sale, at fair value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aging of accrual and non-accrual loans HFS, at LCM by class: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309"/>
        </w:trPr>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Past Due and Accruing</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Total Past Due</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Carried at</w:t>
            </w:r>
          </w:p>
        </w:tc>
      </w:tr>
      <w:tr>
        <w:trPr>
          <w:trHeight w:val="229"/>
        </w:trPr>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30-59 Days</w:t>
            </w:r>
          </w:p>
        </w:tc>
        <w:tc>
          <w:tcPr>
            <w:tcW w:w="16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60-89 Days</w:t>
            </w:r>
          </w:p>
        </w:tc>
        <w:tc>
          <w:tcPr>
            <w:tcW w:w="240" w:type="dxa"/>
            <w:vAlign w:val="bottom"/>
          </w:tcPr>
          <w:p>
            <w:pPr>
              <w:spacing w:after="0"/>
              <w:rPr>
                <w:sz w:val="19"/>
                <w:szCs w:val="19"/>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Non- accrual</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and Non-accrual</w:t>
            </w: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r>
      <w:tr>
        <w:trPr>
          <w:trHeight w:val="217"/>
        </w:trPr>
        <w:tc>
          <w:tcPr>
            <w:tcW w:w="1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28,678</w:t>
            </w:r>
          </w:p>
        </w:tc>
      </w:tr>
      <w:tr>
        <w:trPr>
          <w:trHeight w:val="460"/>
        </w:trPr>
        <w:tc>
          <w:tcPr>
            <w:tcW w:w="1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8"/>
          </w:tcPr>
          <w:p>
            <w:pPr>
              <w:ind w:left="9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309"/>
        </w:trPr>
        <w:tc>
          <w:tcPr>
            <w:tcW w:w="1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Past Due and Accruing</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Total Past Due</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Carried at</w:t>
            </w:r>
          </w:p>
        </w:tc>
      </w:tr>
      <w:tr>
        <w:trPr>
          <w:trHeight w:val="229"/>
        </w:trPr>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30-59 Days</w:t>
            </w:r>
          </w:p>
        </w:tc>
        <w:tc>
          <w:tcPr>
            <w:tcW w:w="16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60-89 Days</w:t>
            </w:r>
          </w:p>
        </w:tc>
        <w:tc>
          <w:tcPr>
            <w:tcW w:w="240" w:type="dxa"/>
            <w:vAlign w:val="bottom"/>
          </w:tcPr>
          <w:p>
            <w:pPr>
              <w:spacing w:after="0"/>
              <w:rPr>
                <w:sz w:val="19"/>
                <w:szCs w:val="19"/>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Non- accrual</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and Non-accrual</w:t>
            </w: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r>
      <w:tr>
        <w:trPr>
          <w:trHeight w:val="217"/>
        </w:trPr>
        <w:tc>
          <w:tcPr>
            <w:tcW w:w="1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58,803</w:t>
            </w: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6—TRANSACTIONS WITH AFFILIATED COMPANIES AND RELATED PARTY TRANSACTIONS: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to/from affiliated companies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due to and due from affiliated companies as of September 30, 2025 and December 31,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20"/>
                <w:szCs w:val="20"/>
                <w:color w:val="auto"/>
              </w:rPr>
            </w:pPr>
          </w:p>
        </w:tc>
        <w:tc>
          <w:tcPr>
            <w:tcW w:w="17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7"/>
        </w:trPr>
        <w:tc>
          <w:tcPr>
            <w:tcW w:w="7360" w:type="dxa"/>
            <w:vAlign w:val="bottom"/>
            <w:tcBorders>
              <w:top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Due to affiliated companies</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73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Due from affiliated companies</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due to/due from affiliated companies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80" w:hanging="175"/>
        <w:spacing w:after="0"/>
        <w:tabs>
          <w:tab w:leader="none" w:pos="1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within Accounts payable, accrued expenses, and other liabilities</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Included within Other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joint ventures and other non-control investments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4—INVESTMENTS for a schedule of transactions with our joint ventures and other non-control equity investments.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income earned from our joint ventures and other non-control investments for the three and nine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354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7"/>
        </w:trPr>
        <w:tc>
          <w:tcPr>
            <w:tcW w:w="36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8"/>
              </w:rPr>
              <w:t>1,292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2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812"/>
              <w:spacing w:after="0"/>
              <w:rPr>
                <w:sz w:val="20"/>
                <w:szCs w:val="20"/>
                <w:color w:val="auto"/>
              </w:rPr>
            </w:pPr>
            <w:r>
              <w:rPr>
                <w:rFonts w:ascii="Times New Roman" w:cs="Times New Roman" w:eastAsia="Times New Roman" w:hAnsi="Times New Roman"/>
                <w:sz w:val="18"/>
                <w:szCs w:val="18"/>
                <w:color w:val="auto"/>
                <w:w w:val="98"/>
              </w:rPr>
              <w:t>2,711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17"/>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income</w:t>
            </w:r>
          </w:p>
        </w:tc>
        <w:tc>
          <w:tcPr>
            <w:tcW w:w="1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8"/>
              </w:rPr>
              <w:t>4,003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50"/>
        </w:trPr>
        <w:tc>
          <w:tcPr>
            <w:tcW w:w="3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8"/>
              </w:rPr>
              <w:t>6,009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4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income/(expense)</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2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8"/>
              </w:rPr>
              <w:t>(2,006)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Newtek Bank Deposits</w:t>
      </w:r>
    </w:p>
    <w:p>
      <w:pPr>
        <w:spacing w:after="0" w:line="24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Newtek Bank holds FDIC insured deposits from certain of the Company’s officers, directors and their associated companies. The following table summarizes the amounts due of deposits from related parties and their affiliated companies as of September 30, 2025 and December 31,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insured deposits</w:t>
            </w:r>
          </w:p>
        </w:tc>
        <w:tc>
          <w:tcPr>
            <w:tcW w:w="1940" w:type="dxa"/>
            <w:vAlign w:val="bottom"/>
            <w:shd w:val="clear" w:color="auto" w:fill="CCEEFF"/>
          </w:tcPr>
          <w:p>
            <w:pPr>
              <w:jc w:val="right"/>
              <w:ind w:right="17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Non-FDIC insured deposits</w:t>
            </w:r>
          </w:p>
        </w:tc>
        <w:tc>
          <w:tcPr>
            <w:tcW w:w="1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4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 from related parties and their affiliated companies</w:t>
            </w:r>
          </w:p>
        </w:tc>
        <w:tc>
          <w:tcPr>
            <w:tcW w:w="1940" w:type="dxa"/>
            <w:vAlign w:val="bottom"/>
            <w:tcBorders>
              <w:bottom w:val="single" w:sz="8" w:color="auto"/>
            </w:tcBorders>
            <w:shd w:val="clear" w:color="auto" w:fill="CCEEFF"/>
          </w:tcPr>
          <w:p>
            <w:pPr>
              <w:jc w:val="right"/>
              <w:ind w:right="17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4,788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7—SERVICING ASSETS:</w:t>
      </w:r>
    </w:p>
    <w:p>
      <w:pPr>
        <w:spacing w:after="0" w:line="21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Servicing assets held by NSBF are measured at fair value and the Company performs valuations on a quarterly basis. Servicing assets held by Newtek Bank, including Newtek Bank’s subsidiary SBL, are measured at lower of cost or market where the assets are initially recorded at fair value, then subsequently amortized, and assessed for impairment each reporting period.</w:t>
      </w:r>
    </w:p>
    <w:p>
      <w:pPr>
        <w:spacing w:after="0" w:line="17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 earns servicing fees from the guaranteed portions of SBA 7(a) loans it originates and sells, for the unguaranteed portions of SBA 7(a) loans in the NSBF sponsored securitizations, and for the portfolios of ALP loans SBL services for the NCL JV (dissolved in September 2025), TSO JV sponsored securitization and Newtek ALP Holdings and its sponsored securitization.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unpaid principle balance of loans serviced at September 30, 2025 and December 31,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Pr>
          <w:p>
            <w:pPr>
              <w:spacing w:after="0"/>
              <w:rPr>
                <w:sz w:val="20"/>
                <w:szCs w:val="20"/>
                <w:color w:val="auto"/>
              </w:rPr>
            </w:pPr>
          </w:p>
        </w:tc>
        <w:tc>
          <w:tcPr>
            <w:tcW w:w="19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7"/>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7(a)</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1,996,715</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169,842</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w:t>
            </w:r>
          </w:p>
        </w:tc>
      </w:tr>
      <w:tr>
        <w:trPr>
          <w:trHeight w:val="21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loans serviced</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2,182,266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2,179,032</w:t>
            </w: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valuation assumptions related to servicing assets at September 30, 2025 and December 31,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20" w:type="dxa"/>
            <w:vAlign w:val="bottom"/>
            <w:tcBorders>
              <w:bottom w:val="single" w:sz="8" w:color="auto"/>
            </w:tcBorders>
          </w:tcPr>
          <w:p>
            <w:pPr>
              <w:spacing w:after="0"/>
              <w:rPr>
                <w:sz w:val="20"/>
                <w:szCs w:val="20"/>
                <w:color w:val="auto"/>
              </w:rPr>
            </w:pPr>
          </w:p>
        </w:tc>
      </w:tr>
      <w:tr>
        <w:trPr>
          <w:trHeight w:val="184"/>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20" w:type="dxa"/>
            <w:vAlign w:val="bottom"/>
            <w:tcBorders>
              <w:bottom w:val="single" w:sz="8" w:color="auto"/>
            </w:tcBorders>
          </w:tcPr>
          <w:p>
            <w:pPr>
              <w:spacing w:after="0"/>
              <w:rPr>
                <w:sz w:val="15"/>
                <w:szCs w:val="15"/>
                <w:color w:val="auto"/>
              </w:rPr>
            </w:pPr>
          </w:p>
        </w:tc>
      </w:tr>
      <w:tr>
        <w:trPr>
          <w:trHeight w:val="191"/>
        </w:trPr>
        <w:tc>
          <w:tcPr>
            <w:tcW w:w="26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40" w:type="dxa"/>
            <w:vAlign w:val="bottom"/>
          </w:tcPr>
          <w:p>
            <w:pPr>
              <w:spacing w:after="0"/>
              <w:rPr>
                <w:sz w:val="16"/>
                <w:szCs w:val="16"/>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23"/>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 at FV:</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23"/>
        </w:trPr>
        <w:tc>
          <w:tcPr>
            <w:tcW w:w="26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Discount factor</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r>
      <w:tr>
        <w:trPr>
          <w:trHeight w:val="22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r>
      <w:tr>
        <w:trPr>
          <w:trHeight w:val="22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2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 at LCM:</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3"/>
        </w:trPr>
        <w:tc>
          <w:tcPr>
            <w:tcW w:w="26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Discount factor</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13.50 %</w:t>
            </w:r>
          </w:p>
        </w:tc>
      </w:tr>
      <w:tr>
        <w:trPr>
          <w:trHeight w:val="22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r>
      <w:tr>
        <w:trPr>
          <w:trHeight w:val="223"/>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16.50 %</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18.90 %</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20.00 %</w:t>
            </w:r>
          </w:p>
        </w:tc>
      </w:tr>
      <w:tr>
        <w:trPr>
          <w:trHeight w:val="242"/>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46,257</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37" w:lineRule="exact"/>
        <w:rPr>
          <w:sz w:val="20"/>
          <w:szCs w:val="20"/>
          <w:color w:val="auto"/>
        </w:rPr>
      </w:pPr>
    </w:p>
    <w:p>
      <w:pPr>
        <w:ind w:left="100" w:hanging="95"/>
        <w:spacing w:after="0"/>
        <w:tabs>
          <w:tab w:leader="none" w:pos="1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Determined based on risk spreads and observable secondary market transactions.</w:t>
      </w:r>
    </w:p>
    <w:p>
      <w:pPr>
        <w:spacing w:after="0" w:line="19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Refer to NOTE 9—FAIR VALUE MEASUREMENTS for a rollforward of servicing assets, at fair value. The following tables show a rollforward of servicing assets, at LCM for the nine months ended September 30,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Servicing Assets, at LCM</w:t>
            </w:r>
          </w:p>
        </w:tc>
        <w:tc>
          <w:tcPr>
            <w:tcW w:w="24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Pr>
          <w:p>
            <w:pPr>
              <w:spacing w:after="0"/>
              <w:rPr>
                <w:sz w:val="20"/>
                <w:szCs w:val="20"/>
                <w:color w:val="auto"/>
              </w:rPr>
            </w:pPr>
          </w:p>
        </w:tc>
        <w:tc>
          <w:tcPr>
            <w:tcW w:w="19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17"/>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23"/>
        </w:trPr>
        <w:tc>
          <w:tcPr>
            <w:tcW w:w="67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23"/>
        </w:trPr>
        <w:tc>
          <w:tcPr>
            <w:tcW w:w="6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assessment</w:t>
            </w:r>
          </w:p>
        </w:tc>
        <w:tc>
          <w:tcPr>
            <w:tcW w:w="240" w:type="dxa"/>
            <w:vAlign w:val="bottom"/>
          </w:tcPr>
          <w:p>
            <w:pPr>
              <w:spacing w:after="0"/>
              <w:rPr>
                <w:sz w:val="19"/>
                <w:szCs w:val="19"/>
                <w:color w:val="auto"/>
              </w:rPr>
            </w:pP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180" w:hanging="175"/>
        <w:spacing w:after="0"/>
        <w:tabs>
          <w:tab w:leader="none" w:pos="1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within Net loss on loan servicing assets in the Consolidated Statements of Income</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Included within Net gains on sales of loans in the Consolidated Statements of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Servicing income earned for the three and nine months ended September 30, 2025 and 2024 was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452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44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7"/>
        </w:trPr>
        <w:tc>
          <w:tcPr>
            <w:tcW w:w="2280" w:type="dxa"/>
            <w:vAlign w:val="bottom"/>
            <w:tcBorders>
              <w:bottom w:val="single" w:sz="8" w:color="CCEEFF"/>
            </w:tcBorders>
          </w:tcPr>
          <w:p>
            <w:pPr>
              <w:spacing w:after="0"/>
              <w:rPr>
                <w:sz w:val="18"/>
                <w:szCs w:val="18"/>
                <w:color w:val="auto"/>
              </w:rPr>
            </w:pPr>
          </w:p>
        </w:tc>
        <w:tc>
          <w:tcPr>
            <w:tcW w:w="21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1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1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18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21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$17,655</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$14,922</w:t>
            </w:r>
          </w:p>
        </w:tc>
      </w:tr>
      <w:tr>
        <w:trPr>
          <w:trHeight w:val="827"/>
        </w:trPr>
        <w:tc>
          <w:tcPr>
            <w:tcW w:w="2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F-39</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2"/>
        </w:trPr>
        <w:tc>
          <w:tcPr>
            <w:tcW w:w="22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8—GOODWILL AND INTANGIBLE ASSETS: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47"/>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47"/>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 of goodwill:</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7"/>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Pr>
          <w:p>
            <w:pPr>
              <w:spacing w:after="0"/>
              <w:rPr>
                <w:sz w:val="24"/>
                <w:szCs w:val="24"/>
                <w:color w:val="auto"/>
              </w:rPr>
            </w:pPr>
          </w:p>
        </w:tc>
        <w:tc>
          <w:tcPr>
            <w:tcW w:w="19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7"/>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13,814</w:t>
            </w:r>
          </w:p>
        </w:tc>
      </w:tr>
      <w:tr>
        <w:trPr>
          <w:trHeight w:val="242"/>
        </w:trPr>
        <w:tc>
          <w:tcPr>
            <w:tcW w:w="2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Banking: </w:t>
      </w:r>
      <w:r>
        <w:rPr>
          <w:rFonts w:ascii="Times New Roman" w:cs="Times New Roman" w:eastAsia="Times New Roman" w:hAnsi="Times New Roman"/>
          <w:sz w:val="18"/>
          <w:szCs w:val="18"/>
          <w:color w:val="auto"/>
        </w:rPr>
        <w:t>The goodwill in the banking segment was generated from the Acquisition, representing the excess of the purchase price over the fair value of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w:t>
      </w:r>
    </w:p>
    <w:p>
      <w:pPr>
        <w:spacing w:after="0" w:line="19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The goodwill in the payments segment was generated from acquisitions by the legal entities within this segment prior to the consolidation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into NewtekOne following the Acquisition.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At September 30, 2025</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At December 31, 2024</w:t>
            </w:r>
          </w:p>
        </w:tc>
        <w:tc>
          <w:tcPr>
            <w:tcW w:w="1040" w:type="dxa"/>
            <w:vAlign w:val="bottom"/>
            <w:tcBorders>
              <w:bottom w:val="single" w:sz="8" w:color="auto"/>
            </w:tcBorders>
          </w:tcPr>
          <w:p>
            <w:pPr>
              <w:spacing w:after="0"/>
              <w:rPr>
                <w:sz w:val="20"/>
                <w:szCs w:val="20"/>
                <w:color w:val="auto"/>
              </w:rPr>
            </w:pPr>
          </w:p>
        </w:tc>
      </w:tr>
      <w:tr>
        <w:trPr>
          <w:trHeight w:val="164"/>
        </w:trPr>
        <w:tc>
          <w:tcPr>
            <w:tcW w:w="3040" w:type="dxa"/>
            <w:vAlign w:val="bottom"/>
          </w:tcPr>
          <w:p>
            <w:pPr>
              <w:spacing w:after="0"/>
              <w:rPr>
                <w:sz w:val="14"/>
                <w:szCs w:val="14"/>
                <w:color w:val="auto"/>
              </w:rPr>
            </w:pPr>
          </w:p>
        </w:tc>
        <w:tc>
          <w:tcPr>
            <w:tcW w:w="112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Gross carrying</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4"/>
                <w:szCs w:val="14"/>
                <w:color w:val="auto"/>
              </w:rPr>
            </w:pPr>
          </w:p>
        </w:tc>
        <w:tc>
          <w:tcPr>
            <w:tcW w:w="1020" w:type="dxa"/>
            <w:vAlign w:val="bottom"/>
          </w:tcPr>
          <w:p>
            <w:pPr>
              <w:jc w:val="center"/>
              <w:ind w:right="12"/>
              <w:spacing w:after="0" w:line="164" w:lineRule="exact"/>
              <w:rPr>
                <w:sz w:val="20"/>
                <w:szCs w:val="20"/>
                <w:color w:val="auto"/>
              </w:rPr>
            </w:pPr>
            <w:r>
              <w:rPr>
                <w:rFonts w:ascii="Times New Roman" w:cs="Times New Roman" w:eastAsia="Times New Roman" w:hAnsi="Times New Roman"/>
                <w:sz w:val="18"/>
                <w:szCs w:val="18"/>
                <w:color w:val="auto"/>
                <w:w w:val="97"/>
              </w:rPr>
              <w:t>Net Carrying</w:t>
            </w:r>
          </w:p>
        </w:tc>
        <w:tc>
          <w:tcPr>
            <w:tcW w:w="80" w:type="dxa"/>
            <w:vAlign w:val="bottom"/>
          </w:tcPr>
          <w:p>
            <w:pPr>
              <w:spacing w:after="0"/>
              <w:rPr>
                <w:sz w:val="14"/>
                <w:szCs w:val="14"/>
                <w:color w:val="auto"/>
              </w:rPr>
            </w:pPr>
          </w:p>
        </w:tc>
        <w:tc>
          <w:tcPr>
            <w:tcW w:w="112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Gross carrying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4" w:lineRule="exact"/>
              <w:rPr>
                <w:sz w:val="20"/>
                <w:szCs w:val="20"/>
                <w:color w:val="auto"/>
              </w:rPr>
            </w:pPr>
            <w:r>
              <w:rPr>
                <w:rFonts w:ascii="Times New Roman" w:cs="Times New Roman" w:eastAsia="Times New Roman" w:hAnsi="Times New Roman"/>
                <w:sz w:val="18"/>
                <w:szCs w:val="18"/>
                <w:color w:val="auto"/>
                <w:w w:val="97"/>
              </w:rPr>
              <w:t>Accumulated</w:t>
            </w:r>
          </w:p>
        </w:tc>
        <w:tc>
          <w:tcPr>
            <w:tcW w:w="100" w:type="dxa"/>
            <w:vAlign w:val="bottom"/>
          </w:tcPr>
          <w:p>
            <w:pPr>
              <w:spacing w:after="0"/>
              <w:rPr>
                <w:sz w:val="14"/>
                <w:szCs w:val="14"/>
                <w:color w:val="auto"/>
              </w:rPr>
            </w:pPr>
          </w:p>
        </w:tc>
        <w:tc>
          <w:tcPr>
            <w:tcW w:w="1040" w:type="dxa"/>
            <w:vAlign w:val="bottom"/>
          </w:tcPr>
          <w:p>
            <w:pPr>
              <w:jc w:val="center"/>
              <w:ind w:right="32"/>
              <w:spacing w:after="0" w:line="164" w:lineRule="exact"/>
              <w:rPr>
                <w:sz w:val="20"/>
                <w:szCs w:val="20"/>
                <w:color w:val="auto"/>
              </w:rPr>
            </w:pPr>
            <w:r>
              <w:rPr>
                <w:rFonts w:ascii="Times New Roman" w:cs="Times New Roman" w:eastAsia="Times New Roman" w:hAnsi="Times New Roman"/>
                <w:sz w:val="18"/>
                <w:szCs w:val="18"/>
                <w:color w:val="auto"/>
                <w:w w:val="97"/>
              </w:rPr>
              <w:t>Net Carrying</w:t>
            </w:r>
          </w:p>
        </w:tc>
      </w:tr>
      <w:tr>
        <w:trPr>
          <w:trHeight w:val="232"/>
        </w:trPr>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4"/>
              </w:rPr>
              <w:t>Amount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amount</w:t>
            </w:r>
          </w:p>
        </w:tc>
        <w:tc>
          <w:tcPr>
            <w:tcW w:w="200" w:type="dxa"/>
            <w:vAlign w:val="bottom"/>
          </w:tcPr>
          <w:p>
            <w:pPr>
              <w:spacing w:after="0"/>
              <w:rPr>
                <w:sz w:val="20"/>
                <w:szCs w:val="20"/>
                <w:color w:val="auto"/>
              </w:rPr>
            </w:pP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Amount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Amortization</w:t>
            </w:r>
          </w:p>
        </w:tc>
        <w:tc>
          <w:tcPr>
            <w:tcW w:w="100" w:type="dxa"/>
            <w:vAlign w:val="bottom"/>
          </w:tcPr>
          <w:p>
            <w:pPr>
              <w:spacing w:after="0"/>
              <w:rPr>
                <w:sz w:val="20"/>
                <w:szCs w:val="20"/>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amount</w:t>
            </w:r>
          </w:p>
        </w:tc>
      </w:tr>
      <w:tr>
        <w:trPr>
          <w:trHeight w:val="221"/>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 - Core Deposits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bl>
    <w:p>
      <w:pPr>
        <w:spacing w:after="0" w:line="200" w:lineRule="exact"/>
        <w:rPr>
          <w:sz w:val="20"/>
          <w:szCs w:val="20"/>
          <w:color w:val="auto"/>
        </w:rPr>
      </w:pPr>
    </w:p>
    <w:p>
      <w:pPr>
        <w:spacing w:after="0" w:line="33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Core Deposits Intangible. </w:t>
      </w:r>
      <w:r>
        <w:rPr>
          <w:rFonts w:ascii="Times New Roman" w:cs="Times New Roman" w:eastAsia="Times New Roman" w:hAnsi="Times New Roman"/>
          <w:sz w:val="18"/>
          <w:szCs w:val="18"/>
          <w:color w:val="auto"/>
        </w:rPr>
        <w:t>CDI is a measure of the value of non-interest-bearing and interest-bearing checking accounts, savings accounts, and money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that are acquired in a business 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Amortization expense for the three and nine months ended September 30, 2025 and 2024 is as follows, and is included in Depreciation and amortization on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40" w:type="dxa"/>
            <w:vAlign w:val="bottom"/>
          </w:tcPr>
          <w:p>
            <w:pPr>
              <w:spacing w:after="0"/>
              <w:rPr>
                <w:sz w:val="20"/>
                <w:szCs w:val="20"/>
                <w:color w:val="auto"/>
              </w:rPr>
            </w:pPr>
          </w:p>
        </w:tc>
        <w:tc>
          <w:tcPr>
            <w:tcW w:w="3760" w:type="dxa"/>
            <w:vAlign w:val="bottom"/>
            <w:gridSpan w:val="5"/>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 w:type="dxa"/>
            <w:vAlign w:val="bottom"/>
          </w:tcPr>
          <w:p>
            <w:pPr>
              <w:spacing w:after="0"/>
              <w:rPr>
                <w:sz w:val="20"/>
                <w:szCs w:val="20"/>
                <w:color w:val="auto"/>
              </w:rPr>
            </w:pPr>
          </w:p>
        </w:tc>
      </w:tr>
      <w:tr>
        <w:trPr>
          <w:trHeight w:val="217"/>
        </w:trPr>
        <w:tc>
          <w:tcPr>
            <w:tcW w:w="27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 w:type="dxa"/>
            <w:vAlign w:val="bottom"/>
          </w:tcPr>
          <w:p>
            <w:pPr>
              <w:spacing w:after="0"/>
              <w:rPr>
                <w:sz w:val="18"/>
                <w:szCs w:val="18"/>
                <w:color w:val="auto"/>
              </w:rPr>
            </w:pPr>
          </w:p>
        </w:tc>
      </w:tr>
      <w:tr>
        <w:trPr>
          <w:trHeight w:val="538"/>
        </w:trPr>
        <w:tc>
          <w:tcPr>
            <w:tcW w:w="9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remaining estimated aggregate future amortization expense for intangible assets as of September 30, 2025 is as follows: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4"/>
                <w:szCs w:val="24"/>
                <w:color w:val="auto"/>
              </w:rPr>
            </w:pPr>
          </w:p>
        </w:tc>
      </w:tr>
      <w:tr>
        <w:trPr>
          <w:trHeight w:val="233"/>
        </w:trPr>
        <w:tc>
          <w:tcPr>
            <w:tcW w:w="27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0" w:type="dxa"/>
            <w:vAlign w:val="bottom"/>
            <w:tcBorders>
              <w:bottom w:val="single" w:sz="8" w:color="auto"/>
            </w:tcBorders>
          </w:tcPr>
          <w:p>
            <w:pPr>
              <w:spacing w:after="0"/>
              <w:rPr>
                <w:sz w:val="20"/>
                <w:szCs w:val="20"/>
                <w:color w:val="auto"/>
              </w:rPr>
            </w:pPr>
          </w:p>
        </w:tc>
      </w:tr>
      <w:tr>
        <w:trPr>
          <w:trHeight w:val="22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9"/>
                <w:szCs w:val="19"/>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9"/>
                <w:szCs w:val="19"/>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EFF"/>
          </w:tcPr>
          <w:p>
            <w:pPr>
              <w:spacing w:after="0"/>
              <w:rPr>
                <w:sz w:val="19"/>
                <w:szCs w:val="19"/>
                <w:color w:val="auto"/>
              </w:rPr>
            </w:pPr>
          </w:p>
        </w:tc>
      </w:tr>
      <w:tr>
        <w:trPr>
          <w:trHeight w:val="22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Borders>
              <w:bottom w:val="single" w:sz="8" w:color="auto"/>
            </w:tcBorders>
          </w:tcPr>
          <w:p>
            <w:pPr>
              <w:spacing w:after="0"/>
              <w:rPr>
                <w:sz w:val="19"/>
                <w:szCs w:val="19"/>
                <w:color w:val="auto"/>
              </w:rPr>
            </w:pPr>
          </w:p>
        </w:tc>
      </w:tr>
      <w:tr>
        <w:trPr>
          <w:trHeight w:val="242"/>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9—FAIR VALUE MEASUREMENTS:</w:t>
      </w:r>
    </w:p>
    <w:p>
      <w:pPr>
        <w:spacing w:after="0" w:line="242" w:lineRule="exact"/>
        <w:rPr>
          <w:sz w:val="20"/>
          <w:szCs w:val="20"/>
          <w:color w:val="auto"/>
        </w:rPr>
      </w:pPr>
    </w:p>
    <w:p>
      <w:pPr>
        <w:ind w:right="460"/>
        <w:spacing w:after="0" w:line="331" w:lineRule="auto"/>
        <w:rPr>
          <w:sz w:val="20"/>
          <w:szCs w:val="20"/>
          <w:color w:val="auto"/>
        </w:rPr>
      </w:pPr>
      <w:r>
        <w:rPr>
          <w:rFonts w:ascii="Times New Roman" w:cs="Times New Roman" w:eastAsia="Times New Roman" w:hAnsi="Times New Roman"/>
          <w:sz w:val="16"/>
          <w:szCs w:val="16"/>
          <w:color w:val="auto"/>
        </w:rPr>
        <w:t>The following tables present fair value measurements of certain of the Company’s assets and liabilities measured at fair value and indicates the fair value hierarchy of the valuation techniques utilized by the Company to determine such fair values as of September 30, 2025 and December 31, 2024:</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20" w:type="dxa"/>
            <w:vAlign w:val="bottom"/>
            <w:gridSpan w:val="9"/>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2025</w:t>
            </w:r>
          </w:p>
        </w:tc>
        <w:tc>
          <w:tcPr>
            <w:tcW w:w="920" w:type="dxa"/>
            <w:vAlign w:val="bottom"/>
          </w:tcPr>
          <w:p>
            <w:pPr>
              <w:spacing w:after="0"/>
              <w:rPr>
                <w:sz w:val="16"/>
                <w:szCs w:val="16"/>
                <w:color w:val="auto"/>
              </w:rPr>
            </w:pPr>
          </w:p>
        </w:tc>
      </w:tr>
      <w:tr>
        <w:trPr>
          <w:trHeight w:val="24"/>
        </w:trPr>
        <w:tc>
          <w:tcPr>
            <w:tcW w:w="6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available-for-sale, at fair value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Treasury notes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4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478,323</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305,720</w:t>
            </w:r>
          </w:p>
        </w:tc>
      </w:tr>
      <w:tr>
        <w:trPr>
          <w:trHeight w:val="223"/>
        </w:trPr>
        <w:tc>
          <w:tcPr>
            <w:tcW w:w="61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Individually evaluated loans</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81,337</w:t>
            </w:r>
          </w:p>
        </w:tc>
      </w:tr>
      <w:tr>
        <w:trPr>
          <w:trHeight w:val="223"/>
        </w:trPr>
        <w:tc>
          <w:tcPr>
            <w:tcW w:w="6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Other real estate owned, at fair value</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r>
      <w:tr>
        <w:trPr>
          <w:trHeight w:val="223"/>
        </w:trPr>
        <w:tc>
          <w:tcPr>
            <w:tcW w:w="61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Other real estate owned, at LCM</w:t>
            </w:r>
            <w:r>
              <w:rPr>
                <w:rFonts w:ascii="Times New Roman" w:cs="Times New Roman" w:eastAsia="Times New Roman" w:hAnsi="Times New Roman"/>
                <w:sz w:val="22"/>
                <w:szCs w:val="22"/>
                <w:color w:val="auto"/>
                <w:vertAlign w:val="superscript"/>
              </w:rPr>
              <w:t>1,2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23"/>
        </w:trPr>
        <w:tc>
          <w:tcPr>
            <w:tcW w:w="6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Residuals in securitizations, at fair value</w:t>
            </w:r>
            <w:r>
              <w:rPr>
                <w:rFonts w:ascii="Times New Roman" w:cs="Times New Roman" w:eastAsia="Times New Roman" w:hAnsi="Times New Roman"/>
                <w:sz w:val="22"/>
                <w:szCs w:val="22"/>
                <w:color w:val="auto"/>
                <w:vertAlign w:val="superscript"/>
              </w:rPr>
              <w:t>3</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assets, at fair value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w:t>
            </w:r>
          </w:p>
        </w:tc>
      </w:tr>
      <w:tr>
        <w:trPr>
          <w:trHeight w:val="223"/>
        </w:trPr>
        <w:tc>
          <w:tcPr>
            <w:tcW w:w="6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Servicing assets, at LCM</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30,540</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ventures and other non-control investments, at fair value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5</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43,430</w:t>
            </w:r>
          </w:p>
        </w:tc>
      </w:tr>
      <w:tr>
        <w:trPr>
          <w:trHeight w:val="223"/>
        </w:trPr>
        <w:tc>
          <w:tcPr>
            <w:tcW w:w="6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2"/>
                <w:szCs w:val="22"/>
                <w:color w:val="auto"/>
                <w:vertAlign w:val="superscript"/>
              </w:rPr>
              <w:t>1,2,3</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1,345,843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25,969</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278,910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1,040,964</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0"/>
        </w:trPr>
        <w:tc>
          <w:tcPr>
            <w:tcW w:w="6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3"/>
        </w:trPr>
        <w:tc>
          <w:tcPr>
            <w:tcW w:w="61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warrants</w:t>
            </w:r>
            <w:r>
              <w:rPr>
                <w:rFonts w:ascii="Times New Roman" w:cs="Times New Roman" w:eastAsia="Times New Roman" w:hAnsi="Times New Roman"/>
                <w:sz w:val="22"/>
                <w:szCs w:val="22"/>
                <w:color w:val="auto"/>
                <w:vertAlign w:val="superscript"/>
              </w:rPr>
              <w:t>3,4</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2"/>
        </w:trPr>
        <w:tc>
          <w:tcPr>
            <w:tcW w:w="616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180" w:hanging="175"/>
        <w:spacing w:after="0"/>
        <w:tabs>
          <w:tab w:leader="none" w:pos="1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Non-recurring.</w:t>
      </w:r>
    </w:p>
    <w:p>
      <w:pPr>
        <w:ind w:left="180" w:hanging="175"/>
        <w:spacing w:after="0" w:line="190" w:lineRule="auto"/>
        <w:tabs>
          <w:tab w:leader="none" w:pos="18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assets on the Consolidated Statements of Financial Condition.</w:t>
      </w:r>
    </w:p>
    <w:p>
      <w:pPr>
        <w:ind w:left="180" w:hanging="175"/>
        <w:spacing w:after="0" w:line="191" w:lineRule="auto"/>
        <w:tabs>
          <w:tab w:leader="none" w:pos="18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Measured at fair value on a recurring basis with the net unrealized gains or losses recorded in current period earnings.</w:t>
      </w:r>
    </w:p>
    <w:p>
      <w:pPr>
        <w:ind w:left="180" w:hanging="175"/>
        <w:spacing w:after="0" w:line="191" w:lineRule="auto"/>
        <w:tabs>
          <w:tab w:leader="none" w:pos="1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payable, accrued expenses, and other liabilities on the Consolidated Statements of Financial Condition.</w:t>
      </w:r>
    </w:p>
    <w:p>
      <w:pPr>
        <w:ind w:left="180" w:hanging="175"/>
        <w:spacing w:after="0" w:line="191" w:lineRule="auto"/>
        <w:tabs>
          <w:tab w:leader="none" w:pos="18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Four million shares of IPM Preferred Stock valued at the closing price per share of IPM common stock of $1.99 on September 30, 2025.</w:t>
      </w:r>
    </w:p>
    <w:p>
      <w:pPr>
        <w:spacing w:after="0" w:line="305"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Other real estate owned</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 at fair value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ventures and other non-control investments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Assets held for sale</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2"/>
                <w:szCs w:val="22"/>
                <w:color w:val="auto"/>
                <w:vertAlign w:val="superscript"/>
              </w:rPr>
              <w:t>1,3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620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846,844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warrants</w:t>
            </w:r>
            <w:r>
              <w:rPr>
                <w:rFonts w:ascii="Times New Roman" w:cs="Times New Roman" w:eastAsia="Times New Roman" w:hAnsi="Times New Roman"/>
                <w:sz w:val="22"/>
                <w:szCs w:val="22"/>
                <w:color w:val="auto"/>
                <w:vertAlign w:val="superscript"/>
              </w:rPr>
              <w:t>3,4</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7"/>
        </w:trPr>
        <w:tc>
          <w:tcPr>
            <w:tcW w:w="6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80" w:hanging="175"/>
        <w:spacing w:after="0"/>
        <w:tabs>
          <w:tab w:leader="none" w:pos="18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assets on the Consolidated Statements of Financial Condition.</w:t>
      </w:r>
    </w:p>
    <w:p>
      <w:pPr>
        <w:spacing w:after="0" w:line="2" w:lineRule="exact"/>
        <w:rPr>
          <w:rFonts w:ascii="Times New Roman" w:cs="Times New Roman" w:eastAsia="Times New Roman" w:hAnsi="Times New Roman"/>
          <w:sz w:val="23"/>
          <w:szCs w:val="23"/>
          <w:color w:val="auto"/>
          <w:vertAlign w:val="superscript"/>
        </w:rPr>
      </w:pPr>
    </w:p>
    <w:p>
      <w:pPr>
        <w:spacing w:after="0" w:line="19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Non-recurring.</w:t>
      </w:r>
    </w:p>
    <w:p>
      <w:pPr>
        <w:spacing w:after="0" w:line="18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 xml:space="preserve">  Measured at fair value on a recurring basis with the net unrealized gains or losses recorded in current period earnings.</w:t>
      </w:r>
    </w:p>
    <w:p>
      <w:pPr>
        <w:ind w:left="5460" w:right="2200" w:hanging="5455"/>
        <w:spacing w:after="0" w:line="816" w:lineRule="auto"/>
        <w:tabs>
          <w:tab w:leader="none" w:pos="239"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payable, accrued expenses, and other liabilities on the Consolidated Statements of Financial Condition.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-347980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following tables represents the changes in the investments, servicing assets and liabilities measured at fair value using Level 3 inputs for the nine months ended September 30, 2025 and 2024:</w:t>
      </w:r>
    </w:p>
    <w:p>
      <w:pPr>
        <w:spacing w:after="0" w:line="4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pacing w:after="0" w:line="28" w:lineRule="exact"/>
        <w:rPr>
          <w:sz w:val="20"/>
          <w:szCs w:val="20"/>
          <w:color w:val="auto"/>
        </w:rPr>
      </w:pPr>
    </w:p>
    <w:tbl>
      <w:tblPr>
        <w:tblLayout w:type="fixed"/>
        <w:tblInd w:w="260" w:type="dxa"/>
        <w:tblCellMar>
          <w:top w:w="0" w:type="dxa"/>
          <w:left w:w="0" w:type="dxa"/>
          <w:bottom w:w="0" w:type="dxa"/>
          <w:right w:w="0" w:type="dxa"/>
        </w:tblCellMar>
      </w:tblPr>
      <w:tr>
        <w:trPr>
          <w:trHeight w:val="131"/>
        </w:trPr>
        <w:tc>
          <w:tcPr>
            <w:tcW w:w="20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Loans HFI,</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Loans HFS,</w:t>
            </w:r>
          </w:p>
        </w:tc>
        <w:tc>
          <w:tcPr>
            <w:tcW w:w="1260" w:type="dxa"/>
            <w:vAlign w:val="bottom"/>
            <w:tcBorders>
              <w:top w:val="single" w:sz="8" w:color="auto"/>
            </w:tcBorders>
            <w:gridSpan w:val="3"/>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w w:val="99"/>
              </w:rPr>
              <w:t>Joint Ventures and</w:t>
            </w: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Residuals in</w:t>
            </w: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Servicing Assets,</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w w:val="99"/>
              </w:rPr>
              <w:t>Other Real Estate</w:t>
            </w:r>
          </w:p>
        </w:tc>
        <w:tc>
          <w:tcPr>
            <w:tcW w:w="0" w:type="dxa"/>
            <w:vAlign w:val="bottom"/>
          </w:tcPr>
          <w:p>
            <w:pPr>
              <w:spacing w:after="0"/>
              <w:rPr>
                <w:sz w:val="1"/>
                <w:szCs w:val="1"/>
                <w:color w:val="auto"/>
              </w:rPr>
            </w:pPr>
          </w:p>
        </w:tc>
      </w:tr>
      <w:tr>
        <w:trPr>
          <w:trHeight w:val="118"/>
        </w:trPr>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6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rPr>
              <w:t>Other Non-Control</w:t>
            </w: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Securitizations, at</w:t>
            </w: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at FV</w:t>
            </w: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at FV</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Investments</w:t>
            </w: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FV</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at FV</w:t>
            </w:r>
          </w:p>
        </w:tc>
        <w:tc>
          <w:tcPr>
            <w:tcW w:w="1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Equity Warrants</w:t>
            </w:r>
            <w:r>
              <w:rPr>
                <w:rFonts w:ascii="Times New Roman" w:cs="Times New Roman" w:eastAsia="Times New Roman" w:hAnsi="Times New Roman"/>
                <w:sz w:val="15"/>
                <w:szCs w:val="15"/>
                <w:b w:val="1"/>
                <w:bCs w:val="1"/>
                <w:color w:val="auto"/>
                <w:vertAlign w:val="superscript"/>
              </w:rPr>
              <w:t>1</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2"/>
                <w:szCs w:val="12"/>
                <w:b w:val="1"/>
                <w:bCs w:val="1"/>
                <w:color w:val="auto"/>
              </w:rPr>
              <w:t>Owned</w:t>
            </w:r>
            <w:r>
              <w:rPr>
                <w:rFonts w:ascii="Times New Roman" w:cs="Times New Roman" w:eastAsia="Times New Roman" w:hAnsi="Times New Roman"/>
                <w:sz w:val="15"/>
                <w:szCs w:val="15"/>
                <w:b w:val="1"/>
                <w:bCs w:val="1"/>
                <w:color w:val="auto"/>
                <w:vertAlign w:val="superscript"/>
              </w:rPr>
              <w:t>2</w:t>
            </w:r>
          </w:p>
        </w:tc>
        <w:tc>
          <w:tcPr>
            <w:tcW w:w="0" w:type="dxa"/>
            <w:vAlign w:val="bottom"/>
          </w:tcPr>
          <w:p>
            <w:pPr>
              <w:spacing w:after="0"/>
              <w:rPr>
                <w:sz w:val="1"/>
                <w:szCs w:val="1"/>
                <w:color w:val="auto"/>
              </w:rPr>
            </w:pPr>
          </w:p>
        </w:tc>
      </w:tr>
      <w:tr>
        <w:trPr>
          <w:trHeight w:val="151"/>
        </w:trPr>
        <w:tc>
          <w:tcPr>
            <w:tcW w:w="208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Fair value, December 31,</w:t>
            </w: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Reclasses between loans at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FV and LCM</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Principal payments received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Foreclosed real estate</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loans, funded</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ALP loans, funded</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Purchases and repurchases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loans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Residuals in securitizations,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notional</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contributions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Returns of capital</w:t>
            </w:r>
            <w:r>
              <w:rPr>
                <w:rFonts w:ascii="Times New Roman" w:cs="Times New Roman" w:eastAsia="Times New Roman" w:hAnsi="Times New Roman"/>
                <w:sz w:val="22"/>
                <w:szCs w:val="22"/>
                <w:color w:val="auto"/>
                <w:vertAlign w:val="superscript"/>
              </w:rPr>
              <w:t>4</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due to:</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Changes in valuation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inputs or assumptions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factors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Transfers out of Level 3</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1"/>
        </w:trPr>
        <w:tc>
          <w:tcPr>
            <w:tcW w:w="208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Fair value, September 30,</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478,323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180" w:hanging="175"/>
        <w:spacing w:after="0"/>
        <w:tabs>
          <w:tab w:leader="none" w:pos="18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payable, accrued expenses, and other liabilities on the Consolidated Statements of Financial Condition.</w:t>
      </w:r>
    </w:p>
    <w:p>
      <w:pPr>
        <w:spacing w:after="0" w:line="2" w:lineRule="exact"/>
        <w:rPr>
          <w:rFonts w:ascii="Times New Roman" w:cs="Times New Roman" w:eastAsia="Times New Roman" w:hAnsi="Times New Roman"/>
          <w:sz w:val="23"/>
          <w:szCs w:val="23"/>
          <w:color w:val="auto"/>
          <w:vertAlign w:val="superscript"/>
        </w:rPr>
      </w:pPr>
    </w:p>
    <w:p>
      <w:pPr>
        <w:spacing w:after="0" w:line="18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Included in Other assets on the Consolidated Statements of Financial Condition.</w:t>
      </w:r>
    </w:p>
    <w:p>
      <w:pPr>
        <w:ind w:left="240" w:hanging="235"/>
        <w:spacing w:after="0" w:line="190" w:lineRule="auto"/>
        <w:tabs>
          <w:tab w:leader="none" w:pos="2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 in IPM.</w:t>
      </w:r>
    </w:p>
    <w:p>
      <w:pPr>
        <w:ind w:left="240" w:hanging="235"/>
        <w:spacing w:after="0" w:line="191" w:lineRule="auto"/>
        <w:tabs>
          <w:tab w:leader="none" w:pos="2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$26.2 million of loans and accrued interest returned as part of the acquisition of 100% of NCL JV.</w:t>
      </w:r>
    </w:p>
    <w:p>
      <w:pPr>
        <w:spacing w:after="0" w:line="1" w:lineRule="exact"/>
        <w:rPr>
          <w:sz w:val="20"/>
          <w:szCs w:val="20"/>
          <w:color w:val="auto"/>
        </w:rPr>
      </w:pPr>
    </w:p>
    <w:p>
      <w:pPr>
        <w:ind w:left="160" w:right="140" w:hanging="155"/>
        <w:spacing w:after="0" w:line="218" w:lineRule="auto"/>
        <w:tabs>
          <w:tab w:leader="none" w:pos="225"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April 1, 2025, the Company is using broker quotes to calculate the fair value of its unguaranteed portions of its SBA 7(a) loans moving them from Level 3 to Level 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124"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Joint Ventures and</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Loans HFS,</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Other Non-</w:t>
            </w: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Servicing Assets,</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 Real Estate</w:t>
            </w:r>
          </w:p>
        </w:tc>
        <w:tc>
          <w:tcPr>
            <w:tcW w:w="0" w:type="dxa"/>
            <w:vAlign w:val="bottom"/>
          </w:tcPr>
          <w:p>
            <w:pPr>
              <w:spacing w:after="0"/>
              <w:rPr>
                <w:sz w:val="1"/>
                <w:szCs w:val="1"/>
                <w:color w:val="auto"/>
              </w:rPr>
            </w:pPr>
          </w:p>
        </w:tc>
      </w:tr>
      <w:tr>
        <w:trPr>
          <w:trHeight w:val="145"/>
        </w:trPr>
        <w:tc>
          <w:tcPr>
            <w:tcW w:w="376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Loans HFI, at FV</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1260" w:type="dxa"/>
            <w:vAlign w:val="bottom"/>
            <w:gridSpan w:val="3"/>
            <w:vMerge w:val="continue"/>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Equity Warrants</w:t>
            </w:r>
            <w:r>
              <w:rPr>
                <w:rFonts w:ascii="Times New Roman" w:cs="Times New Roman" w:eastAsia="Times New Roman" w:hAnsi="Times New Roman"/>
                <w:sz w:val="18"/>
                <w:szCs w:val="18"/>
                <w:b w:val="1"/>
                <w:bCs w:val="1"/>
                <w:color w:val="auto"/>
                <w:vertAlign w:val="superscript"/>
              </w:rPr>
              <w:t>1</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76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FV</w:t>
            </w:r>
          </w:p>
        </w:tc>
        <w:tc>
          <w:tcPr>
            <w:tcW w:w="18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Investments</w:t>
            </w:r>
          </w:p>
        </w:tc>
        <w:tc>
          <w:tcPr>
            <w:tcW w:w="26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at FV</w:t>
            </w:r>
          </w:p>
        </w:tc>
        <w:tc>
          <w:tcPr>
            <w:tcW w:w="12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53"/>
              <w:spacing w:after="0" w:line="197"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17"/>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December 31, 2023</w:t>
            </w:r>
          </w:p>
        </w:tc>
        <w:tc>
          <w:tcPr>
            <w:tcW w:w="3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Reclasses between loans HFS and HFI</w:t>
            </w: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Reclasses between loans at FV and LCM</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received</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real estate acquired</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loans, funded</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 loans, funded</w:t>
            </w: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funded</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repurchases of loans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contributions/(distributions)</w:t>
            </w: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due to:</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valuation inputs or assumptions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factors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September 30, 2024</w:t>
            </w: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394,471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180" w:hanging="175"/>
        <w:spacing w:after="0"/>
        <w:tabs>
          <w:tab w:leader="none" w:pos="18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payable, accrued expenses, and other liabilities on the Consolidated Statements of Financial Condition.</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Included in Other assets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60"/>
        <w:spacing w:after="0" w:line="293" w:lineRule="auto"/>
        <w:rPr>
          <w:sz w:val="20"/>
          <w:szCs w:val="20"/>
          <w:color w:val="auto"/>
        </w:rPr>
      </w:pPr>
      <w:r>
        <w:rPr>
          <w:rFonts w:ascii="Times New Roman" w:cs="Times New Roman" w:eastAsia="Times New Roman" w:hAnsi="Times New Roman"/>
          <w:sz w:val="16"/>
          <w:szCs w:val="16"/>
          <w:color w:val="auto"/>
        </w:rPr>
        <w:t>The following tables provide a summary of quantitative information about the Company’s Level 3 fair value measurements as of September 30, 2025 and December 31, 2024.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September 30, 2025 and December 31,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9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60" w:type="dxa"/>
            <w:vAlign w:val="bottom"/>
            <w:gridSpan w:val="3"/>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46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2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HFI, at FV - accrual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232,575</w:t>
            </w:r>
          </w:p>
        </w:tc>
        <w:tc>
          <w:tcPr>
            <w:tcW w:w="1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HFI, at FV - non-accrual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73,145</w:t>
            </w:r>
          </w:p>
        </w:tc>
        <w:tc>
          <w:tcPr>
            <w:tcW w:w="1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HFS, at FV</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478,323</w:t>
            </w:r>
          </w:p>
        </w:tc>
        <w:tc>
          <w:tcPr>
            <w:tcW w:w="1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Joint ventures and non-control</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43,430</w:t>
            </w:r>
          </w:p>
        </w:tc>
        <w:tc>
          <w:tcPr>
            <w:tcW w:w="1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equity</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Residuals in securitizations, at FV</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1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equity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assets, at FV</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1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real estate owned, at FV</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Appraised value</w:t>
            </w:r>
          </w:p>
        </w:tc>
        <w:tc>
          <w:tcPr>
            <w:tcW w:w="11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1"/>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F-44</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HFI, at FV - accrual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302,442</w:t>
            </w:r>
          </w:p>
        </w:tc>
        <w:tc>
          <w:tcPr>
            <w:tcW w:w="10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HFI, at FV - non-accrual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67,304</w:t>
            </w: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HFS, at FV</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0" w:type="dxa"/>
            <w:vAlign w:val="bottom"/>
          </w:tcPr>
          <w:p>
            <w:pPr>
              <w:spacing w:after="0"/>
              <w:rPr>
                <w:sz w:val="1"/>
                <w:szCs w:val="1"/>
                <w:color w:val="auto"/>
              </w:rPr>
            </w:pPr>
          </w:p>
        </w:tc>
      </w:tr>
      <w:tr>
        <w:trPr>
          <w:trHeight w:val="171"/>
        </w:trPr>
        <w:tc>
          <w:tcPr>
            <w:tcW w:w="29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Joint ventures and non-control</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00" w:type="dxa"/>
            <w:vAlign w:val="bottom"/>
          </w:tcPr>
          <w:p>
            <w:pPr>
              <w:spacing w:after="0"/>
              <w:rPr>
                <w:sz w:val="20"/>
                <w:szCs w:val="20"/>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equity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23.98 %</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 at FV</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0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factor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93.20 %</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11.71 %</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Appraised value</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warrants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48.00 %</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28"/>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Estimated Fair Value of Other Financial Instruments</w:t>
      </w:r>
    </w:p>
    <w:p>
      <w:pPr>
        <w:spacing w:after="0" w:line="244" w:lineRule="exact"/>
        <w:rPr>
          <w:sz w:val="20"/>
          <w:szCs w:val="20"/>
          <w:color w:val="auto"/>
        </w:rPr>
      </w:pPr>
    </w:p>
    <w:p>
      <w:pPr>
        <w:jc w:val="both"/>
        <w:ind w:right="280"/>
        <w:spacing w:after="0" w:line="256" w:lineRule="auto"/>
        <w:rPr>
          <w:sz w:val="20"/>
          <w:szCs w:val="20"/>
          <w:color w:val="auto"/>
        </w:rPr>
      </w:pPr>
      <w:r>
        <w:rPr>
          <w:rFonts w:ascii="Times New Roman" w:cs="Times New Roman" w:eastAsia="Times New Roman" w:hAnsi="Times New Roman"/>
          <w:sz w:val="18"/>
          <w:szCs w:val="18"/>
          <w:color w:val="auto"/>
        </w:rPr>
        <w:t>GAAP also requires disclosure of the fair value of financial instruments carried at book value on the Consolidated Statements of Financial Condition. The carrying amounts and estimated fair values of the Company’s financial instruments not measured at fair value on a recurring or non-recurring basis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September 30, 2025</w:t>
            </w: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52"/>
              <w:spacing w:after="0"/>
              <w:rPr>
                <w:sz w:val="20"/>
                <w:szCs w:val="20"/>
                <w:color w:val="auto"/>
              </w:rPr>
            </w:pPr>
            <w:r>
              <w:rPr>
                <w:rFonts w:ascii="Times New Roman" w:cs="Times New Roman" w:eastAsia="Times New Roman" w:hAnsi="Times New Roman"/>
                <w:sz w:val="18"/>
                <w:szCs w:val="18"/>
                <w:color w:val="auto"/>
                <w:w w:val="96"/>
              </w:rPr>
              <w:t>Fair Value Amount by Level:</w:t>
            </w: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Carrying Amount</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6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5"/>
              </w:rPr>
              <w:t>Level 2</w:t>
            </w: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Total Fair Value</w:t>
            </w:r>
          </w:p>
        </w:tc>
        <w:tc>
          <w:tcPr>
            <w:tcW w:w="0" w:type="dxa"/>
            <w:vAlign w:val="bottom"/>
          </w:tcPr>
          <w:p>
            <w:pPr>
              <w:spacing w:after="0"/>
              <w:rPr>
                <w:sz w:val="1"/>
                <w:szCs w:val="1"/>
                <w:color w:val="auto"/>
              </w:rPr>
            </w:pPr>
          </w:p>
        </w:tc>
      </w:tr>
      <w:tr>
        <w:trPr>
          <w:trHeight w:val="203"/>
        </w:trPr>
        <w:tc>
          <w:tcPr>
            <w:tcW w:w="322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23"/>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24,737</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188,214</w:t>
            </w:r>
          </w:p>
        </w:tc>
        <w:tc>
          <w:tcPr>
            <w:tcW w:w="0" w:type="dxa"/>
            <w:vAlign w:val="bottom"/>
          </w:tcPr>
          <w:p>
            <w:pPr>
              <w:spacing w:after="0"/>
              <w:rPr>
                <w:sz w:val="1"/>
                <w:szCs w:val="1"/>
                <w:color w:val="auto"/>
              </w:rPr>
            </w:pPr>
          </w:p>
        </w:tc>
      </w:tr>
      <w:tr>
        <w:trPr>
          <w:trHeight w:val="223"/>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 at FV</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HFS, at FV</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757,001</w:t>
            </w:r>
          </w:p>
        </w:tc>
        <w:tc>
          <w:tcPr>
            <w:tcW w:w="0" w:type="dxa"/>
            <w:vAlign w:val="bottom"/>
          </w:tcPr>
          <w:p>
            <w:pPr>
              <w:spacing w:after="0"/>
              <w:rPr>
                <w:sz w:val="1"/>
                <w:szCs w:val="1"/>
                <w:color w:val="auto"/>
              </w:rPr>
            </w:pPr>
          </w:p>
        </w:tc>
      </w:tr>
      <w:tr>
        <w:trPr>
          <w:trHeight w:val="223"/>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HFS, at LCM</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HFI, at FV</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305,720</w:t>
            </w:r>
          </w:p>
        </w:tc>
        <w:tc>
          <w:tcPr>
            <w:tcW w:w="0" w:type="dxa"/>
            <w:vAlign w:val="bottom"/>
          </w:tcPr>
          <w:p>
            <w:pPr>
              <w:spacing w:after="0"/>
              <w:rPr>
                <w:sz w:val="1"/>
                <w:szCs w:val="1"/>
                <w:color w:val="auto"/>
              </w:rPr>
            </w:pPr>
          </w:p>
        </w:tc>
      </w:tr>
      <w:tr>
        <w:trPr>
          <w:trHeight w:val="171"/>
        </w:trPr>
        <w:tc>
          <w:tcPr>
            <w:tcW w:w="322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Loans HFI, at amortized cost, net of</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fees and costs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944,601</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Federal Home Loan Bank and Federal</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Reserve Bank stock</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171"/>
        </w:trPr>
        <w:tc>
          <w:tcPr>
            <w:tcW w:w="322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Joint ventures and other non-control</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at FV</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51,390</w:t>
            </w:r>
          </w:p>
        </w:tc>
        <w:tc>
          <w:tcPr>
            <w:tcW w:w="0" w:type="dxa"/>
            <w:vAlign w:val="bottom"/>
          </w:tcPr>
          <w:p>
            <w:pPr>
              <w:spacing w:after="0"/>
              <w:rPr>
                <w:sz w:val="1"/>
                <w:szCs w:val="1"/>
                <w:color w:val="auto"/>
              </w:rPr>
            </w:pPr>
          </w:p>
        </w:tc>
      </w:tr>
      <w:tr>
        <w:trPr>
          <w:trHeight w:val="224"/>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Residuals in securitizations, at FV</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0" w:type="dxa"/>
            <w:vAlign w:val="bottom"/>
          </w:tcPr>
          <w:p>
            <w:pPr>
              <w:spacing w:after="0"/>
              <w:rPr>
                <w:sz w:val="1"/>
                <w:szCs w:val="1"/>
                <w:color w:val="auto"/>
              </w:rPr>
            </w:pPr>
          </w:p>
        </w:tc>
      </w:tr>
      <w:tr>
        <w:trPr>
          <w:trHeight w:val="22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482,945</w:t>
            </w:r>
          </w:p>
        </w:tc>
        <w:tc>
          <w:tcPr>
            <w:tcW w:w="0" w:type="dxa"/>
            <w:vAlign w:val="bottom"/>
          </w:tcPr>
          <w:p>
            <w:pPr>
              <w:spacing w:after="0"/>
              <w:rPr>
                <w:sz w:val="1"/>
                <w:szCs w:val="1"/>
                <w:color w:val="auto"/>
              </w:rPr>
            </w:pPr>
          </w:p>
        </w:tc>
      </w:tr>
      <w:tr>
        <w:trPr>
          <w:trHeight w:val="223"/>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754,425</w:t>
            </w:r>
          </w:p>
        </w:tc>
        <w:tc>
          <w:tcPr>
            <w:tcW w:w="0" w:type="dxa"/>
            <w:vAlign w:val="bottom"/>
          </w:tcPr>
          <w:p>
            <w:pPr>
              <w:spacing w:after="0"/>
              <w:rPr>
                <w:sz w:val="1"/>
                <w:szCs w:val="1"/>
                <w:color w:val="auto"/>
              </w:rPr>
            </w:pPr>
          </w:p>
        </w:tc>
      </w:tr>
      <w:tr>
        <w:trPr>
          <w:trHeight w:val="263"/>
        </w:trPr>
        <w:tc>
          <w:tcPr>
            <w:tcW w:w="3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29"/>
        </w:trPr>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52"/>
              <w:spacing w:after="0"/>
              <w:rPr>
                <w:sz w:val="20"/>
                <w:szCs w:val="20"/>
                <w:color w:val="auto"/>
              </w:rPr>
            </w:pPr>
            <w:r>
              <w:rPr>
                <w:rFonts w:ascii="Times New Roman" w:cs="Times New Roman" w:eastAsia="Times New Roman" w:hAnsi="Times New Roman"/>
                <w:sz w:val="18"/>
                <w:szCs w:val="18"/>
                <w:color w:val="auto"/>
                <w:w w:val="96"/>
              </w:rPr>
              <w:t>Fair Value Amount by Level:</w:t>
            </w: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Carrying Amount</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6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5"/>
              </w:rPr>
              <w:t>Level 2</w:t>
            </w: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Total Fair Value</w:t>
            </w:r>
          </w:p>
        </w:tc>
      </w:tr>
      <w:tr>
        <w:trPr>
          <w:trHeight w:val="204"/>
        </w:trPr>
        <w:tc>
          <w:tcPr>
            <w:tcW w:w="322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23"/>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r>
      <w:tr>
        <w:trPr>
          <w:trHeight w:val="22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r>
      <w:tr>
        <w:trPr>
          <w:trHeight w:val="223"/>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346,207</w:t>
            </w:r>
          </w:p>
        </w:tc>
      </w:tr>
      <w:tr>
        <w:trPr>
          <w:trHeight w:val="22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 at FV</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23"/>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HFS, at FV</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r>
      <w:tr>
        <w:trPr>
          <w:trHeight w:val="22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HFS, at LCM</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58,856</w:t>
            </w:r>
          </w:p>
        </w:tc>
      </w:tr>
      <w:tr>
        <w:trPr>
          <w:trHeight w:val="223"/>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HFI, at FV</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369,746</w:t>
            </w:r>
          </w:p>
        </w:tc>
      </w:tr>
      <w:tr>
        <w:trPr>
          <w:trHeight w:val="171"/>
        </w:trPr>
        <w:tc>
          <w:tcPr>
            <w:tcW w:w="32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Loans HFI, at amortized cost, net of</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7"/>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fees and costs</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668,687</w:t>
            </w:r>
          </w:p>
        </w:tc>
      </w:tr>
      <w:tr>
        <w:trPr>
          <w:trHeight w:val="171"/>
        </w:trPr>
        <w:tc>
          <w:tcPr>
            <w:tcW w:w="322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Federal Home Loan Bank and Federal</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6"/>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 Bank stock</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171"/>
        </w:trPr>
        <w:tc>
          <w:tcPr>
            <w:tcW w:w="32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Joint ventures and other non-control</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7"/>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at FV</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r>
      <w:tr>
        <w:trPr>
          <w:trHeight w:val="22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410,442</w:t>
            </w:r>
          </w:p>
        </w:tc>
      </w:tr>
      <w:tr>
        <w:trPr>
          <w:trHeight w:val="228"/>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10—DEPOSITS: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deposits by type: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6"/>
                <w:szCs w:val="16"/>
                <w:color w:val="auto"/>
              </w:rPr>
            </w:pPr>
          </w:p>
        </w:tc>
      </w:tr>
      <w:tr>
        <w:trPr>
          <w:trHeight w:val="24"/>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77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Non-interest-bearing:</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21,771</w:t>
            </w:r>
          </w:p>
        </w:tc>
        <w:tc>
          <w:tcPr>
            <w:tcW w:w="100" w:type="dxa"/>
            <w:vAlign w:val="bottom"/>
          </w:tcPr>
          <w:p>
            <w:pPr>
              <w:spacing w:after="0"/>
              <w:rPr>
                <w:sz w:val="19"/>
                <w:szCs w:val="19"/>
                <w:color w:val="auto"/>
              </w:rPr>
            </w:pP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20" w:type="dxa"/>
            <w:vAlign w:val="bottom"/>
          </w:tcPr>
          <w:p>
            <w:pPr>
              <w:spacing w:after="0"/>
              <w:rPr>
                <w:sz w:val="19"/>
                <w:szCs w:val="19"/>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Checking</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103,978</w:t>
            </w:r>
          </w:p>
        </w:tc>
        <w:tc>
          <w:tcPr>
            <w:tcW w:w="20" w:type="dxa"/>
            <w:vAlign w:val="bottom"/>
          </w:tcPr>
          <w:p>
            <w:pPr>
              <w:spacing w:after="0"/>
              <w:rPr>
                <w:sz w:val="19"/>
                <w:szCs w:val="19"/>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62,001</w:t>
            </w:r>
          </w:p>
        </w:tc>
        <w:tc>
          <w:tcPr>
            <w:tcW w:w="20" w:type="dxa"/>
            <w:vAlign w:val="bottom"/>
          </w:tcPr>
          <w:p>
            <w:pPr>
              <w:spacing w:after="0"/>
              <w:rPr>
                <w:sz w:val="19"/>
                <w:szCs w:val="19"/>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386,680</w:t>
            </w:r>
          </w:p>
        </w:tc>
        <w:tc>
          <w:tcPr>
            <w:tcW w:w="20" w:type="dxa"/>
            <w:vAlign w:val="bottom"/>
          </w:tcPr>
          <w:p>
            <w:pPr>
              <w:spacing w:after="0"/>
              <w:rPr>
                <w:sz w:val="19"/>
                <w:szCs w:val="19"/>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481,531</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409,251</w:t>
            </w:r>
          </w:p>
        </w:tc>
        <w:tc>
          <w:tcPr>
            <w:tcW w:w="20" w:type="dxa"/>
            <w:vAlign w:val="bottom"/>
          </w:tcPr>
          <w:p>
            <w:pPr>
              <w:spacing w:after="0"/>
              <w:rPr>
                <w:sz w:val="19"/>
                <w:szCs w:val="19"/>
                <w:color w:val="auto"/>
              </w:rPr>
            </w:pPr>
          </w:p>
        </w:tc>
      </w:tr>
      <w:tr>
        <w:trPr>
          <w:trHeight w:val="217"/>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interest-bearing</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1,156,193</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961,910</w:t>
            </w:r>
          </w:p>
        </w:tc>
        <w:tc>
          <w:tcPr>
            <w:tcW w:w="20" w:type="dxa"/>
            <w:vAlign w:val="bottom"/>
          </w:tcPr>
          <w:p>
            <w:pPr>
              <w:spacing w:after="0"/>
              <w:rPr>
                <w:sz w:val="18"/>
                <w:szCs w:val="18"/>
                <w:color w:val="auto"/>
              </w:rPr>
            </w:pPr>
          </w:p>
        </w:tc>
      </w:tr>
      <w:tr>
        <w:trPr>
          <w:trHeight w:val="242"/>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973,052</w:t>
            </w:r>
          </w:p>
        </w:tc>
        <w:tc>
          <w:tcPr>
            <w:tcW w:w="20" w:type="dxa"/>
            <w:vAlign w:val="bottom"/>
          </w:tcPr>
          <w:p>
            <w:pPr>
              <w:spacing w:after="0"/>
              <w:rPr>
                <w:sz w:val="20"/>
                <w:szCs w:val="20"/>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money market, and interest-bearing checking obtained through brokers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27,100</w:t>
            </w:r>
          </w:p>
        </w:tc>
        <w:tc>
          <w:tcPr>
            <w:tcW w:w="20" w:type="dxa"/>
            <w:vAlign w:val="bottom"/>
          </w:tcPr>
          <w:p>
            <w:pPr>
              <w:spacing w:after="0"/>
              <w:rPr>
                <w:sz w:val="19"/>
                <w:szCs w:val="19"/>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amount of deposit accounts that exceeded the FDIC limit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177,929</w:t>
            </w:r>
          </w:p>
        </w:tc>
        <w:tc>
          <w:tcPr>
            <w:tcW w:w="100" w:type="dxa"/>
            <w:vAlign w:val="bottom"/>
          </w:tcPr>
          <w:p>
            <w:pPr>
              <w:spacing w:after="0"/>
              <w:rPr>
                <w:sz w:val="19"/>
                <w:szCs w:val="19"/>
                <w:color w:val="auto"/>
              </w:rPr>
            </w:pP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140,679</w:t>
            </w:r>
          </w:p>
        </w:tc>
        <w:tc>
          <w:tcPr>
            <w:tcW w:w="20" w:type="dxa"/>
            <w:vAlign w:val="bottom"/>
          </w:tcPr>
          <w:p>
            <w:pPr>
              <w:spacing w:after="0"/>
              <w:rPr>
                <w:sz w:val="19"/>
                <w:szCs w:val="19"/>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 overdrafts reclassified as loan balances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2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in excess of $0.25 million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177,485</w:t>
            </w:r>
          </w:p>
        </w:tc>
        <w:tc>
          <w:tcPr>
            <w:tcW w:w="100" w:type="dxa"/>
            <w:vAlign w:val="bottom"/>
          </w:tcPr>
          <w:p>
            <w:pPr>
              <w:spacing w:after="0"/>
              <w:rPr>
                <w:sz w:val="19"/>
                <w:szCs w:val="19"/>
                <w:color w:val="auto"/>
              </w:rPr>
            </w:pP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99,231</w:t>
            </w:r>
          </w:p>
        </w:tc>
        <w:tc>
          <w:tcPr>
            <w:tcW w:w="20" w:type="dxa"/>
            <w:vAlign w:val="bottom"/>
          </w:tcPr>
          <w:p>
            <w:pPr>
              <w:spacing w:after="0"/>
              <w:rPr>
                <w:sz w:val="19"/>
                <w:szCs w:val="19"/>
                <w:color w:val="auto"/>
              </w:rPr>
            </w:pPr>
          </w:p>
        </w:tc>
      </w:tr>
      <w:tr>
        <w:trPr>
          <w:trHeight w:val="5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scheduled maturities of time deposits: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158,023</w:t>
            </w:r>
          </w:p>
        </w:tc>
        <w:tc>
          <w:tcPr>
            <w:tcW w:w="20" w:type="dxa"/>
            <w:vAlign w:val="bottom"/>
            <w:shd w:val="clear" w:color="auto" w:fill="CCEEFF"/>
          </w:tcPr>
          <w:p>
            <w:pPr>
              <w:spacing w:after="0"/>
              <w:rPr>
                <w:sz w:val="19"/>
                <w:szCs w:val="19"/>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275,302</w:t>
            </w:r>
          </w:p>
        </w:tc>
        <w:tc>
          <w:tcPr>
            <w:tcW w:w="20" w:type="dxa"/>
            <w:vAlign w:val="bottom"/>
          </w:tcPr>
          <w:p>
            <w:pPr>
              <w:spacing w:after="0"/>
              <w:rPr>
                <w:sz w:val="19"/>
                <w:szCs w:val="19"/>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20" w:type="dxa"/>
            <w:vAlign w:val="bottom"/>
            <w:shd w:val="clear" w:color="auto" w:fill="CCEEFF"/>
          </w:tcPr>
          <w:p>
            <w:pPr>
              <w:spacing w:after="0"/>
              <w:rPr>
                <w:sz w:val="19"/>
                <w:szCs w:val="19"/>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20" w:type="dxa"/>
            <w:vAlign w:val="bottom"/>
          </w:tcPr>
          <w:p>
            <w:pPr>
              <w:spacing w:after="0"/>
              <w:rPr>
                <w:sz w:val="19"/>
                <w:szCs w:val="19"/>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9"/>
                <w:szCs w:val="19"/>
                <w:color w:val="auto"/>
              </w:rPr>
            </w:pPr>
          </w:p>
        </w:tc>
      </w:tr>
      <w:tr>
        <w:trPr>
          <w:trHeight w:val="22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19"/>
                <w:szCs w:val="19"/>
                <w:color w:val="auto"/>
              </w:rPr>
            </w:pPr>
          </w:p>
        </w:tc>
      </w:tr>
      <w:tr>
        <w:trPr>
          <w:trHeight w:val="242"/>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time deposits</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481,531</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11—BORROWINGS: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and December 31, 2024, the Company had borrowings composed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tcPr>
          <w:p>
            <w:pPr>
              <w:jc w:val="right"/>
              <w:ind w:right="1301"/>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94"/>
              <w:spacing w:after="0" w:line="125" w:lineRule="exact"/>
              <w:rPr>
                <w:sz w:val="20"/>
                <w:szCs w:val="20"/>
                <w:color w:val="auto"/>
              </w:rPr>
            </w:pPr>
            <w:r>
              <w:rPr>
                <w:rFonts w:ascii="Times New Roman" w:cs="Times New Roman" w:eastAsia="Times New Roman" w:hAnsi="Times New Roman"/>
                <w:sz w:val="14"/>
                <w:szCs w:val="14"/>
                <w:b w:val="1"/>
                <w:bCs w:val="1"/>
                <w:color w:val="auto"/>
              </w:rPr>
              <w:t>Borrowings</w:t>
            </w: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Weighted Avg Interest</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95"/>
              <w:spacing w:after="0" w:line="125" w:lineRule="exact"/>
              <w:rPr>
                <w:sz w:val="20"/>
                <w:szCs w:val="20"/>
                <w:color w:val="auto"/>
              </w:rPr>
            </w:pPr>
            <w:r>
              <w:rPr>
                <w:rFonts w:ascii="Times New Roman" w:cs="Times New Roman" w:eastAsia="Times New Roman" w:hAnsi="Times New Roman"/>
                <w:sz w:val="14"/>
                <w:szCs w:val="14"/>
                <w:b w:val="1"/>
                <w:bCs w:val="1"/>
                <w:color w:val="auto"/>
              </w:rPr>
              <w:t>Borrowings</w:t>
            </w: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Weighted Avg Interest</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46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Bank Borrowings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NMS Webster Note</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0" w:type="dxa"/>
            <w:vAlign w:val="bottom"/>
          </w:tcPr>
          <w:p>
            <w:pPr>
              <w:spacing w:after="0"/>
              <w:rPr>
                <w:sz w:val="1"/>
                <w:szCs w:val="1"/>
                <w:color w:val="auto"/>
              </w:rPr>
            </w:pPr>
          </w:p>
        </w:tc>
      </w:tr>
      <w:tr>
        <w:trPr>
          <w:trHeight w:val="223"/>
        </w:trPr>
        <w:tc>
          <w:tcPr>
            <w:tcW w:w="3300" w:type="dxa"/>
            <w:vAlign w:val="bottom"/>
          </w:tcPr>
          <w:p>
            <w:pPr>
              <w:ind w:left="120"/>
              <w:spacing w:after="0" w:line="223" w:lineRule="exact"/>
              <w:rPr>
                <w:sz w:val="20"/>
                <w:szCs w:val="20"/>
                <w:color w:val="auto"/>
              </w:rPr>
            </w:pPr>
            <w:r>
              <w:rPr>
                <w:rFonts w:ascii="Times New Roman" w:cs="Times New Roman" w:eastAsia="Times New Roman" w:hAnsi="Times New Roman"/>
                <w:sz w:val="18"/>
                <w:szCs w:val="18"/>
                <w:color w:val="auto"/>
              </w:rPr>
              <w:t>NMS Goldman Facility</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SPV I Capital One Facility</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223"/>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SPV II Deutsche Bank Facility</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SPV III One Florida Bank Facility</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FHLB Advances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Parent Company Notes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120"/>
              <w:spacing w:after="0" w:line="223" w:lineRule="exact"/>
              <w:rPr>
                <w:sz w:val="20"/>
                <w:szCs w:val="20"/>
                <w:color w:val="auto"/>
              </w:rPr>
            </w:pPr>
            <w:r>
              <w:rPr>
                <w:rFonts w:ascii="Times New Roman" w:cs="Times New Roman" w:eastAsia="Times New Roman" w:hAnsi="Times New Roman"/>
                <w:sz w:val="18"/>
                <w:szCs w:val="18"/>
                <w:color w:val="auto"/>
              </w:rPr>
              <w:t>2025 Notes</w:t>
            </w:r>
            <w:r>
              <w:rPr>
                <w:rFonts w:ascii="Times New Roman" w:cs="Times New Roman" w:eastAsia="Times New Roman" w:hAnsi="Times New Roman"/>
                <w:sz w:val="22"/>
                <w:szCs w:val="22"/>
                <w:color w:val="auto"/>
                <w:vertAlign w:val="superscript"/>
              </w:rPr>
              <w:t>4</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 Notes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0" w:type="dxa"/>
            <w:vAlign w:val="bottom"/>
          </w:tcPr>
          <w:p>
            <w:pPr>
              <w:spacing w:after="0"/>
              <w:rPr>
                <w:sz w:val="1"/>
                <w:szCs w:val="1"/>
                <w:color w:val="auto"/>
              </w:rPr>
            </w:pPr>
          </w:p>
        </w:tc>
      </w:tr>
      <w:tr>
        <w:trPr>
          <w:trHeight w:val="223"/>
        </w:trPr>
        <w:tc>
          <w:tcPr>
            <w:tcW w:w="3300" w:type="dxa"/>
            <w:vAlign w:val="bottom"/>
          </w:tcPr>
          <w:p>
            <w:pPr>
              <w:ind w:left="120"/>
              <w:spacing w:after="0" w:line="223" w:lineRule="exact"/>
              <w:rPr>
                <w:sz w:val="20"/>
                <w:szCs w:val="20"/>
                <w:color w:val="auto"/>
              </w:rPr>
            </w:pPr>
            <w:r>
              <w:rPr>
                <w:rFonts w:ascii="Times New Roman" w:cs="Times New Roman" w:eastAsia="Times New Roman" w:hAnsi="Times New Roman"/>
                <w:sz w:val="18"/>
                <w:szCs w:val="18"/>
                <w:color w:val="auto"/>
              </w:rPr>
              <w:t>2027 Notes</w:t>
            </w:r>
            <w:r>
              <w:rPr>
                <w:rFonts w:ascii="Times New Roman" w:cs="Times New Roman" w:eastAsia="Times New Roman" w:hAnsi="Times New Roman"/>
                <w:sz w:val="22"/>
                <w:szCs w:val="22"/>
                <w:color w:val="auto"/>
                <w:vertAlign w:val="superscript"/>
              </w:rPr>
              <w:t>5</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8.125 %</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2028 Notes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3"/>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8.625 %</w:t>
            </w:r>
          </w:p>
        </w:tc>
        <w:tc>
          <w:tcPr>
            <w:tcW w:w="0" w:type="dxa"/>
            <w:vAlign w:val="bottom"/>
          </w:tcPr>
          <w:p>
            <w:pPr>
              <w:spacing w:after="0"/>
              <w:rPr>
                <w:sz w:val="1"/>
                <w:szCs w:val="1"/>
                <w:color w:val="auto"/>
              </w:rPr>
            </w:pPr>
          </w:p>
        </w:tc>
      </w:tr>
      <w:tr>
        <w:trPr>
          <w:trHeight w:val="223"/>
        </w:trPr>
        <w:tc>
          <w:tcPr>
            <w:tcW w:w="3300" w:type="dxa"/>
            <w:vAlign w:val="bottom"/>
          </w:tcPr>
          <w:p>
            <w:pPr>
              <w:ind w:left="120"/>
              <w:spacing w:after="0" w:line="223" w:lineRule="exact"/>
              <w:rPr>
                <w:sz w:val="20"/>
                <w:szCs w:val="20"/>
                <w:color w:val="auto"/>
              </w:rPr>
            </w:pPr>
            <w:r>
              <w:rPr>
                <w:rFonts w:ascii="Times New Roman" w:cs="Times New Roman" w:eastAsia="Times New Roman" w:hAnsi="Times New Roman"/>
                <w:sz w:val="18"/>
                <w:szCs w:val="18"/>
                <w:color w:val="auto"/>
              </w:rPr>
              <w:t>2030 Notes</w:t>
            </w:r>
            <w:r>
              <w:rPr>
                <w:rFonts w:ascii="Times New Roman" w:cs="Times New Roman" w:eastAsia="Times New Roman" w:hAnsi="Times New Roman"/>
                <w:sz w:val="22"/>
                <w:szCs w:val="22"/>
                <w:color w:val="auto"/>
                <w:vertAlign w:val="superscript"/>
              </w:rPr>
              <w:t>6</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 payable - Securitization Trusts</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0" w:type="dxa"/>
            <w:vAlign w:val="bottom"/>
          </w:tcPr>
          <w:p>
            <w:pPr>
              <w:spacing w:after="0"/>
              <w:rPr>
                <w:sz w:val="1"/>
                <w:szCs w:val="1"/>
                <w:color w:val="auto"/>
              </w:rPr>
            </w:pPr>
          </w:p>
        </w:tc>
      </w:tr>
      <w:tr>
        <w:trPr>
          <w:trHeight w:val="21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borrowings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938,368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748,549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855,977</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708,041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color w:val="auto"/>
        </w:rPr>
        <w:t>Outstanding borrowings that are presented net of deferred financing costs, which include the bank borrowings, the Parent Company Notes, and the Notes payable - Securitization Trusts, consisted of the following:</w:t>
      </w:r>
    </w:p>
    <w:p>
      <w:pPr>
        <w:spacing w:after="0" w:line="84"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4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700" w:type="dxa"/>
            <w:vAlign w:val="bottom"/>
            <w:gridSpan w:val="3"/>
          </w:tcPr>
          <w:p>
            <w:pPr>
              <w:spacing w:after="0"/>
              <w:rPr>
                <w:sz w:val="2"/>
                <w:szCs w:val="2"/>
                <w:color w:val="auto"/>
              </w:rPr>
            </w:pPr>
          </w:p>
        </w:tc>
        <w:tc>
          <w:tcPr>
            <w:tcW w:w="1140" w:type="dxa"/>
            <w:vAlign w:val="bottom"/>
            <w:gridSpan w:val="3"/>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5"/>
        </w:trPr>
        <w:tc>
          <w:tcPr>
            <w:tcW w:w="4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400"/>
              <w:spacing w:after="0" w:line="125" w:lineRule="exact"/>
              <w:rPr>
                <w:sz w:val="20"/>
                <w:szCs w:val="20"/>
                <w:color w:val="auto"/>
              </w:rPr>
            </w:pPr>
            <w:r>
              <w:rPr>
                <w:rFonts w:ascii="Times New Roman" w:cs="Times New Roman" w:eastAsia="Times New Roman" w:hAnsi="Times New Roman"/>
                <w:sz w:val="14"/>
                <w:szCs w:val="14"/>
                <w:color w:val="auto"/>
                <w:w w:val="98"/>
              </w:rPr>
              <w:t>Principal</w:t>
            </w:r>
          </w:p>
        </w:tc>
        <w:tc>
          <w:tcPr>
            <w:tcW w:w="1700" w:type="dxa"/>
            <w:vAlign w:val="bottom"/>
            <w:tcBorders>
              <w:top w:val="single" w:sz="8" w:color="auto"/>
            </w:tcBorders>
            <w:gridSpan w:val="3"/>
          </w:tcPr>
          <w:p>
            <w:pPr>
              <w:jc w:val="right"/>
              <w:ind w:right="420"/>
              <w:spacing w:after="0" w:line="125" w:lineRule="exact"/>
              <w:rPr>
                <w:sz w:val="20"/>
                <w:szCs w:val="20"/>
                <w:color w:val="auto"/>
              </w:rPr>
            </w:pPr>
            <w:r>
              <w:rPr>
                <w:rFonts w:ascii="Times New Roman" w:cs="Times New Roman" w:eastAsia="Times New Roman" w:hAnsi="Times New Roman"/>
                <w:sz w:val="14"/>
                <w:szCs w:val="14"/>
                <w:color w:val="auto"/>
              </w:rPr>
              <w:t>Unamortized deferred</w:t>
            </w:r>
          </w:p>
        </w:tc>
        <w:tc>
          <w:tcPr>
            <w:tcW w:w="880" w:type="dxa"/>
            <w:vAlign w:val="bottom"/>
            <w:tcBorders>
              <w:top w:val="single" w:sz="8" w:color="auto"/>
            </w:tcBorders>
          </w:tcPr>
          <w:p>
            <w:pPr>
              <w:jc w:val="center"/>
              <w:ind w:right="55"/>
              <w:spacing w:after="0" w:line="125" w:lineRule="exact"/>
              <w:rPr>
                <w:sz w:val="20"/>
                <w:szCs w:val="20"/>
                <w:color w:val="auto"/>
              </w:rPr>
            </w:pPr>
            <w:r>
              <w:rPr>
                <w:rFonts w:ascii="Times New Roman" w:cs="Times New Roman" w:eastAsia="Times New Roman" w:hAnsi="Times New Roman"/>
                <w:sz w:val="14"/>
                <w:szCs w:val="14"/>
                <w:color w:val="auto"/>
                <w:w w:val="99"/>
              </w:rPr>
              <w:t>Net carrying</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color w:val="auto"/>
                <w:w w:val="98"/>
              </w:rPr>
              <w:t>Principal</w:t>
            </w:r>
          </w:p>
        </w:tc>
        <w:tc>
          <w:tcPr>
            <w:tcW w:w="1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rPr>
              <w:t>Unamortized deferred</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75"/>
              <w:spacing w:after="0" w:line="125" w:lineRule="exact"/>
              <w:rPr>
                <w:sz w:val="20"/>
                <w:szCs w:val="20"/>
                <w:color w:val="auto"/>
              </w:rPr>
            </w:pPr>
            <w:r>
              <w:rPr>
                <w:rFonts w:ascii="Times New Roman" w:cs="Times New Roman" w:eastAsia="Times New Roman" w:hAnsi="Times New Roman"/>
                <w:sz w:val="14"/>
                <w:szCs w:val="14"/>
                <w:color w:val="auto"/>
              </w:rPr>
              <w:t>Net carrying</w:t>
            </w:r>
          </w:p>
        </w:tc>
      </w:tr>
      <w:tr>
        <w:trPr>
          <w:trHeight w:val="196"/>
        </w:trPr>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8"/>
              </w:rPr>
              <w:t>balance</w:t>
            </w:r>
          </w:p>
        </w:tc>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financing costs</w:t>
            </w:r>
          </w:p>
        </w:tc>
        <w:tc>
          <w:tcPr>
            <w:tcW w:w="1140" w:type="dxa"/>
            <w:vAlign w:val="bottom"/>
            <w:gridSpan w:val="3"/>
          </w:tcPr>
          <w:p>
            <w:pPr>
              <w:jc w:val="center"/>
              <w:ind w:right="400"/>
              <w:spacing w:after="0" w:line="196" w:lineRule="exact"/>
              <w:rPr>
                <w:sz w:val="20"/>
                <w:szCs w:val="20"/>
                <w:color w:val="auto"/>
              </w:rPr>
            </w:pPr>
            <w:r>
              <w:rPr>
                <w:rFonts w:ascii="Times New Roman" w:cs="Times New Roman" w:eastAsia="Times New Roman" w:hAnsi="Times New Roman"/>
                <w:sz w:val="14"/>
                <w:szCs w:val="14"/>
                <w:color w:val="auto"/>
                <w:w w:val="95"/>
              </w:rPr>
              <w:t>amount</w:t>
            </w:r>
            <w:r>
              <w:rPr>
                <w:rFonts w:ascii="Times New Roman" w:cs="Times New Roman" w:eastAsia="Times New Roman" w:hAnsi="Times New Roman"/>
                <w:sz w:val="18"/>
                <w:szCs w:val="18"/>
                <w:color w:val="auto"/>
                <w:w w:val="95"/>
                <w:vertAlign w:val="superscript"/>
              </w:rPr>
              <w:t>1</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balance</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financing costs</w:t>
            </w:r>
          </w:p>
        </w:tc>
        <w:tc>
          <w:tcPr>
            <w:tcW w:w="120" w:type="dxa"/>
            <w:vAlign w:val="bottom"/>
          </w:tcPr>
          <w:p>
            <w:pPr>
              <w:spacing w:after="0"/>
              <w:rPr>
                <w:sz w:val="17"/>
                <w:szCs w:val="17"/>
                <w:color w:val="auto"/>
              </w:rPr>
            </w:pPr>
          </w:p>
        </w:tc>
        <w:tc>
          <w:tcPr>
            <w:tcW w:w="900" w:type="dxa"/>
            <w:vAlign w:val="bottom"/>
          </w:tcPr>
          <w:p>
            <w:pPr>
              <w:jc w:val="right"/>
              <w:ind w:right="195"/>
              <w:spacing w:after="0" w:line="196" w:lineRule="exact"/>
              <w:rPr>
                <w:sz w:val="20"/>
                <w:szCs w:val="20"/>
                <w:color w:val="auto"/>
              </w:rPr>
            </w:pPr>
            <w:r>
              <w:rPr>
                <w:rFonts w:ascii="Times New Roman" w:cs="Times New Roman" w:eastAsia="Times New Roman" w:hAnsi="Times New Roman"/>
                <w:sz w:val="14"/>
                <w:szCs w:val="14"/>
                <w:color w:val="auto"/>
              </w:rPr>
              <w:t>amount</w:t>
            </w:r>
            <w:r>
              <w:rPr>
                <w:rFonts w:ascii="Times New Roman" w:cs="Times New Roman" w:eastAsia="Times New Roman" w:hAnsi="Times New Roman"/>
                <w:sz w:val="18"/>
                <w:szCs w:val="18"/>
                <w:color w:val="auto"/>
                <w:vertAlign w:val="superscript"/>
              </w:rPr>
              <w:t>1</w:t>
            </w:r>
          </w:p>
        </w:tc>
      </w:tr>
      <w:tr>
        <w:trPr>
          <w:trHeight w:val="203"/>
        </w:trPr>
        <w:tc>
          <w:tcPr>
            <w:tcW w:w="3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Bank Borrowings:</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3"/>
        </w:trPr>
        <w:tc>
          <w:tcPr>
            <w:tcW w:w="3320" w:type="dxa"/>
            <w:vAlign w:val="bottom"/>
            <w:gridSpan w:val="2"/>
            <w:shd w:val="clear" w:color="auto" w:fill="CCEEFF"/>
          </w:tcPr>
          <w:p>
            <w:pPr>
              <w:ind w:left="100"/>
              <w:spacing w:after="0" w:line="223" w:lineRule="exact"/>
              <w:rPr>
                <w:sz w:val="20"/>
                <w:szCs w:val="20"/>
                <w:color w:val="auto"/>
              </w:rPr>
            </w:pPr>
            <w:r>
              <w:rPr>
                <w:rFonts w:ascii="Times New Roman" w:cs="Times New Roman" w:eastAsia="Times New Roman" w:hAnsi="Times New Roman"/>
                <w:sz w:val="18"/>
                <w:szCs w:val="18"/>
                <w:color w:val="auto"/>
              </w:rPr>
              <w:t>NMS Webster Note</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32,688</w:t>
            </w:r>
          </w:p>
        </w:tc>
      </w:tr>
      <w:tr>
        <w:trPr>
          <w:trHeight w:val="223"/>
        </w:trPr>
        <w:tc>
          <w:tcPr>
            <w:tcW w:w="332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18"/>
                <w:szCs w:val="18"/>
                <w:color w:val="auto"/>
              </w:rPr>
              <w:t>NMS Goldman Facility</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SPV I Capital One Facility</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21,192</w:t>
            </w:r>
          </w:p>
        </w:tc>
      </w:tr>
      <w:tr>
        <w:trPr>
          <w:trHeight w:val="223"/>
        </w:trPr>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SPV II Deutsche Bank Facility</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54,036</w:t>
            </w:r>
          </w:p>
        </w:tc>
      </w:tr>
      <w:tr>
        <w:trPr>
          <w:trHeight w:val="223"/>
        </w:trPr>
        <w:tc>
          <w:tcPr>
            <w:tcW w:w="3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SPV III One Florida Bank Facility</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23,011</w:t>
            </w:r>
          </w:p>
        </w:tc>
      </w:tr>
      <w:tr>
        <w:trPr>
          <w:trHeight w:val="223"/>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Company Notes: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3320" w:type="dxa"/>
            <w:vAlign w:val="bottom"/>
            <w:gridSpan w:val="2"/>
            <w:shd w:val="clear" w:color="auto" w:fill="CCEEFF"/>
          </w:tcPr>
          <w:p>
            <w:pPr>
              <w:ind w:left="100"/>
              <w:spacing w:after="0" w:line="223" w:lineRule="exact"/>
              <w:rPr>
                <w:sz w:val="20"/>
                <w:szCs w:val="20"/>
                <w:color w:val="auto"/>
              </w:rPr>
            </w:pPr>
            <w:r>
              <w:rPr>
                <w:rFonts w:ascii="Times New Roman" w:cs="Times New Roman" w:eastAsia="Times New Roman" w:hAnsi="Times New Roman"/>
                <w:sz w:val="18"/>
                <w:szCs w:val="18"/>
                <w:color w:val="auto"/>
              </w:rPr>
              <w:t>2025 Notes (5.00%)</w:t>
            </w:r>
            <w:r>
              <w:rPr>
                <w:rFonts w:ascii="Times New Roman" w:cs="Times New Roman" w:eastAsia="Times New Roman" w:hAnsi="Times New Roman"/>
                <w:sz w:val="22"/>
                <w:szCs w:val="22"/>
                <w:color w:val="auto"/>
                <w:vertAlign w:val="superscript"/>
              </w:rPr>
              <w:t>3</w:t>
            </w:r>
          </w:p>
        </w:tc>
        <w:tc>
          <w:tcPr>
            <w:tcW w:w="1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r>
      <w:tr>
        <w:trPr>
          <w:trHeight w:val="223"/>
        </w:trPr>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2026</w:t>
            </w: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(5.50%)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114,282</w:t>
            </w:r>
          </w:p>
        </w:tc>
      </w:tr>
      <w:tr>
        <w:trPr>
          <w:trHeight w:val="223"/>
        </w:trPr>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2027</w:t>
            </w:r>
          </w:p>
        </w:tc>
        <w:tc>
          <w:tcPr>
            <w:tcW w:w="2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 (8.125%)</w:t>
            </w:r>
            <w:r>
              <w:rPr>
                <w:rFonts w:ascii="Times New Roman" w:cs="Times New Roman" w:eastAsia="Times New Roman" w:hAnsi="Times New Roman"/>
                <w:sz w:val="22"/>
                <w:szCs w:val="22"/>
                <w:color w:val="auto"/>
                <w:vertAlign w:val="superscript"/>
              </w:rPr>
              <w:t>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49,944</w:t>
            </w:r>
          </w:p>
        </w:tc>
      </w:tr>
      <w:tr>
        <w:trPr>
          <w:trHeight w:val="223"/>
        </w:trPr>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2028</w:t>
            </w: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(8.00%)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38,726</w:t>
            </w:r>
          </w:p>
        </w:tc>
      </w:tr>
      <w:tr>
        <w:trPr>
          <w:trHeight w:val="223"/>
        </w:trPr>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2029</w:t>
            </w: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(8.50%)</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69,622</w:t>
            </w:r>
          </w:p>
        </w:tc>
      </w:tr>
      <w:tr>
        <w:trPr>
          <w:trHeight w:val="223"/>
        </w:trPr>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2029</w:t>
            </w: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(8.625%)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72,662</w:t>
            </w:r>
          </w:p>
        </w:tc>
      </w:tr>
      <w:tr>
        <w:trPr>
          <w:trHeight w:val="223"/>
        </w:trPr>
        <w:tc>
          <w:tcPr>
            <w:tcW w:w="3320" w:type="dxa"/>
            <w:vAlign w:val="bottom"/>
            <w:gridSpan w:val="2"/>
            <w:shd w:val="clear" w:color="auto" w:fill="CCEEFF"/>
          </w:tcPr>
          <w:p>
            <w:pPr>
              <w:ind w:left="100"/>
              <w:spacing w:after="0" w:line="223" w:lineRule="exact"/>
              <w:rPr>
                <w:sz w:val="20"/>
                <w:szCs w:val="20"/>
                <w:color w:val="auto"/>
              </w:rPr>
            </w:pPr>
            <w:r>
              <w:rPr>
                <w:rFonts w:ascii="Times New Roman" w:cs="Times New Roman" w:eastAsia="Times New Roman" w:hAnsi="Times New Roman"/>
                <w:sz w:val="18"/>
                <w:szCs w:val="18"/>
                <w:color w:val="auto"/>
              </w:rPr>
              <w:t>2030 Notes (8.375%)</w:t>
            </w:r>
            <w:r>
              <w:rPr>
                <w:rFonts w:ascii="Times New Roman" w:cs="Times New Roman" w:eastAsia="Times New Roman" w:hAnsi="Times New Roman"/>
                <w:sz w:val="22"/>
                <w:szCs w:val="22"/>
                <w:color w:val="auto"/>
                <w:vertAlign w:val="superscript"/>
              </w:rPr>
              <w:t>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 Securitization Trusts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186,635</w:t>
            </w:r>
          </w:p>
        </w:tc>
      </w:tr>
    </w:tbl>
    <w:p>
      <w:pPr>
        <w:spacing w:after="0" w:line="24" w:lineRule="exact"/>
        <w:rPr>
          <w:sz w:val="20"/>
          <w:szCs w:val="20"/>
          <w:color w:val="auto"/>
        </w:rPr>
      </w:pPr>
    </w:p>
    <w:p>
      <w:pPr>
        <w:ind w:left="180" w:hanging="175"/>
        <w:spacing w:after="0"/>
        <w:tabs>
          <w:tab w:leader="none" w:pos="18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of deferred financing costs.</w:t>
      </w:r>
    </w:p>
    <w:p>
      <w:pPr>
        <w:ind w:left="280" w:hanging="275"/>
        <w:spacing w:after="0" w:line="190" w:lineRule="auto"/>
        <w:tabs>
          <w:tab w:leader="none" w:pos="28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September 26, 2025, the NMS Webster Note was repaid in full. Refer to more detailed information below.</w:t>
      </w:r>
    </w:p>
    <w:p>
      <w:pPr>
        <w:ind w:left="240" w:hanging="235"/>
        <w:spacing w:after="0" w:line="191" w:lineRule="auto"/>
        <w:tabs>
          <w:tab w:leader="none" w:pos="24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September 26, 2025, NMS entered into the Goldman Facility. Refer to more detailed information below.</w:t>
      </w:r>
    </w:p>
    <w:p>
      <w:pPr>
        <w:ind w:left="240" w:hanging="235"/>
        <w:spacing w:after="0" w:line="191" w:lineRule="auto"/>
        <w:tabs>
          <w:tab w:leader="none" w:pos="24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31, 2025, the 2025 5.00% Notes matured.</w:t>
      </w:r>
    </w:p>
    <w:p>
      <w:pPr>
        <w:spacing w:after="0" w:line="1" w:lineRule="exact"/>
        <w:rPr>
          <w:sz w:val="20"/>
          <w:szCs w:val="20"/>
          <w:color w:val="auto"/>
        </w:rPr>
      </w:pPr>
    </w:p>
    <w:p>
      <w:pPr>
        <w:ind w:left="160" w:right="320" w:hanging="155"/>
        <w:spacing w:after="0" w:line="226" w:lineRule="auto"/>
        <w:tabs>
          <w:tab w:leader="none" w:pos="234"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60" w:right="280"/>
        <w:spacing w:after="0" w:line="247" w:lineRule="auto"/>
        <w:rPr>
          <w:sz w:val="20"/>
          <w:szCs w:val="20"/>
          <w:color w:val="auto"/>
        </w:rPr>
      </w:pPr>
      <w:r>
        <w:rPr>
          <w:rFonts w:ascii="Times New Roman" w:cs="Times New Roman" w:eastAsia="Times New Roman" w:hAnsi="Times New Roman"/>
          <w:sz w:val="18"/>
          <w:szCs w:val="18"/>
          <w:color w:val="auto"/>
        </w:rPr>
        <w:t>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spacing w:after="0" w:line="1" w:lineRule="exact"/>
        <w:rPr>
          <w:sz w:val="20"/>
          <w:szCs w:val="20"/>
          <w:color w:val="auto"/>
        </w:rPr>
      </w:pPr>
    </w:p>
    <w:p>
      <w:pPr>
        <w:ind w:left="160" w:right="40" w:hanging="155"/>
        <w:spacing w:after="0" w:line="218" w:lineRule="auto"/>
        <w:tabs>
          <w:tab w:leader="none" w:pos="234"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19, 2025, the Company closed an exempt offering of $30.0 million in aggregate principal amount of its 2030 Notes. The 2030 Notes bear interest at a rate of 8.375% per year payable semiannually on April 1 and October 1 each year, beginning October 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Notes</w:t>
      </w:r>
    </w:p>
    <w:p>
      <w:pPr>
        <w:spacing w:after="0" w:line="24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On March 19, 2025, the Company closed an exempt offering of $30.0 million in aggregate principal amount of its 2030 Notes. The offering was consummated pursuant to the terms of a purchase agreement dated March 19, 2025 among the Company and eleven institutional accredited investors (each a “Purchaser”). Pursuant to the purchase agreement, the 2030 Notes were issued to the Purchaser in a private placement in reliance on Section 4(a)(2) of the Securities Act of 1933, as amended (the “Securities Act”). The 2030 Notes are scheduled to mature on April 1, 2030 and can be redeemed in whole or in part at any time, at a make-whole price prior to January 1, 2030, or at a price equal to 100% of the principal amount of the Notes to be redeemed, plus accrued and unpaid interest, if any, thereafter. The 2030 Notes bear interest at a rate of 8.375% per year payable semiannually on April 1 and October 1 each year, beginning October 1, 2025. Total net proceeds received after deducting structuring fees and estimated offering expenses was approximately $29.25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NMS Webster Note</w:t>
      </w:r>
    </w:p>
    <w:p>
      <w:pPr>
        <w:spacing w:after="0" w:line="2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On September 26, 2025, the Company’s wholly-owned subsidiary NMS repaid in full all of the outstanding obligations under that certain Credit Agreement, dated as of November 8, 2018. As a result, the Webster Credit Agreement and the other loan documents executed in connection therewith have been terminated, including that certain Parent Guaranty Agreement, dated as of November 8, 2018, by and between the Company and Webster Bank. No early termination penalties were incurred by the Company or the Loan Parties as a result of the termination. As a result of the termination, the Company recognized a $0.2 million loss on extinguishment of debt.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NMS Goldman Facility</w:t>
      </w:r>
    </w:p>
    <w:p>
      <w:pPr>
        <w:spacing w:after="0" w:line="216"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6"/>
          <w:szCs w:val="16"/>
          <w:color w:val="auto"/>
        </w:rPr>
        <w:t>On September 26, 2025, NMS and its wholly-owned subsidiary, Mobil Money, LLC (collectively, the “Borrowers”), together with NBSH Holdings, LLC, the direct sole member of NMS, as guarantor, entered into a Credit and Guaranty Agreement (the “Goldman Credit Agreement”), with Private Credit at Goldman Sachs Alternatives ("Goldman") as Administrative Agent and Collateral Agent thereunder and the lenders party thereto from time to time (the “Lenders”).</w:t>
      </w:r>
    </w:p>
    <w:p>
      <w:pPr>
        <w:ind w:right="40"/>
        <w:spacing w:after="0" w:line="245" w:lineRule="auto"/>
        <w:rPr>
          <w:sz w:val="20"/>
          <w:szCs w:val="20"/>
          <w:color w:val="auto"/>
        </w:rPr>
      </w:pPr>
      <w:r>
        <w:rPr>
          <w:rFonts w:ascii="Times New Roman" w:cs="Times New Roman" w:eastAsia="Times New Roman" w:hAnsi="Times New Roman"/>
          <w:sz w:val="18"/>
          <w:szCs w:val="18"/>
          <w:color w:val="auto"/>
        </w:rPr>
        <w:t>Pursuant to the terms of the Goldman Credit Agreement, the Lenders made available to the Borrowers term loans up to an aggregate principal amount of $90.0 million (the “Term Loans”) and a revolving facility up to an aggregate principal amount of $5.0 million (together with the Term Loans, collectively the “Goldman Facility”). The Goldman Facility will mature on September 26, 2030. The Company incurred approximately $1.4 million of deferred financing costs in connection with the Goldman Facility.</w:t>
      </w:r>
    </w:p>
    <w:p>
      <w:pPr>
        <w:spacing w:after="0" w:line="215"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6"/>
          <w:szCs w:val="16"/>
          <w:color w:val="auto"/>
        </w:rPr>
        <w:t>On September 26, 2025, the Borrowers drew down the full $90.0 million in Term Loans and used the proceeds to repay in full the outstanding amounts under the Webster Facility and pay transaction expenses related to the closing of the Goldman Facility. In addition, the Borrowers used the proceeds to fund</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$58.5 million of loans to the Company. The Company intends to use the proceeds of such loans to repay and reduce the Company’s outstanding unsecured debt, repurchase Company common shares (subject to market conditions and the terms of existing or any future share repurchase authorizations by the Company’s board of directors) and for other general corporate purposes.</w:t>
      </w:r>
    </w:p>
    <w:p>
      <w:pPr>
        <w:spacing w:after="0" w:line="21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Pursuant to the terms of the guaranty under the Goldman Credit Agreement, NBSH has unconditionally guaranteed the prompt and unconditional payment of all of the Borrowers’ obligations under the Goldman Credit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SPV I Capital One Facility</w:t>
      </w:r>
    </w:p>
    <w:p>
      <w:pPr>
        <w:spacing w:after="0" w:line="216"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Newtek ALP Holdings’ subsidiary (our indirect subsidiary) SPV I maintains a credit facility with Capital One. On July 28, 2025 the facility was upsized to maximum borrowings of $100.0 million. Capital One’s commitments to fund new amounts terminate in July 2027, with all amounts due under the Facility maturing in July 2028. The Company incurred approximately $0.6 million of deferred financing costs in connection with this upsize.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expense including unused line fees and amortization of deferred financing costs related to borrowings for the three and nine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3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7"/>
        </w:trPr>
        <w:tc>
          <w:tcPr>
            <w:tcW w:w="29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30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38,923</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12—DERIVATIVE INSTRUMENTS:</w:t>
      </w:r>
    </w:p>
    <w:p>
      <w:pPr>
        <w:spacing w:after="0" w:line="24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September 30, 2025 and December 31, 2024:</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September 30, 2025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80" w:type="dxa"/>
            <w:vAlign w:val="bottom"/>
          </w:tcPr>
          <w:p>
            <w:pPr>
              <w:spacing w:after="0"/>
              <w:rPr>
                <w:sz w:val="16"/>
                <w:szCs w:val="16"/>
                <w:color w:val="auto"/>
              </w:rPr>
            </w:pPr>
          </w:p>
        </w:tc>
      </w:tr>
      <w:tr>
        <w:trPr>
          <w:trHeight w:val="24"/>
        </w:trPr>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gridSpan w:val="5"/>
          </w:tcPr>
          <w:p>
            <w:pPr>
              <w:spacing w:after="0"/>
              <w:rPr>
                <w:sz w:val="2"/>
                <w:szCs w:val="2"/>
                <w:color w:val="auto"/>
              </w:rPr>
            </w:pPr>
          </w:p>
        </w:tc>
        <w:tc>
          <w:tcPr>
            <w:tcW w:w="136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gridSpan w:val="5"/>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r>
      <w:tr>
        <w:trPr>
          <w:trHeight w:val="191"/>
        </w:trPr>
        <w:tc>
          <w:tcPr>
            <w:tcW w:w="23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Contract Type</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r>
              <w:rPr>
                <w:rFonts w:ascii="Times New Roman" w:cs="Times New Roman" w:eastAsia="Times New Roman" w:hAnsi="Times New Roman"/>
                <w:sz w:val="9"/>
                <w:szCs w:val="9"/>
                <w:b w:val="1"/>
                <w:bCs w:val="1"/>
                <w:color w:val="auto"/>
              </w:rPr>
              <w:t>1</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w:t>
            </w:r>
            <w:r>
              <w:rPr>
                <w:rFonts w:ascii="Times New Roman" w:cs="Times New Roman" w:eastAsia="Times New Roman" w:hAnsi="Times New Roman"/>
                <w:sz w:val="9"/>
                <w:szCs w:val="9"/>
                <w:b w:val="1"/>
                <w:bCs w:val="1"/>
                <w:color w:val="auto"/>
              </w:rPr>
              <w:t>2</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w:t>
            </w:r>
            <w:r>
              <w:rPr>
                <w:rFonts w:ascii="Times New Roman" w:cs="Times New Roman" w:eastAsia="Times New Roman" w:hAnsi="Times New Roman"/>
                <w:sz w:val="9"/>
                <w:szCs w:val="9"/>
                <w:b w:val="1"/>
                <w:bCs w:val="1"/>
                <w:color w:val="auto"/>
              </w:rPr>
              <w:t>3</w:t>
            </w:r>
          </w:p>
        </w:tc>
        <w:tc>
          <w:tcPr>
            <w:tcW w:w="100" w:type="dxa"/>
            <w:vAlign w:val="bottom"/>
          </w:tcPr>
          <w:p>
            <w:pPr>
              <w:spacing w:after="0"/>
              <w:rPr>
                <w:sz w:val="16"/>
                <w:szCs w:val="16"/>
                <w:color w:val="auto"/>
              </w:rPr>
            </w:pPr>
          </w:p>
        </w:tc>
        <w:tc>
          <w:tcPr>
            <w:tcW w:w="1360" w:type="dxa"/>
            <w:vAlign w:val="bottom"/>
            <w:gridSpan w:val="3"/>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Maturity (years)</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r>
              <w:rPr>
                <w:rFonts w:ascii="Times New Roman" w:cs="Times New Roman" w:eastAsia="Times New Roman" w:hAnsi="Times New Roman"/>
                <w:sz w:val="9"/>
                <w:szCs w:val="9"/>
                <w:b w:val="1"/>
                <w:bCs w:val="1"/>
                <w:color w:val="auto"/>
              </w:rPr>
              <w:t>1</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w:t>
            </w:r>
            <w:r>
              <w:rPr>
                <w:rFonts w:ascii="Times New Roman" w:cs="Times New Roman" w:eastAsia="Times New Roman" w:hAnsi="Times New Roman"/>
                <w:sz w:val="9"/>
                <w:szCs w:val="9"/>
                <w:b w:val="1"/>
                <w:bCs w:val="1"/>
                <w:color w:val="auto"/>
              </w:rPr>
              <w:t>2</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w:t>
            </w:r>
            <w:r>
              <w:rPr>
                <w:rFonts w:ascii="Times New Roman" w:cs="Times New Roman" w:eastAsia="Times New Roman" w:hAnsi="Times New Roman"/>
                <w:sz w:val="9"/>
                <w:szCs w:val="9"/>
                <w:b w:val="1"/>
                <w:bCs w:val="1"/>
                <w:color w:val="auto"/>
              </w:rPr>
              <w:t>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(years)</w:t>
            </w:r>
          </w:p>
        </w:tc>
      </w:tr>
      <w:tr>
        <w:trPr>
          <w:trHeight w:val="223"/>
        </w:trPr>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5-year Treasury Futures</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0.25 years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0.25 years</w:t>
            </w:r>
          </w:p>
        </w:tc>
      </w:tr>
    </w:tbl>
    <w:p>
      <w:pPr>
        <w:spacing w:after="0" w:line="28" w:lineRule="exact"/>
        <w:rPr>
          <w:sz w:val="20"/>
          <w:szCs w:val="20"/>
          <w:color w:val="auto"/>
        </w:rPr>
      </w:pPr>
    </w:p>
    <w:p>
      <w:pPr>
        <w:ind w:left="180" w:hanging="175"/>
        <w:spacing w:after="0"/>
        <w:tabs>
          <w:tab w:leader="none" w:pos="18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Shown as a negative number when the position is sold short.</w:t>
      </w:r>
    </w:p>
    <w:p>
      <w:pPr>
        <w:ind w:left="280" w:hanging="275"/>
        <w:spacing w:after="0" w:line="190" w:lineRule="auto"/>
        <w:tabs>
          <w:tab w:leader="none" w:pos="2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Shown in Other assets in the accompanying Consolidated Statements of Financial Condition.</w:t>
      </w:r>
    </w:p>
    <w:p>
      <w:pPr>
        <w:ind w:left="240" w:hanging="235"/>
        <w:spacing w:after="0" w:line="199" w:lineRule="auto"/>
        <w:tabs>
          <w:tab w:leader="none" w:pos="2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Shown in Accounts payable, accrued expenses, and other liabilities in the accompanying Consolidated Statements of Financial Condition.</w:t>
      </w:r>
    </w:p>
    <w:p>
      <w:pPr>
        <w:spacing w:after="0" w:line="22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following table indicates the net realized gains (losses) and unrealized appreciation (depreciation) on derivatives as included in Other noninterest income in the Consolidated Statements of Income for the three and nine months ended September 30, 2025 and 2024:</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Pr>
          <w:p>
            <w:pPr>
              <w:spacing w:after="0"/>
              <w:rPr>
                <w:sz w:val="16"/>
                <w:szCs w:val="16"/>
                <w:color w:val="auto"/>
              </w:rPr>
            </w:pPr>
          </w:p>
        </w:tc>
      </w:tr>
      <w:tr>
        <w:trPr>
          <w:trHeight w:val="24"/>
        </w:trPr>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20" w:type="dxa"/>
            <w:vAlign w:val="bottom"/>
            <w:gridSpan w:val="4"/>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gridSpan w:val="4"/>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gridSpan w:val="4"/>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r>
      <w:tr>
        <w:trPr>
          <w:trHeight w:val="184"/>
        </w:trPr>
        <w:tc>
          <w:tcPr>
            <w:tcW w:w="13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18"/>
        </w:trPr>
        <w:tc>
          <w:tcPr>
            <w:tcW w:w="13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Realized</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Realized</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Realized</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Realized</w:t>
            </w:r>
          </w:p>
        </w:tc>
      </w:tr>
      <w:tr>
        <w:trPr>
          <w:trHeight w:val="177"/>
        </w:trPr>
        <w:tc>
          <w:tcPr>
            <w:tcW w:w="132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Contract Type</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Appreciation/(Depreciation)</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Gain/(Loss)</w:t>
            </w:r>
          </w:p>
        </w:tc>
        <w:tc>
          <w:tcPr>
            <w:tcW w:w="16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Appreciation/(Depreciation)</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Gain/(Loss)</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Appreciation/(Depreciation)</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Gain/(Loss)</w:t>
            </w:r>
          </w:p>
        </w:tc>
        <w:tc>
          <w:tcPr>
            <w:tcW w:w="16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Appreciation/(Depreciation)</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Gain/(Loss)</w:t>
            </w:r>
          </w:p>
        </w:tc>
      </w:tr>
      <w:tr>
        <w:trPr>
          <w:trHeight w:val="171"/>
        </w:trPr>
        <w:tc>
          <w:tcPr>
            <w:tcW w:w="132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5-year Treasury</w:t>
            </w: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237"/>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(2,015)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(3,393)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(1,527)</w:t>
            </w:r>
          </w:p>
        </w:tc>
      </w:tr>
    </w:tbl>
    <w:p>
      <w:pPr>
        <w:spacing w:after="0" w:line="24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Employment Commitments</w:t>
      </w:r>
    </w:p>
    <w:p>
      <w:pPr>
        <w:spacing w:after="0" w:line="21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Company leases office space and other office equipment in several states under operating lease agreements which expire at various dates through 2030. Those office space leases which are for more than one year generally contain scheduled rent increases or escalation clauses. In addition, during 2025, the Company entered into one-year employment agreements with its named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Terminations</w:t>
      </w:r>
    </w:p>
    <w:p>
      <w:pPr>
        <w:spacing w:after="0" w:line="24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April 10, 2025, NSBF entered into a Lease Termination and Surrender Agreement with respect to office space leased at 1981 Marcus Avenue, Lake Success, NY 11042, which lease had an expiration date of March 31, 2027, to terminate the lease effective April 30, 2025. In addition, on April 11, 2025, NSBF entered into an Early Termination Agreement to terminate an additional lease for office space at 1985 Marcus Avenue, Lake Success, NY 11042, which lease had an expiration date of March 31, 2027, to terminate the lease effective April 11, 2025.</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8"/>
          <w:szCs w:val="18"/>
          <w:color w:val="auto"/>
        </w:rPr>
        <w:t>The following summarizes the Company’s obligations and commitments, as of September 30, 2025 for future minimum cash payments required under operating lease and employment agreements: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7"/>
                <w:szCs w:val="17"/>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7"/>
                <w:szCs w:val="17"/>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Employment Agreements</w:t>
            </w:r>
            <w:r>
              <w:rPr>
                <w:rFonts w:ascii="Times New Roman" w:cs="Times New Roman" w:eastAsia="Times New Roman" w:hAnsi="Times New Roman"/>
                <w:sz w:val="18"/>
                <w:szCs w:val="18"/>
                <w:b w:val="1"/>
                <w:bCs w:val="1"/>
                <w:color w:val="auto"/>
                <w:vertAlign w:val="superscript"/>
              </w:rPr>
              <w:t>1</w:t>
            </w:r>
          </w:p>
        </w:tc>
        <w:tc>
          <w:tcPr>
            <w:tcW w:w="500" w:type="dxa"/>
            <w:vAlign w:val="bottom"/>
          </w:tcPr>
          <w:p>
            <w:pPr>
              <w:spacing w:after="0"/>
              <w:rPr>
                <w:sz w:val="17"/>
                <w:szCs w:val="17"/>
                <w:color w:val="auto"/>
              </w:rPr>
            </w:pPr>
          </w:p>
        </w:tc>
        <w:tc>
          <w:tcPr>
            <w:tcW w:w="158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2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23"/>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42"/>
        </w:trPr>
        <w:tc>
          <w:tcPr>
            <w:tcW w:w="47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180" w:hanging="175"/>
        <w:spacing w:after="0"/>
        <w:tabs>
          <w:tab w:leader="none" w:pos="18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Employment agreements with the Company’s named executive officers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3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6"/>
          <w:szCs w:val="16"/>
          <w:color w:val="auto"/>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spacing w:after="0" w:line="187"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spacing w:after="0" w:line="206"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spacing w:after="0" w:line="221"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color w:val="auto"/>
        </w:rPr>
        <w:t>In addition. as a result of a litigation brought by the Federal Trade Commission (the “FTC”) in October 2012, NMS voluntarily entered into, and continues to operate under, a permanent injunction with respect to certain of its business practices.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Commitments</w:t>
      </w:r>
    </w:p>
    <w:p>
      <w:pPr>
        <w:spacing w:after="0" w:line="244"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18"/>
          <w:szCs w:val="18"/>
          <w:color w:val="auto"/>
        </w:rPr>
        <w:t>At September 30, 2025, the Company had $106.4 million of unfunded commitments consisting of $29.1 million in connection with its SBA 7(a) loans, $69.8 million in connection with its SBA 504 loans, and $7.5 million relating to commercial and industrial loans. The Company funds these commitments from the same sources it uses to fund its other loan commitments.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14—SHAREHOLDERS EQUITY: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44"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8"/>
          <w:szCs w:val="18"/>
          <w:color w:val="auto"/>
        </w:rPr>
        <w:t>On February 3, 2023, the Company entered into a Securities Purchase Agreement (the “Securities Purchase Agreement”) with Patriot Financial Partners IV, L.P., and Patriot Financial Partners Parallel IV, L.P. (collectively, “Patriot”) in respect of 20 thousand shares of the Company’s Series A Convertible Preferred Stock, par value $0.02 per share (the “Series A Preferred Stock”), in a private placement transaction. The aggregate purchase price was $20.0 million. Each share of Series A Preferred Stock was issued at a price of $1.0 thousand per share and was convertible at Patriot’s option into 47.54 shares of the Company’s Common Stock. The Company had not issued preferred stock prior to February 3, 2023.</w:t>
      </w:r>
    </w:p>
    <w:p>
      <w:pPr>
        <w:spacing w:after="0" w:line="21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On September 16, 2025, the Company entered into a Securities Purchase and Exchange Agreement (the “Purchase and Exchange Agreement”) with Patriot, pursuant to which Patriot exchanged (i) the 20 thousand outstanding shares of the Company’s Series A Preferred Stock originally issued to Patriot for an aggregate purchase price of $20.0 million and (ii) $10 million in cash, for 2,307,692 shares of the Company’s Common Stock (the “Shares”). Patriot is subject to restrictions on transferring the Shares for two years following the date of the Purchase and Exchange Agreement without the Company’s consent, subject to certain customary exceptions.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4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On August 20, 2025, the Company closed an offering of 2,000,000 depository shares (the “Depository Shares”), each representing a 1/40th interest in a share of the Company’s 8.500% Fixed-Rate Reset Non-Cumulative Perpetual Preferred Stock, Series B (the “Series B Preferred Stock”), with a liquidation preference of $1,000 per share (equivalent to $25.00 per Depositary Share). The offering generated approximately $48.357 million in net proceeds to the Company. The newly issued Series B Preferred Stock will pay (and the holders of the Depository Shares will correspondingly receive) a non-cumulative 8.500% per annum cash dividend (payable quarterly when, as and if declared by the Company’s Board, on January 1, April 1, July 1 and October 1 of each year, beginning on October 1, 2025) through October 1, 2030, at which time the dividend rate will reset based on the five-year US treasury rate on the relevant determination date plus a fixed spread and thereafter will reset on the fifth anniversary of the preceding reset date, with the dividend rate determined in the same manner. The Depository Shares are listed on the Nasdaq Global Market</w:t>
      </w:r>
      <w:r>
        <w:rPr>
          <w:rFonts w:ascii="Arial" w:cs="Arial" w:eastAsia="Arial" w:hAnsi="Arial"/>
          <w:sz w:val="21"/>
          <w:szCs w:val="21"/>
          <w:color w:val="auto"/>
          <w:vertAlign w:val="superscript"/>
        </w:rPr>
        <w:t>®</w:t>
      </w:r>
      <w:r>
        <w:rPr>
          <w:rFonts w:ascii="Times New Roman" w:cs="Times New Roman" w:eastAsia="Times New Roman" w:hAnsi="Times New Roman"/>
          <w:sz w:val="17"/>
          <w:szCs w:val="17"/>
          <w:color w:val="auto"/>
        </w:rPr>
        <w:t xml:space="preserve"> under the ticker symbol “NEWTP.” The Company has not subsequently issued any preferred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for Common Stock</w:t>
      </w:r>
    </w:p>
    <w:p>
      <w:pPr>
        <w:spacing w:after="0" w:line="24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On February 3, 2023, pursuant to the Securities Purchase Agreement, the Company issued warrants to Patriot to purchase, in the aggregate, 47.54 thousand shares of Common Stock for $21.03 per share. The Warrants are exercisable in whole or in part until the ten year anniversary of the entry into the Securities Purchase Agreement and may be exercised for cash or on a “net share” basis, with the number of shares withheld determined based on the closing price of the Common Stock on the date of such exercise. Warrants are included in Accounts payable, accrued expenses and other liabilities on the Consolidated Statements of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3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The Company’s shelf registration statement on Form S-3 was declared effective by the SEC on July 27, 2023. On November 17, 2023, the Company entered into an ATM equity distribution agreement (the “Original ATM Equity Distribution Agreement”). The Original ATM Equity Distribution Agreement provided that the Company may offer and sell up to 3.0 million shares of Common Stock from time to time through the placement agents thereunder (the “ATM Program”). The Original ATM Equity Distribution Agreement was amended and restated on June 6, 2025 (the “Amended and Restated Equity Distribution Agreement”). The Amended and Restated Equity Distribution Agreement provides that the Company may offer and sell up to 5.0 million shares of Common Stock from time to time through the placement agents thereunder (inclusive of shares of Common Stock sold under the Original ATM Distribution Agreement) and added certain additional placement agents. The Company may, subject to market conditions, engage in activity under the ATM Program.</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shares sold and net proceeds received under the ATM Program:</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336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40" w:type="dxa"/>
            <w:vAlign w:val="bottom"/>
            <w:tcBorders>
              <w:bottom w:val="single" w:sz="8" w:color="auto"/>
            </w:tcBorders>
          </w:tcPr>
          <w:p>
            <w:pPr>
              <w:spacing w:after="0"/>
              <w:rPr>
                <w:sz w:val="20"/>
                <w:szCs w:val="20"/>
                <w:color w:val="auto"/>
              </w:rPr>
            </w:pPr>
          </w:p>
        </w:tc>
      </w:tr>
      <w:tr>
        <w:trPr>
          <w:trHeight w:val="217"/>
        </w:trPr>
        <w:tc>
          <w:tcPr>
            <w:tcW w:w="36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r>
      <w:tr>
        <w:trPr>
          <w:trHeight w:val="21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sold</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weighted average price per share</w:t>
            </w:r>
          </w:p>
        </w:tc>
        <w:tc>
          <w:tcPr>
            <w:tcW w:w="12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Pr>
          <w:p>
            <w:pPr>
              <w:spacing w:after="0"/>
              <w:rPr>
                <w:sz w:val="19"/>
                <w:szCs w:val="19"/>
                <w:color w:val="auto"/>
              </w:rPr>
            </w:pPr>
          </w:p>
        </w:tc>
        <w:tc>
          <w:tcPr>
            <w:tcW w:w="14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Pr>
          <w:p>
            <w:pPr>
              <w:spacing w:after="0"/>
              <w:rPr>
                <w:sz w:val="19"/>
                <w:szCs w:val="19"/>
                <w:color w:val="auto"/>
              </w:rPr>
            </w:pPr>
          </w:p>
        </w:tc>
        <w:tc>
          <w:tcPr>
            <w:tcW w:w="128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w:t>
            </w:r>
          </w:p>
        </w:tc>
        <w:tc>
          <w:tcPr>
            <w:tcW w:w="124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13,818</w:t>
            </w:r>
          </w:p>
        </w:tc>
      </w:tr>
      <w:tr>
        <w:trPr>
          <w:trHeight w:val="22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agent fees paid</w:t>
            </w:r>
          </w:p>
        </w:tc>
        <w:tc>
          <w:tcPr>
            <w:tcW w:w="12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14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128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bl>
    <w:p>
      <w:pPr>
        <w:spacing w:after="0" w:line="292"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color w:val="auto"/>
        </w:rPr>
        <w:t>We used the net proceeds for funding investments in accordance with our investment objective and strategies and for general corporate purposes including repaying outstanding indebtedness and other general corporate purposes.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and Debt Repurchase Programs</w:t>
      </w:r>
    </w:p>
    <w:p>
      <w:pPr>
        <w:spacing w:after="0" w:line="24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On November 1, 2024, the Company’s Board of Directors approved a new stock repurchase program granting the Company authority to repurchase up to 1.0 million shares of Company common stock during the following twelve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Common Shares repurchased and net proceeds received under the stock repurchase program:</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7"/>
        </w:trPr>
        <w:tc>
          <w:tcPr>
            <w:tcW w:w="36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weighted average price per share</w:t>
            </w:r>
          </w:p>
        </w:tc>
        <w:tc>
          <w:tcPr>
            <w:tcW w:w="132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w:t>
            </w:r>
          </w:p>
        </w:tc>
        <w:tc>
          <w:tcPr>
            <w:tcW w:w="132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2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In addition, on September 11, 2025, the Board approved a debt repurchase program granting the Company authority to repurchase up to $5.0 million aggregate principal amount of the Company’s 2029 Notes during the following six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debt securities under this debt repurchase program. Pursuant to the debt repurchase program, the Company repurchased 2,700 shares of its 2029 8.50% Notes on September 22, 2025.</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4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The Company’s dividends and distributions on its Preferred Stock are recorded on the declaration date. The following table summarizes dividend declarations and distributions on the Series A and Series B Preferred Stock during the nine months ended September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Series</w:t>
            </w:r>
            <w:r>
              <w:rPr>
                <w:rFonts w:ascii="Times New Roman" w:cs="Times New Roman" w:eastAsia="Times New Roman" w:hAnsi="Times New Roman"/>
                <w:sz w:val="22"/>
                <w:szCs w:val="22"/>
                <w:b w:val="1"/>
                <w:bCs w:val="1"/>
                <w:color w:val="auto"/>
                <w:vertAlign w:val="superscript"/>
              </w:rPr>
              <w:t>1</w:t>
            </w:r>
          </w:p>
        </w:tc>
        <w:tc>
          <w:tcPr>
            <w:tcW w:w="20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40" w:type="dxa"/>
            <w:vAlign w:val="bottom"/>
          </w:tcPr>
          <w:p>
            <w:pPr>
              <w:spacing w:after="0"/>
              <w:rPr>
                <w:sz w:val="17"/>
                <w:szCs w:val="17"/>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Amount Per</w:t>
            </w:r>
          </w:p>
        </w:tc>
        <w:tc>
          <w:tcPr>
            <w:tcW w:w="260" w:type="dxa"/>
            <w:vAlign w:val="bottom"/>
          </w:tcPr>
          <w:p>
            <w:pPr>
              <w:spacing w:after="0"/>
              <w:rPr>
                <w:sz w:val="17"/>
                <w:szCs w:val="17"/>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Cash Distribution</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40" w:type="dxa"/>
            <w:vAlign w:val="bottom"/>
            <w:gridSpan w:val="4"/>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2000" w:type="dxa"/>
            <w:vAlign w:val="bottom"/>
            <w:gridSpan w:val="2"/>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Borders>
              <w:top w:val="single" w:sz="8" w:color="auto"/>
            </w:tcBorders>
          </w:tcPr>
          <w:p>
            <w:pPr>
              <w:spacing w:after="0"/>
              <w:rPr>
                <w:sz w:val="15"/>
                <w:szCs w:val="15"/>
                <w:color w:val="auto"/>
              </w:rPr>
            </w:pPr>
          </w:p>
        </w:tc>
        <w:tc>
          <w:tcPr>
            <w:tcW w:w="2660" w:type="dxa"/>
            <w:vAlign w:val="bottom"/>
            <w:tcBorders>
              <w:top w:val="single" w:sz="8" w:color="auto"/>
              <w:bottom w:val="single" w:sz="8" w:color="auto"/>
            </w:tcBorders>
          </w:tcPr>
          <w:p>
            <w:pPr>
              <w:spacing w:after="0" w:line="164" w:lineRule="exact"/>
              <w:rPr>
                <w:sz w:val="20"/>
                <w:szCs w:val="20"/>
                <w:color w:val="auto"/>
              </w:rPr>
            </w:pPr>
            <w:r>
              <w:rPr>
                <w:rFonts w:ascii="Times New Roman" w:cs="Times New Roman" w:eastAsia="Times New Roman" w:hAnsi="Times New Roman"/>
                <w:sz w:val="16"/>
                <w:szCs w:val="16"/>
                <w:b w:val="1"/>
                <w:bCs w:val="1"/>
                <w:color w:val="auto"/>
                <w:w w:val="98"/>
              </w:rPr>
              <w:t>Nine months ended September 30, 2025</w:t>
            </w: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30, 2025</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29, 2025</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29, 2025</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2</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8"/>
              </w:rPr>
              <w:t>Nine months ended September 30, 2024</w:t>
            </w:r>
          </w:p>
        </w:tc>
        <w:tc>
          <w:tcPr>
            <w:tcW w:w="760" w:type="dxa"/>
            <w:vAlign w:val="bottom"/>
            <w:tcBorders>
              <w:bottom w:val="single" w:sz="8" w:color="CCEEFF"/>
            </w:tcBorders>
            <w:gridSpan w:val="2"/>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March 19, 2024</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27, 2024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28, 2024</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September 16, 2024</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80" w:hanging="175"/>
        <w:spacing w:after="0"/>
        <w:tabs>
          <w:tab w:leader="none" w:pos="18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Series A Preferred Stock exchanged for Common Stock and cash on September 16, 2025.</w:t>
      </w:r>
    </w:p>
    <w:p>
      <w:pPr>
        <w:ind w:left="240" w:hanging="235"/>
        <w:spacing w:after="0" w:line="198" w:lineRule="auto"/>
        <w:tabs>
          <w:tab w:leader="none" w:pos="24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Prorated for the initial dividend period from the date of the issuance of the Series B preferred stock on August 20,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44"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Company’s dividends and distributions on the Common Stock are recorded on the declaration date. Effective December 8, 2023, the Company terminated the DRIP. The following table summarizes the Company’s dividend declarations and distributions, including dividend shares issued on vested restricted stock awards, during the nine months ended September 30, 2025 and 2024:</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Dividend Shares Issued</w:t>
            </w:r>
          </w:p>
        </w:tc>
      </w:tr>
      <w:tr>
        <w:trPr>
          <w:trHeight w:val="210"/>
        </w:trPr>
        <w:tc>
          <w:tcPr>
            <w:tcW w:w="2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166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on Unvested RSAs</w:t>
            </w:r>
          </w:p>
        </w:tc>
      </w:tr>
      <w:tr>
        <w:trPr>
          <w:trHeight w:val="203"/>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120" w:type="dxa"/>
            <w:vAlign w:val="bottom"/>
          </w:tcPr>
          <w:p>
            <w:pPr>
              <w:spacing w:after="0"/>
              <w:rPr>
                <w:sz w:val="17"/>
                <w:szCs w:val="17"/>
                <w:color w:val="auto"/>
              </w:rPr>
            </w:pPr>
          </w:p>
        </w:tc>
        <w:tc>
          <w:tcPr>
            <w:tcW w:w="19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Distribution</w:t>
            </w: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7"/>
                <w:szCs w:val="17"/>
                <w:color w:val="auto"/>
              </w:rPr>
            </w:pPr>
          </w:p>
        </w:tc>
        <w:tc>
          <w:tcPr>
            <w:tcW w:w="68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4"/>
        </w:trPr>
        <w:tc>
          <w:tcPr>
            <w:tcW w:w="2660" w:type="dxa"/>
            <w:vAlign w:val="bottom"/>
            <w:tcBorders>
              <w:top w:val="single" w:sz="8" w:color="auto"/>
              <w:bottom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Nine months ended September 30, 2025</w:t>
            </w: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15, 2025</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25, 2025</w:t>
            </w: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9, 2025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21, 2025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14, 2025</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24, 2025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63"/>
        </w:trPr>
        <w:tc>
          <w:tcPr>
            <w:tcW w:w="26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181"/>
        </w:trPr>
        <w:tc>
          <w:tcPr>
            <w:tcW w:w="266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8"/>
              </w:rPr>
              <w:t>Nine months ended September 30, 2024</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19, 2024</w:t>
            </w:r>
          </w:p>
        </w:tc>
        <w:tc>
          <w:tcPr>
            <w:tcW w:w="1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15, 2024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27, 2024</w:t>
            </w:r>
          </w:p>
        </w:tc>
        <w:tc>
          <w:tcPr>
            <w:tcW w:w="12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9, 2024</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19, 2024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16, 2024</w:t>
            </w: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2024</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21, 2024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15—EARNINGS PER SHARE:</w:t>
      </w:r>
    </w:p>
    <w:p>
      <w:pPr>
        <w:spacing w:after="0" w:line="242"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Basic and diluted earnings per share are computed based on the weighted average number of shares outstanding during each period. Diluted earnings per share reflects the potential dilution that could occur upon the exercise of stock options, to the extent outstanding, or upon the vesting of restricted stock grants, any of which would result in the issuance of Common Stock that would then share in the net income of the Company.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248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3"/>
        </w:trPr>
        <w:tc>
          <w:tcPr>
            <w:tcW w:w="50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17,429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39,699</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basic shares outstanding</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2"/>
              </w:rPr>
              <w:t>25,600</w:t>
            </w: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2"/>
              </w:rPr>
              <w:t>25,425</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25,310</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24,773</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for diluted earnings per share</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17,429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0" w:type="dxa"/>
            <w:vAlign w:val="bottom"/>
          </w:tcPr>
          <w:p>
            <w:pPr>
              <w:spacing w:after="0"/>
              <w:rPr>
                <w:sz w:val="1"/>
                <w:szCs w:val="1"/>
                <w:color w:val="auto"/>
              </w:rPr>
            </w:pPr>
          </w:p>
        </w:tc>
      </w:tr>
      <w:tr>
        <w:trPr>
          <w:trHeight w:val="171"/>
        </w:trPr>
        <w:tc>
          <w:tcPr>
            <w:tcW w:w="504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w w:val="98"/>
              </w:rPr>
              <w:t>Add: Preferred dividends on dilutive Series A convertible preferred</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stock¹</w:t>
            </w:r>
          </w:p>
        </w:tc>
        <w:tc>
          <w:tcPr>
            <w:tcW w:w="9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for diluted earnings per share</w:t>
            </w:r>
          </w:p>
        </w:tc>
        <w:tc>
          <w:tcPr>
            <w:tcW w:w="92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17,429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11,934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weighted-average basic shares outstanding</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2"/>
              </w:rPr>
              <w:t>25,600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2"/>
              </w:rPr>
              <w:t>25,425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25,310</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24,773</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effect of dilutive restricted stock awards²</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effect of dilutive Series A convertible preferred stock³</w:t>
            </w: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040" w:type="dxa"/>
            <w:vAlign w:val="bottom"/>
            <w:tcBorders>
              <w:top w:val="single" w:sz="8" w:color="CCEEFF"/>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Total weighted-average diluted shares outstanding</w:t>
            </w:r>
            <w:r>
              <w:rPr>
                <w:rFonts w:ascii="Times New Roman" w:cs="Times New Roman" w:eastAsia="Times New Roman" w:hAnsi="Times New Roman"/>
                <w:sz w:val="22"/>
                <w:szCs w:val="22"/>
                <w:color w:val="auto"/>
                <w:vertAlign w:val="superscript"/>
              </w:rPr>
              <w:t>4</w:t>
            </w:r>
          </w:p>
        </w:tc>
        <w:tc>
          <w:tcPr>
            <w:tcW w:w="9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26,043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26,589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920" w:type="dxa"/>
            <w:vAlign w:val="bottom"/>
            <w:tcBorders>
              <w:bottom w:val="single" w:sz="8" w:color="auto"/>
            </w:tcBorders>
          </w:tcPr>
          <w:p>
            <w:pPr>
              <w:jc w:val="right"/>
              <w:ind w:right="7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7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5"/>
                <w:szCs w:val="15"/>
                <w:color w:val="auto"/>
              </w:rPr>
              <w:t>Anti-dilutive warrants, restricted stock awards, and Series A</w:t>
            </w:r>
          </w:p>
        </w:tc>
        <w:tc>
          <w:tcPr>
            <w:tcW w:w="9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80" w:hanging="175"/>
        <w:spacing w:after="0"/>
        <w:tabs>
          <w:tab w:leader="none" w:pos="18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periods presented other than the three months ended September 30, 2024, the Series A convertible preferred stock was anti-dilutive and, therefore, the</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preferred dividends have not been added back to the numerator of Net income, for diluted earnings per share.</w:t>
      </w:r>
    </w:p>
    <w:p>
      <w:pPr>
        <w:ind w:left="180" w:hanging="175"/>
        <w:spacing w:after="0" w:line="191" w:lineRule="auto"/>
        <w:tabs>
          <w:tab w:leader="none" w:pos="18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Incremental diluted shares from restricted stock awards under the treasury stock method.</w:t>
      </w:r>
    </w:p>
    <w:p>
      <w:pPr>
        <w:spacing w:after="0" w:line="3" w:lineRule="exact"/>
        <w:rPr>
          <w:sz w:val="20"/>
          <w:szCs w:val="20"/>
          <w:color w:val="auto"/>
        </w:rPr>
      </w:pPr>
    </w:p>
    <w:p>
      <w:pPr>
        <w:ind w:left="160" w:right="100" w:hanging="155"/>
        <w:spacing w:after="0" w:line="223" w:lineRule="auto"/>
        <w:tabs>
          <w:tab w:leader="none" w:pos="234"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Incremental diluted shares from Series A convertible preferred stock under the treasury stock method. The dilutive effect on common shares under the if-converted method of the Series A convertible preferred stock have been added back to the denominator in calculating diluted earnings per share for the three</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months ended September 30, 2024.</w:t>
      </w:r>
    </w:p>
    <w:p>
      <w:pPr>
        <w:spacing w:after="0" w:line="3" w:lineRule="exact"/>
        <w:rPr>
          <w:sz w:val="20"/>
          <w:szCs w:val="20"/>
          <w:color w:val="auto"/>
        </w:rPr>
      </w:pPr>
    </w:p>
    <w:p>
      <w:pPr>
        <w:ind w:left="160" w:right="400" w:hanging="155"/>
        <w:spacing w:after="0" w:line="214" w:lineRule="auto"/>
        <w:tabs>
          <w:tab w:leader="none" w:pos="173"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30, 2025 and September 30, 2024, the warrants were not included in the diluted share count because the results would have been anti-dilutive under the if-converted method.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16—BENEFIT PLANS: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21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42" w:lineRule="exact"/>
        <w:rPr>
          <w:sz w:val="20"/>
          <w:szCs w:val="20"/>
          <w:color w:val="auto"/>
        </w:rPr>
      </w:pPr>
    </w:p>
    <w:p>
      <w:pPr>
        <w:jc w:val="both"/>
        <w:ind w:right="180"/>
        <w:spacing w:after="0" w:line="303" w:lineRule="auto"/>
        <w:rPr>
          <w:sz w:val="20"/>
          <w:szCs w:val="20"/>
          <w:color w:val="auto"/>
        </w:rPr>
      </w:pPr>
      <w:r>
        <w:rPr>
          <w:rFonts w:ascii="Times New Roman" w:cs="Times New Roman" w:eastAsia="Times New Roman" w:hAnsi="Times New Roman"/>
          <w:sz w:val="16"/>
          <w:szCs w:val="16"/>
          <w:color w:val="auto"/>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spacing w:after="0" w:line="144"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The Compensation, Corporate Governance and Nominating Committee of the Board approves the issuance of awards of restricted stock to employees and directors pursuant to the 2023 Stock Incentive Plan, which was approved by the Board in April 2023 and the Company’s shareholders on June 14, 2023. No new awards may be granted under the 2015 Stock Incentive Plan, which was terminated by the Board in April 2023. The following table summarizes the restricted stock issuances under the 2015 and 2023 Stock Incentive Plans, net of shares forfeited, if any:</w:t>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6960" w:type="dxa"/>
            <w:vAlign w:val="bottom"/>
          </w:tcPr>
          <w:p>
            <w:pPr>
              <w:spacing w:after="0"/>
              <w:rPr>
                <w:sz w:val="22"/>
                <w:szCs w:val="22"/>
                <w:color w:val="auto"/>
              </w:rPr>
            </w:pPr>
          </w:p>
        </w:tc>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2023 Plan</w:t>
            </w:r>
            <w:r>
              <w:rPr>
                <w:rFonts w:ascii="Times New Roman" w:cs="Times New Roman" w:eastAsia="Times New Roman" w:hAnsi="Times New Roman"/>
                <w:sz w:val="22"/>
                <w:szCs w:val="22"/>
                <w:b w:val="1"/>
                <w:bCs w:val="1"/>
                <w:color w:val="auto"/>
                <w:vertAlign w:val="superscript"/>
              </w:rPr>
              <w:t>1</w:t>
            </w:r>
          </w:p>
        </w:tc>
        <w:tc>
          <w:tcPr>
            <w:tcW w:w="20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2015 Plan</w:t>
            </w:r>
          </w:p>
        </w:tc>
      </w:tr>
      <w:tr>
        <w:trPr>
          <w:trHeight w:val="217"/>
        </w:trPr>
        <w:tc>
          <w:tcPr>
            <w:tcW w:w="6960" w:type="dxa"/>
            <w:vAlign w:val="bottom"/>
            <w:tcBorders>
              <w:top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Restricted Stock authorized under the plan</w:t>
            </w:r>
            <w:r>
              <w:rPr>
                <w:rFonts w:ascii="Times New Roman" w:cs="Times New Roman" w:eastAsia="Times New Roman" w:hAnsi="Times New Roman"/>
                <w:sz w:val="22"/>
                <w:szCs w:val="22"/>
                <w:color w:val="auto"/>
                <w:vertAlign w:val="superscript"/>
              </w:rPr>
              <w:t>2</w:t>
            </w:r>
          </w:p>
        </w:tc>
        <w:tc>
          <w:tcPr>
            <w:tcW w:w="20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3.0 million</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 million</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restricted stock (granted)/forfeited during:</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Year ended December 31, 2021 and prior</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(438)</w:t>
            </w:r>
          </w:p>
        </w:tc>
      </w:tr>
      <w:tr>
        <w:trPr>
          <w:trHeight w:val="223"/>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(251)</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(82)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28</w:t>
            </w:r>
          </w:p>
        </w:tc>
      </w:tr>
      <w:tr>
        <w:trPr>
          <w:trHeight w:val="223"/>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(497)</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restricted stock (granted)/forfeited</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(546)</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(661)</w:t>
            </w:r>
          </w:p>
        </w:tc>
      </w:tr>
      <w:tr>
        <w:trPr>
          <w:trHeight w:val="20"/>
        </w:trPr>
        <w:tc>
          <w:tcPr>
            <w:tcW w:w="69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80" w:hanging="175"/>
        <w:spacing w:after="0"/>
        <w:tabs>
          <w:tab w:leader="none" w:pos="18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2023 Stock Incentive Plan provides for an initial share reserve of up to 3.0 million shares of Common Stock.</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No stock options were granted under the 2015 or 2023 Stock Incentive Plans.</w:t>
      </w:r>
    </w:p>
    <w:p>
      <w:pPr>
        <w:spacing w:after="0" w:line="17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Awards of restricted stock granted under the 2015 and 2023 Stock Incentive Plans generally vest over a one- to three-year periods from the grant date; awards of restricted stock granted under the 2023 Stock Incentive Plan to non-employee directors generally vest over a one-year period. The grant date fair value is expensed over the service period, starting on the grant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outstanding shares related to restricted stock awards as of September 30, 2025 and December 31, 2024 are outlined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p>
        </w:tc>
        <w:tc>
          <w:tcPr>
            <w:tcW w:w="2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7"/>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 related to grants of restricted stock awards</w:t>
            </w: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508</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771</w:t>
            </w: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of awards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$12.95</w:t>
            </w:r>
          </w:p>
        </w:tc>
        <w:tc>
          <w:tcPr>
            <w:tcW w:w="1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$14.51</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shares outstanding related to dividends on awards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bl>
    <w:p>
      <w:pPr>
        <w:spacing w:after="0" w:line="297"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color w:val="auto"/>
        </w:rPr>
        <w:t>As of September 30, 2025 and December 31, 2024, the Company’s total unrecognized compensation expense related to unvested shares of restricted stock granted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September 30,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r>
      <w:tr>
        <w:trPr>
          <w:trHeight w:val="21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compensation expense on unvested awards</w:t>
            </w:r>
          </w:p>
        </w:tc>
        <w:tc>
          <w:tcPr>
            <w:tcW w:w="20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$2,560</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$5,929</w:t>
            </w:r>
          </w:p>
        </w:tc>
      </w:tr>
      <w:tr>
        <w:trPr>
          <w:trHeight w:val="22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period of unrecognized compensation expense</w:t>
            </w:r>
          </w:p>
        </w:tc>
        <w:tc>
          <w:tcPr>
            <w:tcW w:w="2080" w:type="dxa"/>
            <w:vAlign w:val="bottom"/>
          </w:tcPr>
          <w:p>
            <w:pPr>
              <w:spacing w:after="0"/>
              <w:rPr>
                <w:sz w:val="19"/>
                <w:szCs w:val="19"/>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1.2 years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w:t>
            </w:r>
          </w:p>
        </w:tc>
      </w:tr>
      <w:tr>
        <w:trPr>
          <w:trHeight w:val="836"/>
        </w:trPr>
        <w:tc>
          <w:tcPr>
            <w:tcW w:w="5020" w:type="dxa"/>
            <w:vAlign w:val="bottom"/>
          </w:tcPr>
          <w:p>
            <w:pPr>
              <w:spacing w:after="0"/>
              <w:rPr>
                <w:sz w:val="24"/>
                <w:szCs w:val="24"/>
                <w:color w:val="auto"/>
              </w:rPr>
            </w:pPr>
          </w:p>
        </w:tc>
        <w:tc>
          <w:tcPr>
            <w:tcW w:w="42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F-56</w:t>
            </w:r>
          </w:p>
        </w:tc>
        <w:tc>
          <w:tcPr>
            <w:tcW w:w="2020" w:type="dxa"/>
            <w:vAlign w:val="bottom"/>
          </w:tcPr>
          <w:p>
            <w:pPr>
              <w:spacing w:after="0"/>
              <w:rPr>
                <w:sz w:val="24"/>
                <w:szCs w:val="24"/>
                <w:color w:val="auto"/>
              </w:rPr>
            </w:pPr>
          </w:p>
        </w:tc>
      </w:tr>
      <w:tr>
        <w:trPr>
          <w:trHeight w:val="112"/>
        </w:trPr>
        <w:tc>
          <w:tcPr>
            <w:tcW w:w="502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 (ESPP)</w:t>
      </w:r>
    </w:p>
    <w:p>
      <w:pPr>
        <w:spacing w:after="0" w:line="242"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6"/>
          <w:szCs w:val="16"/>
          <w:color w:val="auto"/>
        </w:rPr>
        <w:t>On June 14, 2023, the Company's stockholders approved the ESPP. The initial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 thousand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ESPP activity from inception through September 30,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17"/>
        </w:trPr>
        <w:tc>
          <w:tcPr>
            <w:tcW w:w="1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Offering Period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Offering Period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Commencement date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4/1/2025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4/1/2025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10/1/2024</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4/1/2024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3"/>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date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9/15/2025</w:t>
            </w: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6/15/2025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12/15/2024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9/15/2024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71"/>
        </w:trPr>
        <w:tc>
          <w:tcPr>
            <w:tcW w:w="19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Weighted average share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10.77</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10.21</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171"/>
        </w:trPr>
        <w:tc>
          <w:tcPr>
            <w:tcW w:w="19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Total purchased, net of</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ESPP share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136130" cy="150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ESPP shares authorized under the plan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ESPP shares purchased during:</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141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Year ended December 31, 2024</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141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Available for future purchases, September 30, 2025</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200</w:t>
      </w:r>
    </w:p>
    <w:p>
      <w:pPr>
        <w:spacing w:after="0" w:line="2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10795</wp:posOffset>
            </wp:positionV>
            <wp:extent cx="12020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13970</wp:posOffset>
            </wp:positionV>
            <wp:extent cx="12020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20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38735</wp:posOffset>
            </wp:positionV>
            <wp:extent cx="12020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9320" w:space="720"/>
            <w:col w:w="1200"/>
          </w:cols>
          <w:pgMar w:left="320" w:top="124" w:right="339" w:bottom="1440" w:gutter="0" w:footer="0" w:header="0"/>
          <w:type w:val="continuous"/>
        </w:sectPr>
      </w:pPr>
    </w:p>
    <w:p>
      <w:pPr>
        <w:spacing w:after="0" w:line="16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The Company’s total stock-based compensation expense included within Salaries and employee benefits expense in the Consolidated Statements of Income for the three and nine months ended September 30, 2025 and 2024 is summarized below:</w:t>
      </w:r>
    </w:p>
    <w:p>
      <w:pPr>
        <w:sectPr>
          <w:pgSz w:w="11900" w:h="16838" w:orient="portrait"/>
          <w:cols w:equalWidth="0" w:num="1">
            <w:col w:w="11240"/>
          </w:cols>
          <w:pgMar w:left="320" w:top="124" w:right="339" w:bottom="1440" w:gutter="0" w:footer="0" w:header="0"/>
          <w:type w:val="continuous"/>
        </w:sectPr>
      </w:pPr>
    </w:p>
    <w:p>
      <w:pPr>
        <w:spacing w:after="0" w:line="23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29845</wp:posOffset>
            </wp:positionV>
            <wp:extent cx="19862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86280" cy="8255"/>
                    </a:xfrm>
                    <a:prstGeom prst="rect">
                      <a:avLst/>
                    </a:prstGeom>
                    <a:noFill/>
                  </pic:spPr>
                </pic:pic>
              </a:graphicData>
            </a:graphic>
          </wp:anchor>
        </w:drawing>
      </w:r>
    </w:p>
    <w:p>
      <w:pPr>
        <w:spacing w:after="0" w:line="33" w:lineRule="exact"/>
        <w:rPr>
          <w:sz w:val="20"/>
          <w:szCs w:val="20"/>
          <w:color w:val="auto"/>
        </w:rPr>
      </w:pPr>
    </w:p>
    <w:p>
      <w:pPr>
        <w:ind w:left="5600"/>
        <w:spacing w:after="0"/>
        <w:tabs>
          <w:tab w:leader="none" w:pos="72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29845</wp:posOffset>
            </wp:positionV>
            <wp:extent cx="18948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spacing w:after="0" w:line="33" w:lineRule="exact"/>
        <w:rPr>
          <w:sz w:val="20"/>
          <w:szCs w:val="20"/>
          <w:color w:val="auto"/>
        </w:rPr>
      </w:pPr>
    </w:p>
    <w:p>
      <w:pPr>
        <w:ind w:left="3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3" w:lineRule="exact"/>
        <w:rPr>
          <w:sz w:val="20"/>
          <w:szCs w:val="20"/>
          <w:color w:val="auto"/>
        </w:rPr>
      </w:pPr>
    </w:p>
    <w:p>
      <w:pPr>
        <w:sectPr>
          <w:pgSz w:w="11900" w:h="16838" w:orient="portrait"/>
          <w:cols w:equalWidth="0" w:num="2">
            <w:col w:w="7940" w:space="500"/>
            <w:col w:w="280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64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59"/>
        </w:trPr>
        <w:tc>
          <w:tcPr>
            <w:tcW w:w="50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Total compensation cost recognized for stock-based compensation</w:t>
            </w:r>
          </w:p>
        </w:tc>
        <w:tc>
          <w:tcPr>
            <w:tcW w:w="640" w:type="dxa"/>
            <w:vAlign w:val="bottom"/>
            <w:vMerge w:val="restart"/>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22"/>
        </w:trPr>
        <w:tc>
          <w:tcPr>
            <w:tcW w:w="502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plans</w:t>
            </w: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17—INCOME TAXES: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242"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The effective tax rate was 26.16% and 27.62% for the nine months ended September 30, 2025 and September 30, 2024, respectively. The effective tax rate differs from the federal tax rate of 21% for the nine months ended September 30, 2025, due primarily to the recognition of the difference in basis in the Company’s investment in NTS and state taxes. The effective tax rate differs from the federal tax rate of 21% for the nine months ended September 30, 2024, due primarily due to state taxes.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color w:val="auto"/>
        </w:rPr>
        <w:t>The effective tax rate was 28.58% and 30.03% for the three months ended September 30, 2025 and September 30, 2024, respectively. The effective tax rate differs from the federal tax rate of 21% for the three months ended September 30, 2025 and September 30, 2024 primarily due to state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18—SEGMENTS:</w:t>
      </w:r>
    </w:p>
    <w:p>
      <w:pPr>
        <w:spacing w:after="0" w:line="229"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18"/>
          <w:szCs w:val="18"/>
          <w:color w:val="auto"/>
        </w:rPr>
        <w:t>The Company's management reporting process measures the performance of its operating segments based on internal operating structure, which is subject to change from time to time. The Company's segment reporting process begins with the assignment of all loans directly to the segments where these products are originated and/or serviced. All deposit accounts are allocated to the Banking segment as our wholly owned FDIC insured depository is included within the Banking segment. Equity capital is assigned to each segment based on the risk profile of their assets and liabilities. With the exception of goodwill, which is assigned a 100% weighting, equity capital allocations ranged from 0% to 25% during the year. Any excess or deficient equity not allocated to segments based on risk is assigned to the Corporate &amp; Other segment.</w:t>
      </w:r>
    </w:p>
    <w:p>
      <w:pPr>
        <w:spacing w:after="0" w:line="208"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Net interest income, provision for credit losses, and non-interest expense amounts are recorded in their respective segments to the extent the amounts are directly attributable to those segments. The net income amount for each reportable segment is further derived by the use of expense allocations. Certain expenses not directly attributable to a specific segment are allocated across all segments based on key metrics, such as number of employees. These types of expenses include information technology, operations, human resources, finance, risk management, credit administration, legal, and marketing.</w:t>
      </w:r>
    </w:p>
    <w:p>
      <w:pPr>
        <w:spacing w:after="0" w:line="205"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color w:val="auto"/>
        </w:rPr>
        <w:t>The assignment and allocation methodologies used in the segment reporting process discussed above change from time to time as systems are enhanced, methods for evaluating segment performance or product lines change or as business segments are realigned.</w:t>
      </w:r>
    </w:p>
    <w:p>
      <w:pPr>
        <w:spacing w:after="0" w:line="18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6"/>
          <w:szCs w:val="16"/>
          <w:color w:val="auto"/>
        </w:rPr>
        <w:t>The Company operates four reportable segments for management reporting purposes with their operating and financial results reviewed by the chief operating decision maker (“CODM”), which is the Chief Executive Officer of the Company. The CODM assesses overall segment performance based on pre-tax income and uses this metric to allocate resources for each segment, focusing on budgeting and forecasting. The Company has four segments, as discussed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31" w:lineRule="exact"/>
        <w:rPr>
          <w:sz w:val="20"/>
          <w:szCs w:val="20"/>
          <w:color w:val="auto"/>
        </w:rPr>
      </w:pPr>
    </w:p>
    <w:p>
      <w:pPr>
        <w:ind w:right="680"/>
        <w:spacing w:after="0" w:line="253" w:lineRule="auto"/>
        <w:rPr>
          <w:sz w:val="20"/>
          <w:szCs w:val="20"/>
          <w:color w:val="auto"/>
        </w:rPr>
      </w:pPr>
      <w:r>
        <w:rPr>
          <w:rFonts w:ascii="Times New Roman" w:cs="Times New Roman" w:eastAsia="Times New Roman" w:hAnsi="Times New Roman"/>
          <w:sz w:val="18"/>
          <w:szCs w:val="18"/>
          <w:color w:val="auto"/>
        </w:rPr>
        <w:t>Newtek Bank originates, services and sells SBA 7(a) loans in a similar manner to NSBF’s historic business model (see Non-Bank Lending below) and originates and services SBA 504 loans, C&amp;I loans, CRE loans and ABL loans. In addition, Newtek Bank offers depository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Alternative Lending</w:t>
      </w:r>
    </w:p>
    <w:p>
      <w:pPr>
        <w:spacing w:after="0" w:line="231"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Alternative Lending includes NALH (Newtek ALP Holdings) and its subsidiaries. The Company has originated loans under its Alternative Lending Program (ALP) since 2019. Prior to July 1, 2024, the Company originated ALP loans with the intent to sell to a JV. While the Company may continue to source JV partners to participate in the ALP, the Company’s subsidiary Newtek ALP Holdings (NALH) currently originates ALP loans designated as HFI. The Company does not expect any significant changes to the underwriting or terms of loans in its ALP.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NSBF</w:t>
      </w:r>
    </w:p>
    <w:p>
      <w:pPr>
        <w:spacing w:after="0" w:line="231"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18"/>
          <w:szCs w:val="18"/>
          <w:color w:val="auto"/>
        </w:rPr>
        <w:t>NSBF relates to NSBF’s legacy portfolio of SBA 7(a) loans held outside Newtek Bank; no new loan origination activity takes place. A material portion of NSBF’s legacy portfolio of SBA 7(a) loans reside in three securitization trusts.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207"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Payments includes NMS, POS and Mobil Money. NMS markets credit and debit card processing services, check approval services, processing equipment, and software and:</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Assist merchants with initial installation of equipment and on-going service, as well as any other special processing needs that they may have.</w:t>
      </w:r>
    </w:p>
    <w:p>
      <w:pPr>
        <w:spacing w:after="0" w:line="21" w:lineRule="exact"/>
        <w:rPr>
          <w:sz w:val="20"/>
          <w:szCs w:val="20"/>
          <w:color w:val="auto"/>
        </w:rPr>
      </w:pPr>
    </w:p>
    <w:p>
      <w:pPr>
        <w:ind w:left="320"/>
        <w:spacing w:after="0" w:line="231" w:lineRule="auto"/>
        <w:rPr>
          <w:sz w:val="20"/>
          <w:szCs w:val="20"/>
          <w:color w:val="auto"/>
        </w:rPr>
      </w:pPr>
      <w:r>
        <w:rPr>
          <w:rFonts w:ascii="Times New Roman" w:cs="Times New Roman" w:eastAsia="Times New Roman" w:hAnsi="Times New Roman"/>
          <w:sz w:val="18"/>
          <w:szCs w:val="18"/>
          <w:color w:val="auto"/>
        </w:rPr>
        <w:t>–   Handles payment processing for Mobil Money’s merchant portfolio of taxi cabs and related licensed payment processing software.</w:t>
      </w:r>
    </w:p>
    <w:p>
      <w:pPr>
        <w:ind w:left="640" w:hanging="315"/>
        <w:spacing w:after="0" w:line="237" w:lineRule="auto"/>
        <w:rPr>
          <w:sz w:val="20"/>
          <w:szCs w:val="20"/>
          <w:color w:val="auto"/>
        </w:rPr>
      </w:pPr>
      <w:r>
        <w:rPr>
          <w:rFonts w:ascii="Times New Roman" w:cs="Times New Roman" w:eastAsia="Times New Roman" w:hAnsi="Times New Roman"/>
          <w:sz w:val="18"/>
          <w:szCs w:val="18"/>
          <w:color w:val="auto"/>
        </w:rPr>
        <w:t>– 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3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The information provided under the caption “Corporate and Other” represents operations not considered to be reportable segments and/or general operating expenses of the Company, and includes the parent company, other non-bank subsidiaries including NIA and PMT, and elimination adjustments to reconcile the results of the operating segments to the condensed consolidated financial statements prepared in conformity with GAAP.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b w:val="1"/>
          <w:bCs w:val="1"/>
          <w:color w:val="auto"/>
        </w:rPr>
        <w:t>ormer Reportable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23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NTS provided website hosting, web design and development, dedicated server hosting, cloud hosting, internet marketing, ecommerce, data storage, backup and disaster recovery, and other related services for commercial clients. As a result of commitments made to the Federal Reserve in connection with the Acquisition, the Company divested of NTS on January 2, 2025. As a result of the Company’s completion of the NTS Sale, Technology is no longer be reported as a reportable segment. See NOTE 4—INVESTMENTS: Intelligent Protection Management Corp</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financial information for the Company's segments: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6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nine months ended September 30, 2025</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Banking</w:t>
            </w: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7"/>
              </w:rPr>
              <w:t>Alternative Lending</w:t>
            </w:r>
          </w:p>
        </w:tc>
        <w:tc>
          <w:tcPr>
            <w:tcW w:w="100" w:type="dxa"/>
            <w:vAlign w:val="bottom"/>
          </w:tcPr>
          <w:p>
            <w:pPr>
              <w:spacing w:after="0"/>
              <w:rPr>
                <w:sz w:val="19"/>
                <w:szCs w:val="19"/>
                <w:color w:val="auto"/>
              </w:rPr>
            </w:pP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NSBF</w:t>
            </w:r>
          </w:p>
        </w:tc>
        <w:tc>
          <w:tcPr>
            <w:tcW w:w="120" w:type="dxa"/>
            <w:vAlign w:val="bottom"/>
          </w:tcPr>
          <w:p>
            <w:pPr>
              <w:spacing w:after="0"/>
              <w:rPr>
                <w:sz w:val="19"/>
                <w:szCs w:val="19"/>
                <w:color w:val="auto"/>
              </w:rPr>
            </w:pPr>
          </w:p>
        </w:tc>
        <w:tc>
          <w:tcPr>
            <w:tcW w:w="144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Pr>
          <w:p>
            <w:pPr>
              <w:spacing w:after="0"/>
              <w:rPr>
                <w:sz w:val="19"/>
                <w:szCs w:val="19"/>
                <w:color w:val="auto"/>
              </w:rPr>
            </w:pPr>
          </w:p>
        </w:tc>
        <w:tc>
          <w:tcPr>
            <w:tcW w:w="15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7"/>
              </w:rPr>
              <w:t>Corporate &amp; Other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Consolidated</w:t>
            </w:r>
          </w:p>
        </w:tc>
        <w:tc>
          <w:tcPr>
            <w:tcW w:w="0" w:type="dxa"/>
            <w:vAlign w:val="bottom"/>
          </w:tcPr>
          <w:p>
            <w:pPr>
              <w:spacing w:after="0"/>
              <w:rPr>
                <w:sz w:val="1"/>
                <w:szCs w:val="1"/>
                <w:color w:val="auto"/>
              </w:rPr>
            </w:pPr>
          </w:p>
        </w:tc>
      </w:tr>
      <w:tr>
        <w:trPr>
          <w:trHeight w:val="217"/>
        </w:trPr>
        <w:tc>
          <w:tcPr>
            <w:tcW w:w="2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8"/>
              </w:rPr>
              <w:t>Segment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19,566</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113,502</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30,943</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25,318</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71,097</w:t>
            </w: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income/(loss)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(24,385)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42,405</w:t>
            </w:r>
          </w:p>
        </w:tc>
        <w:tc>
          <w:tcPr>
            <w:tcW w:w="0" w:type="dxa"/>
            <w:vAlign w:val="bottom"/>
          </w:tcPr>
          <w:p>
            <w:pPr>
              <w:spacing w:after="0"/>
              <w:rPr>
                <w:sz w:val="1"/>
                <w:szCs w:val="1"/>
                <w:color w:val="auto"/>
              </w:rPr>
            </w:pPr>
          </w:p>
        </w:tc>
      </w:tr>
      <w:tr>
        <w:trPr>
          <w:trHeight w:val="179"/>
        </w:trPr>
        <w:tc>
          <w:tcPr>
            <w:tcW w:w="2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Provision for loan credit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0" w:type="dxa"/>
            <w:vAlign w:val="bottom"/>
          </w:tcPr>
          <w:p>
            <w:pPr>
              <w:spacing w:after="0"/>
              <w:rPr>
                <w:sz w:val="1"/>
                <w:szCs w:val="1"/>
                <w:color w:val="auto"/>
              </w:rPr>
            </w:pPr>
          </w:p>
        </w:tc>
      </w:tr>
      <w:tr>
        <w:trPr>
          <w:trHeight w:val="159"/>
        </w:trPr>
        <w:tc>
          <w:tcPr>
            <w:tcW w:w="214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Net interest income after</w:t>
            </w: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 loan credit</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(24,385)</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105,339</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(21,734)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55,537</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35,881</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169,061</w:t>
            </w:r>
          </w:p>
        </w:tc>
        <w:tc>
          <w:tcPr>
            <w:tcW w:w="0" w:type="dxa"/>
            <w:vAlign w:val="bottom"/>
          </w:tcPr>
          <w:p>
            <w:pPr>
              <w:spacing w:after="0"/>
              <w:rPr>
                <w:sz w:val="1"/>
                <w:szCs w:val="1"/>
                <w:color w:val="auto"/>
              </w:rPr>
            </w:pPr>
          </w:p>
        </w:tc>
      </w:tr>
      <w:tr>
        <w:trPr>
          <w:trHeight w:val="179"/>
        </w:trPr>
        <w:tc>
          <w:tcPr>
            <w:tcW w:w="2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Electronic payment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expense</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0" w:type="dxa"/>
            <w:vAlign w:val="bottom"/>
          </w:tcPr>
          <w:p>
            <w:pPr>
              <w:spacing w:after="0"/>
              <w:rPr>
                <w:sz w:val="1"/>
                <w:szCs w:val="1"/>
                <w:color w:val="auto"/>
              </w:rPr>
            </w:pPr>
          </w:p>
        </w:tc>
      </w:tr>
      <w:tr>
        <w:trPr>
          <w:trHeight w:val="179"/>
        </w:trPr>
        <w:tc>
          <w:tcPr>
            <w:tcW w:w="2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Salaries and employee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expense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43,339</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64,424</w:t>
            </w: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Professional services expense</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0" w:type="dxa"/>
            <w:vAlign w:val="bottom"/>
          </w:tcPr>
          <w:p>
            <w:pPr>
              <w:spacing w:after="0"/>
              <w:rPr>
                <w:sz w:val="1"/>
                <w:szCs w:val="1"/>
                <w:color w:val="auto"/>
              </w:rPr>
            </w:pPr>
          </w:p>
        </w:tc>
      </w:tr>
      <w:tr>
        <w:trPr>
          <w:trHeight w:val="179"/>
        </w:trPr>
        <w:tc>
          <w:tcPr>
            <w:tcW w:w="2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Other loan origination and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expense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19,160</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(11,136)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0" w:type="dxa"/>
            <w:vAlign w:val="bottom"/>
          </w:tcPr>
          <w:p>
            <w:pPr>
              <w:spacing w:after="0"/>
              <w:rPr>
                <w:sz w:val="1"/>
                <w:szCs w:val="1"/>
                <w:color w:val="auto"/>
              </w:rPr>
            </w:pPr>
          </w:p>
        </w:tc>
      </w:tr>
      <w:tr>
        <w:trPr>
          <w:trHeight w:val="179"/>
        </w:trPr>
        <w:tc>
          <w:tcPr>
            <w:tcW w:w="2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Depreciation and</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179"/>
        </w:trPr>
        <w:tc>
          <w:tcPr>
            <w:tcW w:w="2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Loss on extinguishment of</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79"/>
        </w:trPr>
        <w:tc>
          <w:tcPr>
            <w:tcW w:w="2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Other general and</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costs</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w:t>
            </w:r>
          </w:p>
        </w:tc>
        <w:tc>
          <w:tcPr>
            <w:tcW w:w="0" w:type="dxa"/>
            <w:vAlign w:val="bottom"/>
          </w:tcPr>
          <w:p>
            <w:pPr>
              <w:spacing w:after="0"/>
              <w:rPr>
                <w:sz w:val="1"/>
                <w:szCs w:val="1"/>
                <w:color w:val="auto"/>
              </w:rPr>
            </w:pPr>
          </w:p>
        </w:tc>
      </w:tr>
      <w:tr>
        <w:trPr>
          <w:trHeight w:val="21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(13,612)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55,487</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(10,766)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0" w:type="dxa"/>
            <w:vAlign w:val="bottom"/>
          </w:tcPr>
          <w:p>
            <w:pPr>
              <w:spacing w:after="0"/>
              <w:rPr>
                <w:sz w:val="1"/>
                <w:szCs w:val="1"/>
                <w:color w:val="auto"/>
              </w:rPr>
            </w:pPr>
          </w:p>
        </w:tc>
      </w:tr>
      <w:tr>
        <w:trPr>
          <w:trHeight w:val="21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(13,612)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20,732</w:t>
            </w: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(84,110)</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40,971</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1,520,476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(31,544)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625,297</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(152,070)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415,364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(48,251)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120,028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(98,083)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762,879</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(714,997)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2,399,099</w:t>
            </w:r>
          </w:p>
        </w:tc>
        <w:tc>
          <w:tcPr>
            <w:tcW w:w="0" w:type="dxa"/>
            <w:vAlign w:val="bottom"/>
          </w:tcPr>
          <w:p>
            <w:pPr>
              <w:spacing w:after="0"/>
              <w:rPr>
                <w:sz w:val="1"/>
                <w:szCs w:val="1"/>
                <w:color w:val="auto"/>
              </w:rPr>
            </w:pPr>
          </w:p>
        </w:tc>
      </w:tr>
      <w:tr>
        <w:trPr>
          <w:trHeight w:val="22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Goodwill &amp; intangible assets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14,633</w:t>
            </w:r>
          </w:p>
        </w:tc>
        <w:tc>
          <w:tcPr>
            <w:tcW w:w="0" w:type="dxa"/>
            <w:vAlign w:val="bottom"/>
          </w:tcPr>
          <w:p>
            <w:pPr>
              <w:spacing w:after="0"/>
              <w:rPr>
                <w:sz w:val="1"/>
                <w:szCs w:val="1"/>
                <w:color w:val="auto"/>
              </w:rPr>
            </w:pPr>
          </w:p>
        </w:tc>
      </w:tr>
      <w:tr>
        <w:trPr>
          <w:trHeight w:val="179"/>
        </w:trPr>
        <w:tc>
          <w:tcPr>
            <w:tcW w:w="2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Amortization of intangible</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2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As of and for the nine months ended September 30, 2024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Banking</w:t>
            </w: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Alternative Lending</w:t>
            </w:r>
          </w:p>
        </w:tc>
        <w:tc>
          <w:tcPr>
            <w:tcW w:w="120" w:type="dxa"/>
            <w:vAlign w:val="bottom"/>
          </w:tcPr>
          <w:p>
            <w:pPr>
              <w:spacing w:after="0"/>
              <w:rPr>
                <w:sz w:val="19"/>
                <w:szCs w:val="19"/>
                <w:color w:val="auto"/>
              </w:rPr>
            </w:pP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9"/>
                <w:szCs w:val="19"/>
                <w:color w:val="auto"/>
              </w:rPr>
            </w:pP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NSBF</w:t>
            </w:r>
          </w:p>
        </w:tc>
        <w:tc>
          <w:tcPr>
            <w:tcW w:w="100" w:type="dxa"/>
            <w:vAlign w:val="bottom"/>
          </w:tcPr>
          <w:p>
            <w:pPr>
              <w:spacing w:after="0"/>
              <w:rPr>
                <w:sz w:val="19"/>
                <w:szCs w:val="19"/>
                <w:color w:val="auto"/>
              </w:rPr>
            </w:pPr>
          </w:p>
        </w:tc>
        <w:tc>
          <w:tcPr>
            <w:tcW w:w="1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Pr>
          <w:p>
            <w:pPr>
              <w:spacing w:after="0"/>
              <w:rPr>
                <w:sz w:val="19"/>
                <w:szCs w:val="19"/>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Consolidated</w:t>
            </w:r>
          </w:p>
        </w:tc>
        <w:tc>
          <w:tcPr>
            <w:tcW w:w="0" w:type="dxa"/>
            <w:vAlign w:val="bottom"/>
          </w:tcPr>
          <w:p>
            <w:pPr>
              <w:spacing w:after="0"/>
              <w:rPr>
                <w:sz w:val="1"/>
                <w:szCs w:val="1"/>
                <w:color w:val="auto"/>
              </w:rPr>
            </w:pPr>
          </w:p>
        </w:tc>
      </w:tr>
      <w:tr>
        <w:trPr>
          <w:trHeight w:val="217"/>
        </w:trPr>
        <w:tc>
          <w:tcPr>
            <w:tcW w:w="1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Elim</w:t>
            </w:r>
          </w:p>
        </w:tc>
        <w:tc>
          <w:tcPr>
            <w:tcW w:w="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5"/>
              </w:rPr>
              <w:t>Segment</w:t>
            </w: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Elim</w:t>
            </w:r>
          </w:p>
        </w:tc>
        <w:tc>
          <w:tcPr>
            <w:tcW w:w="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5"/>
              </w:rPr>
              <w:t>Segment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Interest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20,635</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58,678</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ind w:left="120"/>
              <w:spacing w:after="0" w:line="152" w:lineRule="exact"/>
              <w:rPr>
                <w:sz w:val="20"/>
                <w:szCs w:val="20"/>
                <w:color w:val="auto"/>
              </w:rPr>
            </w:pPr>
            <w:r>
              <w:rPr>
                <w:rFonts w:ascii="Times New Roman" w:cs="Times New Roman" w:eastAsia="Times New Roman" w:hAnsi="Times New Roman"/>
                <w:sz w:val="16"/>
                <w:szCs w:val="16"/>
                <w:color w:val="auto"/>
              </w:rPr>
              <w:t>Net interest</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income/(loss)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28,249</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(17,843)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Provision for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loan credit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Net interest</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income after</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loan credit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(17,843)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Noninterest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100,326</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(20,389)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19,701</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(5,232)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(15,475)</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39,090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45,091</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153,238</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services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Electronic</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payment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processing</w:t>
            </w: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15,889</w:t>
            </w: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Salaries and</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employee</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benefits</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35,134</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Professional</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Other loan</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w w:val="98"/>
              </w:rPr>
              <w:t>origination and</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maintenance</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(10,011)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and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Other general</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and</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2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Income before</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50,475</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34,147</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(4,809)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(17,960)</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14,173</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44,939</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(15,136)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0" w:type="dxa"/>
            <w:vAlign w:val="bottom"/>
          </w:tcPr>
          <w:p>
            <w:pPr>
              <w:spacing w:after="0"/>
              <w:rPr>
                <w:sz w:val="1"/>
                <w:szCs w:val="1"/>
                <w:color w:val="auto"/>
              </w:rPr>
            </w:pPr>
          </w:p>
        </w:tc>
      </w:tr>
      <w:tr>
        <w:trPr>
          <w:trHeight w:val="21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(4,809)</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(17,960)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14,173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0" w:type="dxa"/>
            <w:vAlign w:val="bottom"/>
          </w:tcPr>
          <w:p>
            <w:pPr>
              <w:spacing w:after="0"/>
              <w:rPr>
                <w:sz w:val="1"/>
                <w:szCs w:val="1"/>
                <w:color w:val="auto"/>
              </w:rPr>
            </w:pPr>
          </w:p>
        </w:tc>
      </w:tr>
      <w:tr>
        <w:trPr>
          <w:trHeight w:val="20"/>
        </w:trPr>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935,319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(22,719)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336,605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(116,051)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21,919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(1,400)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536,000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(82,082)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62,710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(36,007)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651,769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(611,893)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1,674,170</w:t>
            </w: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Goodwill &amp;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intangible</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13,814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of intangible</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financial information for the Company's segments: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6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 September 30, 2025</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Banking</w:t>
            </w:r>
          </w:p>
        </w:tc>
        <w:tc>
          <w:tcPr>
            <w:tcW w:w="16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7"/>
              </w:rPr>
              <w:t>Alternative Lending</w:t>
            </w:r>
          </w:p>
        </w:tc>
        <w:tc>
          <w:tcPr>
            <w:tcW w:w="100" w:type="dxa"/>
            <w:vAlign w:val="bottom"/>
          </w:tcPr>
          <w:p>
            <w:pPr>
              <w:spacing w:after="0"/>
              <w:rPr>
                <w:sz w:val="19"/>
                <w:szCs w:val="19"/>
                <w:color w:val="auto"/>
              </w:rPr>
            </w:pP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NSBF</w:t>
            </w:r>
          </w:p>
        </w:tc>
        <w:tc>
          <w:tcPr>
            <w:tcW w:w="120" w:type="dxa"/>
            <w:vAlign w:val="bottom"/>
          </w:tcPr>
          <w:p>
            <w:pPr>
              <w:spacing w:after="0"/>
              <w:rPr>
                <w:sz w:val="19"/>
                <w:szCs w:val="19"/>
                <w:color w:val="auto"/>
              </w:rPr>
            </w:pPr>
          </w:p>
        </w:tc>
        <w:tc>
          <w:tcPr>
            <w:tcW w:w="144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Pr>
          <w:p>
            <w:pPr>
              <w:spacing w:after="0"/>
              <w:rPr>
                <w:sz w:val="19"/>
                <w:szCs w:val="19"/>
                <w:color w:val="auto"/>
              </w:rPr>
            </w:pPr>
          </w:p>
        </w:tc>
        <w:tc>
          <w:tcPr>
            <w:tcW w:w="15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7"/>
              </w:rPr>
              <w:t>Corporate &amp; Other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Consolidated</w:t>
            </w:r>
          </w:p>
        </w:tc>
        <w:tc>
          <w:tcPr>
            <w:tcW w:w="0" w:type="dxa"/>
            <w:vAlign w:val="bottom"/>
          </w:tcPr>
          <w:p>
            <w:pPr>
              <w:spacing w:after="0"/>
              <w:rPr>
                <w:sz w:val="1"/>
                <w:szCs w:val="1"/>
                <w:color w:val="auto"/>
              </w:rPr>
            </w:pPr>
          </w:p>
        </w:tc>
      </w:tr>
      <w:tr>
        <w:trPr>
          <w:trHeight w:val="217"/>
        </w:trPr>
        <w:tc>
          <w:tcPr>
            <w:tcW w:w="2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8"/>
              </w:rPr>
              <w:t>Segment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39,094</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income/(loss)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0" w:type="dxa"/>
            <w:vAlign w:val="bottom"/>
          </w:tcPr>
          <w:p>
            <w:pPr>
              <w:spacing w:after="0"/>
              <w:rPr>
                <w:sz w:val="1"/>
                <w:szCs w:val="1"/>
                <w:color w:val="auto"/>
              </w:rPr>
            </w:pPr>
          </w:p>
        </w:tc>
      </w:tr>
      <w:tr>
        <w:trPr>
          <w:trHeight w:val="179"/>
        </w:trPr>
        <w:tc>
          <w:tcPr>
            <w:tcW w:w="2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Provision for loan credit</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0" w:type="dxa"/>
            <w:vAlign w:val="bottom"/>
          </w:tcPr>
          <w:p>
            <w:pPr>
              <w:spacing w:after="0"/>
              <w:rPr>
                <w:sz w:val="1"/>
                <w:szCs w:val="1"/>
                <w:color w:val="auto"/>
              </w:rPr>
            </w:pPr>
          </w:p>
        </w:tc>
      </w:tr>
      <w:tr>
        <w:trPr>
          <w:trHeight w:val="159"/>
        </w:trPr>
        <w:tc>
          <w:tcPr>
            <w:tcW w:w="214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Net interest income after</w:t>
            </w: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 loan credit</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60,388</w:t>
            </w:r>
          </w:p>
        </w:tc>
        <w:tc>
          <w:tcPr>
            <w:tcW w:w="0" w:type="dxa"/>
            <w:vAlign w:val="bottom"/>
          </w:tcPr>
          <w:p>
            <w:pPr>
              <w:spacing w:after="0"/>
              <w:rPr>
                <w:sz w:val="1"/>
                <w:szCs w:val="1"/>
                <w:color w:val="auto"/>
              </w:rPr>
            </w:pPr>
          </w:p>
        </w:tc>
      </w:tr>
      <w:tr>
        <w:trPr>
          <w:trHeight w:val="179"/>
        </w:trPr>
        <w:tc>
          <w:tcPr>
            <w:tcW w:w="2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Electronic payment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expense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0" w:type="dxa"/>
            <w:vAlign w:val="bottom"/>
          </w:tcPr>
          <w:p>
            <w:pPr>
              <w:spacing w:after="0"/>
              <w:rPr>
                <w:sz w:val="1"/>
                <w:szCs w:val="1"/>
                <w:color w:val="auto"/>
              </w:rPr>
            </w:pPr>
          </w:p>
        </w:tc>
      </w:tr>
      <w:tr>
        <w:trPr>
          <w:trHeight w:val="179"/>
        </w:trPr>
        <w:tc>
          <w:tcPr>
            <w:tcW w:w="2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Salaries and employee</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expense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Professional services expense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179"/>
        </w:trPr>
        <w:tc>
          <w:tcPr>
            <w:tcW w:w="2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Other loan origination and</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expense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0" w:type="dxa"/>
            <w:vAlign w:val="bottom"/>
          </w:tcPr>
          <w:p>
            <w:pPr>
              <w:spacing w:after="0"/>
              <w:rPr>
                <w:sz w:val="1"/>
                <w:szCs w:val="1"/>
                <w:color w:val="auto"/>
              </w:rPr>
            </w:pPr>
          </w:p>
        </w:tc>
      </w:tr>
      <w:tr>
        <w:trPr>
          <w:trHeight w:val="179"/>
        </w:trPr>
        <w:tc>
          <w:tcPr>
            <w:tcW w:w="2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Depreciation and</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79"/>
        </w:trPr>
        <w:tc>
          <w:tcPr>
            <w:tcW w:w="2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Loss on extinguishment of</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79"/>
        </w:trPr>
        <w:tc>
          <w:tcPr>
            <w:tcW w:w="2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Other general and</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costs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0" w:type="dxa"/>
            <w:vAlign w:val="bottom"/>
          </w:tcPr>
          <w:p>
            <w:pPr>
              <w:spacing w:after="0"/>
              <w:rPr>
                <w:sz w:val="1"/>
                <w:szCs w:val="1"/>
                <w:color w:val="auto"/>
              </w:rPr>
            </w:pPr>
          </w:p>
        </w:tc>
      </w:tr>
      <w:tr>
        <w:trPr>
          <w:trHeight w:val="21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0" w:type="dxa"/>
            <w:vAlign w:val="bottom"/>
          </w:tcPr>
          <w:p>
            <w:pPr>
              <w:spacing w:after="0"/>
              <w:rPr>
                <w:sz w:val="1"/>
                <w:szCs w:val="1"/>
                <w:color w:val="auto"/>
              </w:rPr>
            </w:pPr>
          </w:p>
        </w:tc>
      </w:tr>
      <w:tr>
        <w:trPr>
          <w:trHeight w:val="21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1,520,476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(31,544)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625,297</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(152,070)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415,364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(48,251)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120,028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(98,083)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762,879</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(714,997)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2,399,099</w:t>
            </w: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&amp; 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14,633</w:t>
            </w:r>
          </w:p>
        </w:tc>
        <w:tc>
          <w:tcPr>
            <w:tcW w:w="0" w:type="dxa"/>
            <w:vAlign w:val="bottom"/>
          </w:tcPr>
          <w:p>
            <w:pPr>
              <w:spacing w:after="0"/>
              <w:rPr>
                <w:sz w:val="1"/>
                <w:szCs w:val="1"/>
                <w:color w:val="auto"/>
              </w:rPr>
            </w:pPr>
          </w:p>
        </w:tc>
      </w:tr>
      <w:tr>
        <w:trPr>
          <w:trHeight w:val="179"/>
        </w:trPr>
        <w:tc>
          <w:tcPr>
            <w:tcW w:w="2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Amortization of intangible</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2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As of and for the three months ended September 30, 2024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Banking</w:t>
            </w: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Alternative Lending</w:t>
            </w:r>
          </w:p>
        </w:tc>
        <w:tc>
          <w:tcPr>
            <w:tcW w:w="120" w:type="dxa"/>
            <w:vAlign w:val="bottom"/>
          </w:tcPr>
          <w:p>
            <w:pPr>
              <w:spacing w:after="0"/>
              <w:rPr>
                <w:sz w:val="19"/>
                <w:szCs w:val="19"/>
                <w:color w:val="auto"/>
              </w:rPr>
            </w:pP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9"/>
                <w:szCs w:val="19"/>
                <w:color w:val="auto"/>
              </w:rPr>
            </w:pP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NSBF</w:t>
            </w:r>
          </w:p>
        </w:tc>
        <w:tc>
          <w:tcPr>
            <w:tcW w:w="100" w:type="dxa"/>
            <w:vAlign w:val="bottom"/>
          </w:tcPr>
          <w:p>
            <w:pPr>
              <w:spacing w:after="0"/>
              <w:rPr>
                <w:sz w:val="19"/>
                <w:szCs w:val="19"/>
                <w:color w:val="auto"/>
              </w:rPr>
            </w:pPr>
          </w:p>
        </w:tc>
        <w:tc>
          <w:tcPr>
            <w:tcW w:w="1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Pr>
          <w:p>
            <w:pPr>
              <w:spacing w:after="0"/>
              <w:rPr>
                <w:sz w:val="19"/>
                <w:szCs w:val="19"/>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Consolidated</w:t>
            </w:r>
          </w:p>
        </w:tc>
        <w:tc>
          <w:tcPr>
            <w:tcW w:w="0" w:type="dxa"/>
            <w:vAlign w:val="bottom"/>
          </w:tcPr>
          <w:p>
            <w:pPr>
              <w:spacing w:after="0"/>
              <w:rPr>
                <w:sz w:val="1"/>
                <w:szCs w:val="1"/>
                <w:color w:val="auto"/>
              </w:rPr>
            </w:pPr>
          </w:p>
        </w:tc>
      </w:tr>
      <w:tr>
        <w:trPr>
          <w:trHeight w:val="217"/>
        </w:trPr>
        <w:tc>
          <w:tcPr>
            <w:tcW w:w="1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Elim</w:t>
            </w:r>
          </w:p>
        </w:tc>
        <w:tc>
          <w:tcPr>
            <w:tcW w:w="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5"/>
              </w:rPr>
              <w:t>Segment</w:t>
            </w: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Elim</w:t>
            </w:r>
          </w:p>
        </w:tc>
        <w:tc>
          <w:tcPr>
            <w:tcW w:w="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5"/>
              </w:rPr>
              <w:t>Segment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Interest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ind w:left="120"/>
              <w:spacing w:after="0" w:line="152" w:lineRule="exact"/>
              <w:rPr>
                <w:sz w:val="20"/>
                <w:szCs w:val="20"/>
                <w:color w:val="auto"/>
              </w:rPr>
            </w:pPr>
            <w:r>
              <w:rPr>
                <w:rFonts w:ascii="Times New Roman" w:cs="Times New Roman" w:eastAsia="Times New Roman" w:hAnsi="Times New Roman"/>
                <w:sz w:val="16"/>
                <w:szCs w:val="16"/>
                <w:color w:val="auto"/>
              </w:rPr>
              <w:t>Net interest</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income/(loss)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Provision for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loan credit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Net interest</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income after</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loan credit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Noninterest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35,424</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(2,008)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12,469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21,299</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51,851</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Electronic</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payment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processing</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Salaries and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employee</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benefits</w:t>
            </w: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tcPr>
          <w:p>
            <w:pPr>
              <w:spacing w:after="0"/>
              <w:rPr>
                <w:sz w:val="15"/>
                <w:szCs w:val="15"/>
                <w:color w:val="auto"/>
              </w:rPr>
            </w:pP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15"/>
                <w:szCs w:val="15"/>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19,149</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services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Professional</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Other loan</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w w:val="98"/>
              </w:rPr>
              <w:t>origination and</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maintenance</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and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Other general</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and</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2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Income before</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19,246</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(1,903)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(10,790)</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(11,101)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0" w:type="dxa"/>
            <w:vAlign w:val="bottom"/>
          </w:tcPr>
          <w:p>
            <w:pPr>
              <w:spacing w:after="0"/>
              <w:rPr>
                <w:sz w:val="1"/>
                <w:szCs w:val="1"/>
                <w:color w:val="auto"/>
              </w:rPr>
            </w:pPr>
          </w:p>
        </w:tc>
      </w:tr>
      <w:tr>
        <w:trPr>
          <w:trHeight w:val="21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(1,903)</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(10,790)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0" w:type="dxa"/>
            <w:vAlign w:val="bottom"/>
          </w:tcPr>
          <w:p>
            <w:pPr>
              <w:spacing w:after="0"/>
              <w:rPr>
                <w:sz w:val="1"/>
                <w:szCs w:val="1"/>
                <w:color w:val="auto"/>
              </w:rPr>
            </w:pPr>
          </w:p>
        </w:tc>
      </w:tr>
      <w:tr>
        <w:trPr>
          <w:trHeight w:val="20"/>
        </w:trPr>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935,319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(22,719)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336,605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(116,051)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21,919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(1,400)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536,000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(82,082)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62,710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(36,007)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651,769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(611,893)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1,674,170</w:t>
            </w:r>
          </w:p>
        </w:tc>
        <w:tc>
          <w:tcPr>
            <w:tcW w:w="0" w:type="dxa"/>
            <w:vAlign w:val="bottom"/>
          </w:tcPr>
          <w:p>
            <w:pPr>
              <w:spacing w:after="0"/>
              <w:rPr>
                <w:sz w:val="1"/>
                <w:szCs w:val="1"/>
                <w:color w:val="auto"/>
              </w:rPr>
            </w:pPr>
          </w:p>
        </w:tc>
      </w:tr>
      <w:tr>
        <w:trPr>
          <w:trHeight w:val="171"/>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Goodwill &amp;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intangible</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13,814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of intangible</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19—SUBSEQUENT EVENTS: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Purchase and Exchange</w:t>
      </w:r>
    </w:p>
    <w:p>
      <w:pPr>
        <w:spacing w:after="0" w:line="24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One of the investors also agreed to purchase $2.0 million in newly issued additional principal amount of the Company’s 2030 Notes. The transactions were conducted pursuant to exemptions from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124" w:right="5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3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matters discussed in this report, as well as in future oral and written statements by Company management that are forward-looking statements, are based on current management expectations that involve substantial risks and uncertainties which could cause actual results to differ materially from the results expressed in, or implied by, these forward-looking statements. These forward-looking statements are not historical facts, but rather are based on current expectations, estimates and projections about us, our industry, our beliefs, and our assumptions. Words such as “may,” “will,” “should,” “expects,” “plans,” “anticipates,” “could,” “intends,” “target,” “projects,” “contemplates,” “believes,” “estimates,” “predicts,” “potential” or “continue” or the negative of these terms or variations of these words and similar expressions are intended to identify forward-looking statements. Important assumptions include our ability to originate new investments, achieve certain margins and levels of profitability, the availability of additional capital, and the ability to maintain certain debt to asset ratios. In light of these and other uncertainties, including recent economic and market events and unrelated bank failures and declines in depositor confidence in certain types of depository institutions, the inclusion of a projection or forward-looking statement in this report should not be regarded as a representation by us that our plans or objectives will be achieved. The forward-looking statements contained in this report, including the documents we incorporate by reference, involve risks and uncertainties, including statements as to:</w:t>
      </w:r>
    </w:p>
    <w:p>
      <w:pPr>
        <w:spacing w:after="0" w:line="5" w:lineRule="exact"/>
        <w:rPr>
          <w:sz w:val="20"/>
          <w:szCs w:val="20"/>
          <w:color w:val="auto"/>
        </w:rPr>
      </w:pPr>
    </w:p>
    <w:p>
      <w:pPr>
        <w:ind w:left="640" w:hanging="319"/>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subsidiaries;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5"/>
        </w:numPr>
        <w:rPr>
          <w:rFonts w:ascii="Arial" w:cs="Arial" w:eastAsia="Arial" w:hAnsi="Arial"/>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and our borrowers operate;</w:t>
      </w:r>
    </w:p>
    <w:p>
      <w:pPr>
        <w:spacing w:after="0" w:line="4" w:lineRule="exact"/>
        <w:rPr>
          <w:rFonts w:ascii="Arial" w:cs="Arial" w:eastAsia="Arial" w:hAnsi="Arial"/>
          <w:sz w:val="18"/>
          <w:szCs w:val="18"/>
          <w:color w:val="auto"/>
        </w:rPr>
      </w:pPr>
    </w:p>
    <w:p>
      <w:pPr>
        <w:ind w:left="640" w:hanging="319"/>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business to achieve its objectives;</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3" w:lineRule="exact"/>
        <w:rPr>
          <w:rFonts w:ascii="Times New Roman" w:cs="Times New Roman" w:eastAsia="Times New Roman" w:hAnsi="Times New Roman"/>
          <w:sz w:val="18"/>
          <w:szCs w:val="18"/>
          <w:color w:val="auto"/>
        </w:rPr>
      </w:pPr>
    </w:p>
    <w:p>
      <w:pPr>
        <w:ind w:left="640" w:right="100" w:hanging="319"/>
        <w:spacing w:after="0" w:line="243" w:lineRule="auto"/>
        <w:tabs>
          <w:tab w:leader="none" w:pos="6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financial holding company and our ability to operate our subsidiary Newtek Bank, a national bank regulated and supervised by the OCC, and the increased compliance and other costs associated with such operations;</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manage liquidity, deposits, capital levels and interest rate risk;</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subsidiaries;</w:t>
      </w:r>
    </w:p>
    <w:p>
      <w:pPr>
        <w:spacing w:after="0" w:line="2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any and all of the forward-looking statements, including without limitation:</w:t>
      </w:r>
    </w:p>
    <w:p>
      <w:pPr>
        <w:spacing w:after="0" w:line="205" w:lineRule="exact"/>
        <w:rPr>
          <w:sz w:val="20"/>
          <w:szCs w:val="20"/>
          <w:color w:val="auto"/>
        </w:rPr>
      </w:pPr>
    </w:p>
    <w:p>
      <w:pPr>
        <w:ind w:left="640" w:right="60" w:hanging="319"/>
        <w:spacing w:after="0" w:line="254" w:lineRule="auto"/>
        <w:tabs>
          <w:tab w:leader="none" w:pos="6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subsidiaries’ ability to continue to operate or repay their borrowings, which could adversely affect our results;</w:t>
      </w:r>
    </w:p>
    <w:p>
      <w:pPr>
        <w:ind w:left="640" w:hanging="319"/>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business activities;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financial markets and the global macroeconomic and geopolitical environment, including higher inflation, tariffs and their impacts;</w:t>
      </w:r>
    </w:p>
    <w:p>
      <w:pPr>
        <w:spacing w:after="0" w:line="3" w:lineRule="exact"/>
        <w:rPr>
          <w:rFonts w:ascii="Times New Roman" w:cs="Times New Roman" w:eastAsia="Times New Roman" w:hAnsi="Times New Roman"/>
          <w:sz w:val="18"/>
          <w:szCs w:val="18"/>
          <w:color w:val="auto"/>
        </w:rPr>
      </w:pPr>
    </w:p>
    <w:p>
      <w:pPr>
        <w:ind w:left="640" w:hanging="319"/>
        <w:spacing w:after="0" w:line="231"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rates and the impacts on macroeconomic conditions and our funding costs;</w:t>
      </w:r>
    </w:p>
    <w:p>
      <w:pPr>
        <w:jc w:val="both"/>
        <w:ind w:left="640" w:right="140" w:hanging="319"/>
        <w:spacing w:after="0" w:line="228" w:lineRule="auto"/>
        <w:tabs>
          <w:tab w:leader="none" w:pos="636"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changes to the SBA 7(a) loan program, including recent revisions to SBA Standard Operating Procedure (“SOP”) as well as the impact of the current Federal government shutdown on the SBA, including the SBA 7(a) Program and SBA 504 program, each of which are currently frozen as a result of the current Federal government shutdown and could materially and adversely affect Newtek Bank’s lending business; and</w:t>
      </w:r>
    </w:p>
    <w:p>
      <w:pPr>
        <w:ind w:left="640" w:right="480" w:hanging="319"/>
        <w:spacing w:after="0" w:line="234" w:lineRule="auto"/>
        <w:tabs>
          <w:tab w:leader="none" w:pos="6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“Risk Factors” and elsewhere in this report and in our filings with the SEC, including the documents we incorporate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and other financial information appearing elsewhere in this report. In addition to historical information, the following discussion and other parts of this report contain forward-looking information that involves risks and uncertainties.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originate loans under the SBA 7(a) program, maintain PLP status, sell SBA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forward-looking statement in this report, including the documents that we incorporate by reference herein, should not be regarded as a representation by us that our plans and objectives will be achieved. Our actual results could differ materially from those anticipated by such forward-looking information due to the factors discussed under Part II “Item 1A. Risk Factors” of this quarterly report on Form 10-Q and “Item 1A. Risk Factors” of our 2024 Form 10-K, and in any subsequent filings we have made with the SEC that are incorporated by reference into this report.</w:t>
      </w:r>
    </w:p>
    <w:p>
      <w:pPr>
        <w:spacing w:after="0" w:line="2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Any forward-looking statements made by or on behalf of the Company speak only as to the date they are made, and the Company does not undertake to update forward-looking statements to reflect the impact of circumstances or events that arise after the date the forward-looking statements were made, except as required by applicable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4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We are a financial holding company owning Newtek Bank - a branchless OCC nationally chartered bank. In 2023, we converted to a financial holding company from a BDC and a non-bank lender (see below). Our target market is owners and prospective owners of SMBs and our services are offered online and in some cases delivered and fulfilled by our staff via video and voice calls. We offer lending products, FDIC insured deposit products and services, payments processing, payroll services and insurance brokerage services. We source our business through our NewtekOne.com web site, our alliance partner network and our marketing database, which is facilitated through our patented NewTracker® platform. Our loan products include SBA 7(a), ALP, SBA 504, and traditional C&amp;I and CRE bank loans. Our deposit products primarily include consumer high yield savings accounts, high yield certificates of deposit, zero-fee business checking, and business money market accounts. We offer business and financial solutions under the Newtek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NewtekOne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brands to the independent business owner (SMB) market.</w:t>
      </w:r>
    </w:p>
    <w:p>
      <w:pPr>
        <w:spacing w:after="0" w:line="224"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Our process to extend credit to borrowers begins with technology, but finishes with credit committee approval. We record CECL reserves on loans held for investment at amortized cost, which for unguaranteed SBA 7(a) loans exceeds 6%. For SBA7(a) loans, we hold the unguaranteed portion and sell portions guaranteed by the SBA, within approximately ninety days of origination (or we may hold guaranteed portions for longer periods), for premiums that have historically exceeded 10%, depending on loan characteristics and market conditions. Unlike traditional financial and bank holding companies, the majority of our income is driven and influenced by noninterest income, specifically gains on sales and market value adjustments on loans. We sell certain loans servicing retained, in which case we record a servicing asset that increases our gain on sale and provides a stream of future income to the extent the loan balance continues to be outstanding.</w:t>
      </w:r>
    </w:p>
    <w:p>
      <w:pPr>
        <w:spacing w:after="0" w:line="21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We fund our activities at Newtek Bank primarily through the aforementioned deposit products. We also offer loans outside of our bank (primarily ALP loans that have been funded by our JVs and our non-bank subsidiary Newtek ALP Holdings) that are initially funded with capital and lines of credit and hedged until a sufficient volume is attained at which time the loans are securitized. We are required by law to hold risk retention in securitization transactions, and the majority of our interests in securitizations are designed to absorb first loss on the loans held in the securitization trusts. Historically, we have participated in joint ventures as additional sources of funding and risk diversification for our ALP loans, and these joint ventures have also securitized their loans. We have also continued to actively issue bonds in the public and private capital markets.</w:t>
      </w:r>
    </w:p>
    <w:p>
      <w:pPr>
        <w:spacing w:after="0" w:line="202" w:lineRule="exact"/>
        <w:rPr>
          <w:sz w:val="20"/>
          <w:szCs w:val="20"/>
          <w:color w:val="auto"/>
        </w:rPr>
      </w:pPr>
    </w:p>
    <w:p>
      <w:pPr>
        <w:jc w:val="both"/>
        <w:ind w:right="160"/>
        <w:spacing w:after="0"/>
        <w:rPr>
          <w:sz w:val="20"/>
          <w:szCs w:val="20"/>
          <w:color w:val="auto"/>
        </w:rPr>
      </w:pPr>
      <w:r>
        <w:rPr>
          <w:rFonts w:ascii="Times New Roman" w:cs="Times New Roman" w:eastAsia="Times New Roman" w:hAnsi="Times New Roman"/>
          <w:sz w:val="18"/>
          <w:szCs w:val="18"/>
          <w:color w:val="auto"/>
        </w:rPr>
        <w:t>We are subject to the regulation and supervision of the Federal Reserve and the Federal Reserve Bank of Atlanta. In addition Newtek Bank is regulated by the OCC and we are required to follow SBA rules and guidelines in the origination, servicing and sale of our SBA loans. Complying with this level of regulation requires investments in technology and process and personnel costs.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to a Financial Holding Company</w:t>
      </w:r>
    </w:p>
    <w:p>
      <w:pPr>
        <w:spacing w:after="0" w:line="22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As of January 6, 2023, we became a financial holding company that, together with our consolidated subsidiaries, provide a wide range of business and financial solutions under the Newtek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NewtekOne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brands to the independent business owner (SMB) market. Effective January 6, 2023, following authorization by our shareholders, we withdrew our previous election to be regulated as a BDC under the 1940 Act. Contemporaneously with withdrawing our election to be regulated as a BDC, on January 6, 2023, we completed the Acquisition of NBNYC, a national bank regulated and supervised by the OCC, pursuant to which we acquired from NBNYC’s shareholders all of the issued and outstanding stock of NBNYC. NBNYC was renamed Newtek Bank and became our wholly owned bank subsidiary. As a result of the Acquisition, we became a financial holding company subject to the regulation and supervision of the Federal Reserve and the Federal Reserve Bank of Atlanta. We no longer qualified as a RIC under Subchapter M of the Code for federal income tax purposes and no longer qualified for accounting treatment as an investment company. As a result, in addition to Newtek Bank and its consolidated subsidiary SBL, the following former portfolio companies and subsidiaries are consolidated non-bank subsidiaries in our financial statements: NSBF; NMS; Mobil Money; NBC; PMT; NIA; TAM; NALH; and POS. In addition, as a result of commitments made to the Federal Reserve, we divested of NTS on January 2, 2025. Refer to NOTE 4—INVESTMENTS: Intelligent Protection Management Corp.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13, 2023, we filed Articles of Amendment amending our Charter to change the name of the Company to “NewtekOne, Inc.”</w:t>
      </w:r>
    </w:p>
    <w:p>
      <w:pPr>
        <w:spacing w:after="0" w:line="240" w:lineRule="exact"/>
        <w:rPr>
          <w:sz w:val="20"/>
          <w:szCs w:val="20"/>
          <w:color w:val="auto"/>
        </w:rPr>
      </w:pPr>
    </w:p>
    <w:p>
      <w:pPr>
        <w:ind w:right="320"/>
        <w:spacing w:after="0" w:line="285" w:lineRule="auto"/>
        <w:rPr>
          <w:sz w:val="20"/>
          <w:szCs w:val="20"/>
          <w:color w:val="auto"/>
        </w:rPr>
      </w:pPr>
      <w:r>
        <w:rPr>
          <w:rFonts w:ascii="Times New Roman" w:cs="Times New Roman" w:eastAsia="Times New Roman" w:hAnsi="Times New Roman"/>
          <w:sz w:val="16"/>
          <w:szCs w:val="16"/>
          <w:color w:val="auto"/>
        </w:rPr>
        <w:t>On April 13, 2023, the Company, NSBF and the SBA entered into the Wind-down Agreement, pursuant to which NSBF is winding-down its operations and NSBF’s SBA 7(a) pipeline of new loans was transitioned to Newtek Bank. During this wind-down process, NSBF continues to own the SBA 7(a) loans and</w:t>
      </w:r>
    </w:p>
    <w:p>
      <w:pPr>
        <w:spacing w:after="0" w:line="1" w:lineRule="exact"/>
        <w:rPr>
          <w:sz w:val="20"/>
          <w:szCs w:val="20"/>
          <w:color w:val="auto"/>
        </w:rPr>
      </w:pPr>
    </w:p>
    <w:p>
      <w:pPr>
        <w:ind w:right="60" w:firstLine="5"/>
        <w:spacing w:after="0" w:line="281" w:lineRule="auto"/>
        <w:tabs>
          <w:tab w:leader="none" w:pos="33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currently in its SBA loan portfolio to maturity, liquidation, charge-off or (subject to SBA’s prior written approval) sale or transfer. SBL is servicing and liquidating NSBF’s SBA loan portfolio pursuant to an SBA approved lender service provider agreement. In addition, during the wind-down process, NSBF is subject to minimum capital requirements established by the SBA, required to continue to maintain certain amounts of restricted cash available to meet any obligations to the SBA, has restrictions on its ability to make dividends and distributions to the Company, and remains liable to the SBA for post-purchase denials and repairs on the guaranteed portions of SBA 7(a) loans originated and sold by NSBF, from the proceeds generated by NSBF’s SBA loan portfolio. The Company has guaranteed certain of NSBF’s obligations to the SBA and has funded a $10.0 million account to secure these potential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Business Regulation and Taxation</w:t>
      </w:r>
    </w:p>
    <w:p>
      <w:pPr>
        <w:spacing w:after="0" w:line="24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Prior to January 6, 2023, we operated as an internally managed non-diversified closed-end management investment company that elected to be regulated as a BDC under the 1940 Act. As a BDC under the 1940 Act we were not permitted to acquire any asset other than assets of the type listed in Section 55(a) of the 1940 Act, which are referred to as qualifying assets, unless, at the time the acquisition is made, qualifying assets represent at least 70% of the company’s total assets, and we were not permitted to issue senior securities unless the ratio of our total assets (less total liabilities other than indebtedness represented by senior securities) to our total indebtedness represented by senior securities plus preferred stock, if any, was at least 150%. As of December 31 2022, our asset coverage was 169%. Although we are no longer regulated as a BDC, certain covenants in our outstanding 2026 Notes require us to maintain an asset coverage of at least 150% as long as the 2026 Notes are outstanding. See 2024 Form 10-K, “ITEM 1A. RISK FACTORS – Risks Related to our Outstanding Indebtedness – We are subject to 150% asset coverage requirements due to covenants contained in certain of our outstanding debt.”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Additionally, prior to January 6, 2023, due to our status as a BDC, we elected to be treated as a RIC for U.S. federal income tax purposes, beginning with our 2015 tax year. As an entity electing to be treated as a RIC, we generally did not have to pay U.S. federal income taxes at corporate rates on any ordinary income or capital gains that we distributed to our shareholders as dividends. The Company and its subsidiaries no longer qualify as a RIC for U.S. federal income tax purposes and filed a consolidated U.S. federal income tax return beginning with the 2023 fiscal year.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 (ii) 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rate because it will be dependent upon the nature and amount of future income and expenses as well as actual investments generating investment tax credits and transactions with discrete tax effects.</w:t>
      </w:r>
    </w:p>
    <w:p>
      <w:pPr>
        <w:spacing w:after="0" w:line="22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From 2012 through December 31, 2022, NSBF was consistently the largest non-bank SBA 7(a) lender in the U.S. based on dollar volume of loan approvals, and, as of December 31, 2022, was the third largest SBA 7(a) lender in the United States. Currently, Newtek Bank is ranked as the second largest SBA 7(a) lender based on dollar volume of loans approved.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Pursuant to the Wind-down Agreement described above, in April 2023 NSBF transitioned its SBA 7(a) loan originations to Newtek Bank and is in the process of winding down its operations and will continue to own the 7(a) Loans and PPP Loans in its SBA loan portfolio to maturity, liquidation, charge-off or (subject to SBA’s prior written approval) sale or transfer.</w:t>
      </w:r>
    </w:p>
    <w:p>
      <w:pPr>
        <w:spacing w:after="0" w:line="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Additionally, we and our subsidiaries provide a wide range of business and financial solutions to independent business owner relationships, including Business Lending, which includes SBA 7(a) loans, SBA 504 loans, ALP loans, C&amp;I loans, CRE loans and ABL loans; Electronic Payment Processing, personal and commercial lines Insurance Services, and Payroll and Benefits Solutions to independent business owner relationships nationwide across all industries. With the divestiture of NTS, we no longer provide Managed Technology Solutions to our clients, however, we are currently referring our clients to IPM for its offering of Managed Technology Solutions and can earn a finder’s fee pursuant to a referral promotion agreement. We support the operations of our subsidiaries by providing access to our proprietary and patented technology platform, including NewTracker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patented prospect management software. We have historically defined independent business owners (SMBs) as companies having revenues of $1 million to $100 million, and we have generally estimated the SMB market to be over 34 million businesses in the United States. We make loans and provide business and financial solutions to the SMB market through our bank and non-bank subsidiaries. In addition, we now offer the Newtek Advantage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the One Dashboard for All of Your Business Needs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which provides independent business owners with instant access to a team of NewtekOne business and financial solutions experts in the areas of Business Lending, Electronic Payment Processing, personal and commercial lines Insurance Services and Payroll and Benefits Solutions. Moreover, the Newtek Advantage provides our independent business owner clients with analytics on their businesses, as well as transactional capabilities, including free unlimited document storage, free real-time updated traffic analytics, free real-time credit card processing and chargeback batch information for merchant solutions clients and the ability for PMT clients to make payroll directly from the Newtek Advantage business portal.</w:t>
      </w:r>
    </w:p>
    <w:p>
      <w:pPr>
        <w:spacing w:after="0" w:line="228"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The Company has originated loans under its ALP since 2019. These loans have terms between 10 and 25 years, bear fixed interest rates that reset every five years, and have prepayment penalties. The criteria evaluated in underwriting ALP loans and the terms of these loans have been generally consistent over the ALP’s existence. Prior to July 1, 2024, the Company originated ALP loans with the intent to sell the loans to a JV. While the Company may continue to source JV partners to participate in the ALP, during the third quarter of 2024, we made the decision to originate with the intent to securitize ALP loans with our subsidiary Newtek ALP Holdings as the originator and sponsor. For example, during the second quarter of 2025, Newtek ALP Holdings closed a securitization backed by $216,564,700 of ALP loans. The Company could also originate ALP loans designated as HFI.</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Following the Acquisition, there can be no assurance regarding our continued lending prospects or operations as a financial holding company. See 2024 Form 10-K, “ITEM 1A. RISK FACTORS – Risks Related to Operation as a Financial Holding Company – We are subject to extensive regulation and supervision as a financial holding company, which may adversely affect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currently listed on the Nasdaq Global Market under the symbol “NEWT”.</w:t>
      </w:r>
    </w:p>
    <w:p>
      <w:pPr>
        <w:spacing w:after="0" w:line="24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Newtek Bank is a national bank and nationally licensed SBA lender under the SBA 7(a)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SBA 7(a)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2024 Form 10-K, “ITEM 1A. RISK FACTORS - Risks Related to SBA Lending - There can be no guarantee that Newtek Bank will be able to maintain its SBA 7(a) lending license and PLP status.” and “ITEM 1A. RISK FACTORS - Risks Related to SBA Lending - A governmental failure to fund the SBA could adversely affect Newtek Bank’s SBA 7(a) loan originations and our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Developments</w:t>
      </w:r>
    </w:p>
    <w:p>
      <w:pPr>
        <w:spacing w:after="0" w:line="24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We have observed and continue to observe commodity inflation, rising interest rates, unrelated bank failures and declines in depositor confidence in certain types of depository institutions. In addition, the conflicts in the Middle East and the war between Russia and Ukraine, and resulting market volatility, could adversely affect our business, financial condition or results of operations. The ongoing conflicts have negatively affected the global economy and business activity and could have a material adverse effect on our business, financial condition, cash flows and results of operations. The severity and duration of conflicts and their impact on global economic and market conditions are impossible to predict. In 2024, numerous elections were held globally, including the recent U.S. presidential election. The outcomes of the elections are expected to result in changes in policy, which could also have adverse effects on us or the business environment in which we operate more generally. For example, the new U.S. presidential administration has imposed or increased tariffs, including on imports from China, and proposed imposing or increasing tariffs on U.S. trading partners, which could adversely affect markets, the business environment and our business. On July 4, 2025, federal legislation generally referred to as H.R. 1 - One Big Beautiful Bill Act (the “Act”) was signed into law. The Act includes a variety of tax provisions including permanently extending and modifying certain key aspects of existing federal tax law. U.S. GAAP requires the effects of changes in tax laws and rates to be recognized in its financial statements in the period in which legislation is enacted.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We monitor developments and seek to manage our investments in a manner consistent with achieving our investment objective, but there can be no assurance that we will be successful in doing so.</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w:t>
      </w:r>
    </w:p>
    <w:p>
      <w:pPr>
        <w:spacing w:after="0" w:line="2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For the quarterly period ended September 30, 2025, we generated income in the form of interest, net gains on the sales of loans originated (which primarily include sales of SBA 7(a) and ALP loans) and related servicing assets on such sales, dividends, electronic payment processing income, servicing income, and other fee income 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 prior to their scheduled maturity date. The frequency or volume of these repayments fluctuated significantly from period to period. Our portfolio activity for the quarterly period ended September 30, 2025, also reflects the proceeds of sales of guaranteed portions of SBA 7(a) loans we originated. In addition, we received servicing income related to the guaranteed portions of SBA 7(a) loans which we originated and sold into the secondary market as well as on the portfolios of ALP loans owned and then securitized by NCL JV (dissolved in September 2025), TSO JV and Newtek ALP Holdings. These recurring fees are outlined in servicing agreements and were recorded when earned. In addition, we generated revenue in the form of loan origination fees (packaging and legal fees) as well as loan prepayment and late fees. We recorded such fees related to loans held for sale as other income. Distributions of earnings from our joint ventures were evaluated to determine if the distribution was income, return of capital or realized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We recognized realized gains or losses on loans based on the difference between (1) the net proceeds from the disposition and any servicing assets recognized and (2)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servicing assets, as appropriate, as well as amortization and impairment, if any, of LCM servicing rights in the consolidated statements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18"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For the quarterly period ended September 30, 2025, our primary operating expenses were salaries and benefits, interest expense including interest on deposits, electronic payment processing expense, loan origination and servicing expenses, and other general and administrative costs, such as professional fees, marketing, referral fees, servicing costs and rent.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Financial Condition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30, 2025 vs. December 31, 2024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4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Total assets at September 30, 2025 were $2.4 billion, an increase of $339.2 million, or 16.5%, compared to total assets of $2.1 billion at December 31, 2024. As of December 31, 2024, the Company held the assets and liabilities of NTS for sale. Refer to NOTE 4—INVESTMENTS: Intelligent Protection Management Corp</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7"/>
                <w:szCs w:val="17"/>
                <w:color w:val="auto"/>
              </w:rPr>
            </w:pPr>
          </w:p>
        </w:tc>
        <w:tc>
          <w:tcPr>
            <w:tcW w:w="12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7"/>
                <w:szCs w:val="17"/>
                <w:color w:val="auto"/>
              </w:rPr>
            </w:pP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6"/>
        </w:trPr>
        <w:tc>
          <w:tcPr>
            <w:tcW w:w="7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384,715</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 at LCM</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(30,125)</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(64,026)</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amortized cost, net of deferred fees and costs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212,436</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(14,933)</w:t>
            </w:r>
          </w:p>
        </w:tc>
        <w:tc>
          <w:tcPr>
            <w:tcW w:w="0" w:type="dxa"/>
            <w:vAlign w:val="bottom"/>
          </w:tcPr>
          <w:p>
            <w:pPr>
              <w:spacing w:after="0"/>
              <w:rPr>
                <w:sz w:val="1"/>
                <w:szCs w:val="1"/>
                <w:color w:val="auto"/>
              </w:rPr>
            </w:pPr>
          </w:p>
        </w:tc>
      </w:tr>
      <w:tr>
        <w:trPr>
          <w:trHeight w:val="217"/>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amortized cost, net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788,921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591,418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197,503</w:t>
            </w:r>
          </w:p>
        </w:tc>
        <w:tc>
          <w:tcPr>
            <w:tcW w:w="0" w:type="dxa"/>
            <w:vAlign w:val="bottom"/>
          </w:tcPr>
          <w:p>
            <w:pPr>
              <w:spacing w:after="0"/>
              <w:rPr>
                <w:sz w:val="1"/>
                <w:szCs w:val="1"/>
                <w:color w:val="auto"/>
              </w:rPr>
            </w:pPr>
          </w:p>
        </w:tc>
      </w:tr>
      <w:tr>
        <w:trPr>
          <w:trHeight w:val="24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1,880,320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488,067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sale</w:t>
      </w:r>
    </w:p>
    <w:p>
      <w:pPr>
        <w:spacing w:after="0" w:line="244"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Loans HFS, at fair value increased $384.7 million during the nine months ended September 30, 2025. The overall increase was primarily the result of holding guaranteed portions of SBA 7(a) loans for longer periods of time as well as new loan originations during 2025, in the amount of $310.6 million in SBA loans and an increase of $74.1 million for ALP loans.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08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6"/>
        </w:trPr>
        <w:tc>
          <w:tcPr>
            <w:tcW w:w="700" w:type="dxa"/>
            <w:vAlign w:val="bottom"/>
            <w:tcBorders>
              <w:bottom w:val="single" w:sz="8" w:color="CCEEFF"/>
            </w:tcBorders>
          </w:tcPr>
          <w:p>
            <w:pPr>
              <w:spacing w:after="0"/>
              <w:rPr>
                <w:sz w:val="20"/>
                <w:szCs w:val="20"/>
                <w:color w:val="auto"/>
              </w:rPr>
            </w:pPr>
          </w:p>
        </w:tc>
        <w:tc>
          <w:tcPr>
            <w:tcW w:w="6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27,204</w:t>
            </w:r>
          </w:p>
        </w:tc>
        <w:tc>
          <w:tcPr>
            <w:tcW w:w="0" w:type="dxa"/>
            <w:vAlign w:val="bottom"/>
          </w:tcPr>
          <w:p>
            <w:pPr>
              <w:spacing w:after="0"/>
              <w:rPr>
                <w:sz w:val="1"/>
                <w:szCs w:val="1"/>
                <w:color w:val="auto"/>
              </w:rPr>
            </w:pPr>
          </w:p>
        </w:tc>
      </w:tr>
      <w:tr>
        <w:trPr>
          <w:trHeight w:val="22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Lien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23"/>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7(a)</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260,666</w:t>
            </w:r>
          </w:p>
        </w:tc>
        <w:tc>
          <w:tcPr>
            <w:tcW w:w="0" w:type="dxa"/>
            <w:vAlign w:val="bottom"/>
          </w:tcPr>
          <w:p>
            <w:pPr>
              <w:spacing w:after="0"/>
              <w:rPr>
                <w:sz w:val="1"/>
                <w:szCs w:val="1"/>
                <w:color w:val="auto"/>
              </w:rPr>
            </w:pPr>
          </w:p>
        </w:tc>
      </w:tr>
      <w:tr>
        <w:trPr>
          <w:trHeight w:val="223"/>
        </w:trPr>
        <w:tc>
          <w:tcPr>
            <w:tcW w:w="71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SBA 7(a) Partials</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0" w:type="dxa"/>
            <w:vAlign w:val="bottom"/>
          </w:tcPr>
          <w:p>
            <w:pPr>
              <w:spacing w:after="0"/>
              <w:rPr>
                <w:sz w:val="1"/>
                <w:szCs w:val="1"/>
                <w:color w:val="auto"/>
              </w:rPr>
            </w:pPr>
          </w:p>
        </w:tc>
      </w:tr>
      <w:tr>
        <w:trPr>
          <w:trHeight w:val="217"/>
        </w:trPr>
        <w:tc>
          <w:tcPr>
            <w:tcW w:w="7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SBA loans</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470,373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310,585</w:t>
            </w:r>
          </w:p>
        </w:tc>
        <w:tc>
          <w:tcPr>
            <w:tcW w:w="0" w:type="dxa"/>
            <w:vAlign w:val="bottom"/>
          </w:tcPr>
          <w:p>
            <w:pPr>
              <w:spacing w:after="0"/>
              <w:rPr>
                <w:sz w:val="1"/>
                <w:szCs w:val="1"/>
                <w:color w:val="auto"/>
              </w:rPr>
            </w:pPr>
          </w:p>
        </w:tc>
      </w:tr>
      <w:tr>
        <w:trPr>
          <w:trHeight w:val="223"/>
        </w:trPr>
        <w:tc>
          <w:tcPr>
            <w:tcW w:w="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ALP</w:t>
            </w:r>
          </w:p>
        </w:tc>
        <w:tc>
          <w:tcPr>
            <w:tcW w:w="6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286,628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212,498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74,130</w:t>
            </w:r>
          </w:p>
        </w:tc>
        <w:tc>
          <w:tcPr>
            <w:tcW w:w="0" w:type="dxa"/>
            <w:vAlign w:val="bottom"/>
          </w:tcPr>
          <w:p>
            <w:pPr>
              <w:spacing w:after="0"/>
              <w:rPr>
                <w:sz w:val="1"/>
                <w:szCs w:val="1"/>
                <w:color w:val="auto"/>
              </w:rPr>
            </w:pPr>
          </w:p>
        </w:tc>
      </w:tr>
      <w:tr>
        <w:trPr>
          <w:trHeight w:val="242"/>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757,001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384,715</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80" w:hanging="175"/>
        <w:spacing w:after="0"/>
        <w:tabs>
          <w:tab w:leader="none" w:pos="180"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Reclassified from Loans HFS, at LCM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HFS, at LCM decreased $30.1 million during the same period. The overall decrease was primarily the result of loan sales that occurred in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7"/>
                <w:szCs w:val="17"/>
                <w:color w:val="auto"/>
              </w:rPr>
            </w:pPr>
          </w:p>
        </w:tc>
        <w:tc>
          <w:tcPr>
            <w:tcW w:w="108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6"/>
        </w:trPr>
        <w:tc>
          <w:tcPr>
            <w:tcW w:w="700" w:type="dxa"/>
            <w:vAlign w:val="bottom"/>
            <w:tcBorders>
              <w:bottom w:val="single" w:sz="8" w:color="CCEEFF"/>
            </w:tcBorders>
          </w:tcPr>
          <w:p>
            <w:pPr>
              <w:spacing w:after="0"/>
              <w:rPr>
                <w:sz w:val="20"/>
                <w:szCs w:val="20"/>
                <w:color w:val="auto"/>
              </w:rPr>
            </w:pPr>
          </w:p>
        </w:tc>
        <w:tc>
          <w:tcPr>
            <w:tcW w:w="6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0" w:type="dxa"/>
            <w:vAlign w:val="bottom"/>
          </w:tcPr>
          <w:p>
            <w:pPr>
              <w:spacing w:after="0"/>
              <w:rPr>
                <w:sz w:val="1"/>
                <w:szCs w:val="1"/>
                <w:color w:val="auto"/>
              </w:rPr>
            </w:pPr>
          </w:p>
        </w:tc>
      </w:tr>
      <w:tr>
        <w:trPr>
          <w:trHeight w:val="22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Lien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23"/>
        </w:trPr>
        <w:tc>
          <w:tcPr>
            <w:tcW w:w="71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SBA 7(a) Partials</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0" w:type="dxa"/>
            <w:vAlign w:val="bottom"/>
          </w:tcPr>
          <w:p>
            <w:pPr>
              <w:spacing w:after="0"/>
              <w:rPr>
                <w:sz w:val="1"/>
                <w:szCs w:val="1"/>
                <w:color w:val="auto"/>
              </w:rPr>
            </w:pPr>
          </w:p>
        </w:tc>
      </w:tr>
      <w:tr>
        <w:trPr>
          <w:trHeight w:val="217"/>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HFS, at LCM</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ind w:left="180" w:hanging="175"/>
        <w:spacing w:after="0"/>
        <w:tabs>
          <w:tab w:leader="none" w:pos="18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Reclassified to Loans HFS, at fair value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w:t>
      </w:r>
    </w:p>
    <w:p>
      <w:pPr>
        <w:spacing w:after="0" w:line="242"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At Fair value: </w:t>
      </w:r>
      <w:r>
        <w:rPr>
          <w:rFonts w:ascii="Times New Roman" w:cs="Times New Roman" w:eastAsia="Times New Roman" w:hAnsi="Times New Roman"/>
          <w:sz w:val="16"/>
          <w:szCs w:val="16"/>
          <w:color w:val="auto"/>
        </w:rPr>
        <w:t>Loans HFI, at fair value were $305.7 million at September 30, 2025 compared to $369.7 million at December 31, 2024. The balance consists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of SBA 7(a) loans as well as $5.8 million of loans that the Company owns 100% as a result of originating the loan and subsequently repurchasing the guaranteed portion from the SBA. As previously discussed, NSBF ceased originating loans during 2023, resulting in the decrease in the balance of loans held for investment from December 31, 2024 to September 30, 2025, primarily due to the principal payments of existing loans held by NSBF.</w:t>
      </w:r>
    </w:p>
    <w:p>
      <w:pPr>
        <w:spacing w:after="0" w:line="176"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At Amortized Cost: </w:t>
      </w:r>
      <w:r>
        <w:rPr>
          <w:rFonts w:ascii="Times New Roman" w:cs="Times New Roman" w:eastAsia="Times New Roman" w:hAnsi="Times New Roman"/>
          <w:sz w:val="18"/>
          <w:szCs w:val="18"/>
          <w:color w:val="auto"/>
        </w:rPr>
        <w:t>Loans HFI, at amortized cost consist of loans originated at or purchased by Newtek Bank. The $212.4 million increase in loans HFI,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is the result of an increase in originations for the nine months ended September 30, 2025 over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Credit Quality: </w:t>
      </w:r>
      <w:r>
        <w:rPr>
          <w:rFonts w:ascii="Times New Roman" w:cs="Times New Roman" w:eastAsia="Times New Roman" w:hAnsi="Times New Roman"/>
          <w:sz w:val="18"/>
          <w:szCs w:val="18"/>
          <w:color w:val="auto"/>
        </w:rPr>
        <w:t>The following table presents an analysis of loans HFI with credit metrics, including a breakdown by days aged: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Credit Quality Ratios</w:t>
            </w:r>
          </w:p>
        </w:tc>
        <w:tc>
          <w:tcPr>
            <w:tcW w:w="320" w:type="dxa"/>
            <w:vAlign w:val="bottom"/>
          </w:tcPr>
          <w:p>
            <w:pPr>
              <w:spacing w:after="0"/>
              <w:rPr>
                <w:sz w:val="20"/>
                <w:szCs w:val="20"/>
                <w:color w:val="auto"/>
              </w:rPr>
            </w:pPr>
          </w:p>
        </w:tc>
        <w:tc>
          <w:tcPr>
            <w:tcW w:w="2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tcPr>
          <w:p>
            <w:pPr>
              <w:spacing w:after="0"/>
              <w:rPr>
                <w:sz w:val="20"/>
                <w:szCs w:val="20"/>
                <w:color w:val="auto"/>
              </w:rPr>
            </w:pPr>
          </w:p>
        </w:tc>
        <w:tc>
          <w:tcPr>
            <w:tcW w:w="218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0"/>
        </w:trPr>
        <w:tc>
          <w:tcPr>
            <w:tcW w:w="6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At Amortized Cost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741,649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575,444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92.8 %</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 30-89 Days and accruing</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90 and more Days and accruing</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17"/>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at amortized cost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831,720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fees and costs</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320" w:type="dxa"/>
            <w:vAlign w:val="bottom"/>
            <w:shd w:val="clear" w:color="auto" w:fill="CCEEFF"/>
          </w:tcPr>
          <w:p>
            <w:pPr>
              <w:spacing w:after="0"/>
              <w:rPr>
                <w:sz w:val="19"/>
                <w:szCs w:val="19"/>
                <w:color w:val="auto"/>
              </w:rPr>
            </w:pPr>
          </w:p>
        </w:tc>
      </w:tr>
      <w:tr>
        <w:trPr>
          <w:trHeight w:val="21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at amortized cost, net of deferred fees and costs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834,087</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621,651</w:t>
            </w:r>
          </w:p>
        </w:tc>
        <w:tc>
          <w:tcPr>
            <w:tcW w:w="1320" w:type="dxa"/>
            <w:vAlign w:val="bottom"/>
          </w:tcPr>
          <w:p>
            <w:pPr>
              <w:spacing w:after="0"/>
              <w:rPr>
                <w:sz w:val="18"/>
                <w:szCs w:val="18"/>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63"/>
        </w:trPr>
        <w:tc>
          <w:tcPr>
            <w:tcW w:w="6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At Fair Value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251,616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 30-89 Days and accruing</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90 and more Days and accruing</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17"/>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305,720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 and nonaccrual loans as % of Outstanding UPB</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63"/>
        </w:trPr>
        <w:tc>
          <w:tcPr>
            <w:tcW w:w="6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as a percentage of total assets</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HFI, at amortized cost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HFI, at fair value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7"/>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146,713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 exposure</w:t>
      </w:r>
    </w:p>
    <w:p>
      <w:pPr>
        <w:spacing w:after="0" w:line="24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Company’s loan portfolio consists of loans to independent business owners (SMBs). The Company’s Loans HFI at amortized cost and Loans HFS at LCM include a total of $342.7 million of loans, including unfunded commitments, backed by CRE and considered non-owner occupied as of September 30, 2025. The average loan-to-value for this CRE portfolio was 58.3%.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detail of the loans considered non-owner occupied CRE that are not carried at fair value: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5"/>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1360" w:type="dxa"/>
            <w:vAlign w:val="bottom"/>
            <w:gridSpan w:val="3"/>
          </w:tcPr>
          <w:p>
            <w:pPr>
              <w:jc w:val="center"/>
              <w:ind w:right="80"/>
              <w:spacing w:after="0" w:line="163" w:lineRule="exact"/>
              <w:rPr>
                <w:sz w:val="20"/>
                <w:szCs w:val="20"/>
                <w:color w:val="auto"/>
              </w:rPr>
            </w:pPr>
            <w:r>
              <w:rPr>
                <w:rFonts w:ascii="Times New Roman" w:cs="Times New Roman" w:eastAsia="Times New Roman" w:hAnsi="Times New Roman"/>
                <w:sz w:val="16"/>
                <w:szCs w:val="16"/>
                <w:color w:val="auto"/>
                <w:w w:val="98"/>
              </w:rPr>
              <w:t>HFI at amortized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line="163" w:lineRule="exact"/>
              <w:rPr>
                <w:sz w:val="20"/>
                <w:szCs w:val="20"/>
                <w:color w:val="auto"/>
              </w:rPr>
            </w:pPr>
            <w:r>
              <w:rPr>
                <w:rFonts w:ascii="Times New Roman" w:cs="Times New Roman" w:eastAsia="Times New Roman" w:hAnsi="Times New Roman"/>
                <w:sz w:val="16"/>
                <w:szCs w:val="16"/>
                <w:color w:val="auto"/>
                <w:w w:val="96"/>
              </w:rPr>
              <w:t>HFI at amortized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6"/>
              </w:rPr>
              <w:t>cost, net of</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HFS at LCM</w:t>
            </w:r>
          </w:p>
        </w:tc>
        <w:tc>
          <w:tcPr>
            <w:tcW w:w="200" w:type="dxa"/>
            <w:vAlign w:val="bottom"/>
          </w:tcPr>
          <w:p>
            <w:pPr>
              <w:spacing w:after="0"/>
              <w:rPr>
                <w:sz w:val="14"/>
                <w:szCs w:val="14"/>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4"/>
                <w:szCs w:val="14"/>
                <w:color w:val="auto"/>
              </w:rPr>
            </w:pPr>
          </w:p>
        </w:tc>
        <w:tc>
          <w:tcPr>
            <w:tcW w:w="960" w:type="dxa"/>
            <w:vAlign w:val="bottom"/>
            <w:gridSpan w:val="2"/>
          </w:tcPr>
          <w:p>
            <w:pPr>
              <w:ind w:left="260"/>
              <w:spacing w:after="0" w:line="171" w:lineRule="exact"/>
              <w:rPr>
                <w:sz w:val="20"/>
                <w:szCs w:val="20"/>
                <w:color w:val="auto"/>
              </w:rPr>
            </w:pPr>
            <w:r>
              <w:rPr>
                <w:rFonts w:ascii="Times New Roman" w:cs="Times New Roman" w:eastAsia="Times New Roman" w:hAnsi="Times New Roman"/>
                <w:sz w:val="16"/>
                <w:szCs w:val="16"/>
                <w:color w:val="auto"/>
              </w:rPr>
              <w:t>LTV</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8"/>
              </w:rPr>
              <w:t>cost, net of</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HFS at LCM</w:t>
            </w:r>
          </w:p>
        </w:tc>
        <w:tc>
          <w:tcPr>
            <w:tcW w:w="220" w:type="dxa"/>
            <w:vAlign w:val="bottom"/>
          </w:tcPr>
          <w:p>
            <w:pPr>
              <w:spacing w:after="0"/>
              <w:rPr>
                <w:sz w:val="14"/>
                <w:szCs w:val="14"/>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4"/>
                <w:szCs w:val="14"/>
                <w:color w:val="auto"/>
              </w:rPr>
            </w:pPr>
          </w:p>
        </w:tc>
        <w:tc>
          <w:tcPr>
            <w:tcW w:w="860" w:type="dxa"/>
            <w:vAlign w:val="bottom"/>
          </w:tcPr>
          <w:p>
            <w:pPr>
              <w:jc w:val="right"/>
              <w:ind w:right="221"/>
              <w:spacing w:after="0" w:line="171" w:lineRule="exact"/>
              <w:rPr>
                <w:sz w:val="20"/>
                <w:szCs w:val="20"/>
                <w:color w:val="auto"/>
              </w:rPr>
            </w:pPr>
            <w:r>
              <w:rPr>
                <w:rFonts w:ascii="Times New Roman" w:cs="Times New Roman" w:eastAsia="Times New Roman" w:hAnsi="Times New Roman"/>
                <w:sz w:val="16"/>
                <w:szCs w:val="16"/>
                <w:color w:val="auto"/>
              </w:rPr>
              <w:t>LTV</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7"/>
              </w:rPr>
              <w:t>deferred fees and</w:t>
            </w:r>
          </w:p>
        </w:tc>
        <w:tc>
          <w:tcPr>
            <w:tcW w:w="10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w w:val="99"/>
              </w:rPr>
              <w:t>by CRE type</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deferred fees and</w:t>
            </w:r>
          </w:p>
        </w:tc>
        <w:tc>
          <w:tcPr>
            <w:tcW w:w="10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by CRE type</w:t>
            </w:r>
          </w:p>
        </w:tc>
        <w:tc>
          <w:tcPr>
            <w:tcW w:w="0" w:type="dxa"/>
            <w:vAlign w:val="bottom"/>
          </w:tcPr>
          <w:p>
            <w:pPr>
              <w:spacing w:after="0"/>
              <w:rPr>
                <w:sz w:val="1"/>
                <w:szCs w:val="1"/>
                <w:color w:val="auto"/>
              </w:rPr>
            </w:pPr>
          </w:p>
        </w:tc>
      </w:tr>
      <w:tr>
        <w:trPr>
          <w:trHeight w:val="56"/>
        </w:trPr>
        <w:tc>
          <w:tcPr>
            <w:tcW w:w="248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costs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3"/>
              </w:rPr>
              <w:t>costs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not backed by NOO CRE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577,166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577,166</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429,820</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backed by NOO CRE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285,599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loans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834,087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862,765</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680,454</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backed by NOO CRE by type: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69,288</w:t>
            </w: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45,594</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 Family</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0" w:type="dxa"/>
            <w:vAlign w:val="bottom"/>
          </w:tcPr>
          <w:p>
            <w:pPr>
              <w:spacing w:after="0"/>
              <w:rPr>
                <w:sz w:val="1"/>
                <w:szCs w:val="1"/>
                <w:color w:val="auto"/>
              </w:rPr>
            </w:pPr>
          </w:p>
        </w:tc>
      </w:tr>
      <w:tr>
        <w:trPr>
          <w:trHeight w:val="228"/>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Multifamily</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34,615</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28"/>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Office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Construction and land development</w:t>
            </w:r>
            <w:r>
              <w:rPr>
                <w:rFonts w:ascii="Times New Roman" w:cs="Times New Roman" w:eastAsia="Times New Roman" w:hAnsi="Times New Roman"/>
                <w:sz w:val="20"/>
                <w:szCs w:val="20"/>
                <w:color w:val="auto"/>
                <w:w w:val="99"/>
                <w:vertAlign w:val="superscript"/>
              </w:rPr>
              <w:t>1</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0" w:type="dxa"/>
            <w:vAlign w:val="bottom"/>
          </w:tcPr>
          <w:p>
            <w:pPr>
              <w:spacing w:after="0"/>
              <w:rPr>
                <w:sz w:val="1"/>
                <w:szCs w:val="1"/>
                <w:color w:val="auto"/>
              </w:rPr>
            </w:pPr>
          </w:p>
        </w:tc>
      </w:tr>
      <w:tr>
        <w:trPr>
          <w:trHeight w:val="228"/>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0" w:type="dxa"/>
            <w:vAlign w:val="bottom"/>
          </w:tcPr>
          <w:p>
            <w:pPr>
              <w:spacing w:after="0"/>
              <w:rPr>
                <w:sz w:val="1"/>
                <w:szCs w:val="1"/>
                <w:color w:val="auto"/>
              </w:rPr>
            </w:pPr>
          </w:p>
        </w:tc>
      </w:tr>
      <w:tr>
        <w:trPr>
          <w:trHeight w:val="221"/>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NOO CRE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256,921</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285,599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191,831</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Unfunded Commitments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Construction and land development</w:t>
            </w:r>
            <w:r>
              <w:rPr>
                <w:rFonts w:ascii="Times New Roman" w:cs="Times New Roman" w:eastAsia="Times New Roman" w:hAnsi="Times New Roman"/>
                <w:sz w:val="20"/>
                <w:szCs w:val="20"/>
                <w:color w:val="auto"/>
                <w:w w:val="99"/>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57,053</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48,402</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unfunded commitments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57,053</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48,415</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CRE Loans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256,921</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342,652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191,831</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107,218</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299,049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80" w:right="80" w:hanging="75"/>
        <w:spacing w:after="0" w:line="209" w:lineRule="auto"/>
        <w:tabs>
          <w:tab w:leader="none" w:pos="86"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Construction and land development includes SBA 504 first and second lien loans. The LTV on first lien is generally 65%. Second liens are typically taken out by the SBA following project completion and occupancy by the borrower. The LTV calculated is based on total exposure.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detail of the Company’s Goodwill and intangibles: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September 30, 2025</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December 31, 2024</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7"/>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Intangible Assets</w:t>
            </w:r>
          </w:p>
        </w:tc>
        <w:tc>
          <w:tcPr>
            <w:tcW w:w="28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Intangible Assets</w:t>
            </w:r>
          </w:p>
        </w:tc>
        <w:tc>
          <w:tcPr>
            <w:tcW w:w="260" w:type="dxa"/>
            <w:vAlign w:val="bottom"/>
          </w:tcPr>
          <w:p>
            <w:pPr>
              <w:spacing w:after="0"/>
              <w:rPr>
                <w:sz w:val="18"/>
                <w:szCs w:val="18"/>
                <w:color w:val="auto"/>
              </w:rPr>
            </w:pP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Total</w:t>
            </w:r>
          </w:p>
        </w:tc>
      </w:tr>
      <w:tr>
        <w:trPr>
          <w:trHeight w:val="217"/>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 segment</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segment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r>
      <w:tr>
        <w:trPr>
          <w:trHeight w:val="242"/>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goodwill and intangible assets relates to amortization of intangible assets during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A sensitivity analysis of the loan servicing assets at fair value to adverse changes in significant assumptions as of September 30, 2025 and December 31, 2024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0"/>
                <w:szCs w:val="20"/>
                <w:color w:val="auto"/>
              </w:rPr>
            </w:pPr>
          </w:p>
        </w:tc>
        <w:tc>
          <w:tcPr>
            <w:tcW w:w="18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4"/>
        </w:trPr>
        <w:tc>
          <w:tcPr>
            <w:tcW w:w="686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Discount factor</w:t>
            </w:r>
          </w:p>
        </w:tc>
        <w:tc>
          <w:tcPr>
            <w:tcW w:w="26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fair value of a 100 basis point adverse change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on fair value of a 200 basis point adverse change</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63"/>
        </w:trPr>
        <w:tc>
          <w:tcPr>
            <w:tcW w:w="6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prepayment rate</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fair value of a 100 basis point adverse change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on fair value of a 500 basis point adverse change</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63"/>
        </w:trPr>
        <w:tc>
          <w:tcPr>
            <w:tcW w:w="6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cumulative default rate</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fair value of a 100 basis point adverse change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on fair value of a 500 basis point adverse change</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bl>
    <w:p>
      <w:pPr>
        <w:spacing w:after="0" w:line="31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sensitivity analysis presents the hypothetical effect on fair value of the servicing assets due to the change in significant assumptions. Changes in fair value based on adverse changes in assumptions generally cannot be extrapolated because the relationship of the change in assumption to the change in fair value is not linear. Additionally, the sensitivity analysis shocks each significant assumption individually, while keeping all other assumptions unchanged. In practice, changes in one assumption generally impact other assumptions, which could increase or lessen the effect of the change.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Residuals in Securitizations, at Fair Value</w:t>
      </w:r>
    </w:p>
    <w:p>
      <w:pPr>
        <w:spacing w:after="0" w:line="24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The residuals in securitizations, at fair value arise from the NALP Business Loan Trust 2025-1 ALP securitization that the Company closed on April 23, 2025. Residuals in securitizations were $76.7 million as of September 30, 2025. The Securitization Trust meets the definition of a VIE. The Company holds a variable interest in the VIE, however, the Company is not considered the primary beneficiary of the VIE, because the power over the activities that have the most significant impact on the economic performance of the Securitization Trust is held by the Class C Noteholder, and therefore, the Company is not required to consolidate the Securitization Trust. The Company’s beneficial interest in the Securitization Trust is evidenced by sole ownership of the Ownership Certificate and its beneficial interest in the credit risk of the securitized ALP Loans. As the Sponsor is a wholly owned subsidiary of the Company, the Company effectively owns 100% of the equity interest in the Trust. Refer to NOTE 3—SECURITIZATIONS AND VARIABLE INTEREST ENTITIES in the accompanying notes to the consolidated financial statements for additional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Receivable</w:t>
      </w:r>
    </w:p>
    <w:p>
      <w:pPr>
        <w:spacing w:after="0" w:line="242"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auto"/>
        </w:rPr>
        <w:t>Settlement receivables were $0.5 million as of September 30, 2025, a decrease of $52.0 million compared to December 31, 2024.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 The reduction in the settlement receivable was primarily the result of our holding guaranteed portions of SBA 7(a) loans for longer periods of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4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Total liabilities at September 30, 2025, were $2.0 billion, an increase of $248.8 million, or 14.1%, compared to total liabilities of $1.8 billion at December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4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Total deposits were $1.2 billion at September 30, 2025, consisting of $21.8 million in non-interest bearing deposits and $1.2 billion in interest bearing deposits, a $0.2 billion increase from the balance as of December 31, 2024. As of September 30, 2025 and December 31, 2024, insured deposits represent 78.3% and 80.3%, respectively, of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42"/>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 Outstanding</w:t>
            </w:r>
          </w:p>
        </w:tc>
        <w:tc>
          <w:tcPr>
            <w:tcW w:w="220" w:type="dxa"/>
            <w:vAlign w:val="bottom"/>
          </w:tcPr>
          <w:p>
            <w:pPr>
              <w:spacing w:after="0"/>
              <w:rPr>
                <w:sz w:val="24"/>
                <w:szCs w:val="24"/>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20" w:type="dxa"/>
            <w:vAlign w:val="bottom"/>
          </w:tcPr>
          <w:p>
            <w:pPr>
              <w:spacing w:after="0"/>
              <w:rPr>
                <w:sz w:val="24"/>
                <w:szCs w:val="24"/>
                <w:color w:val="auto"/>
              </w:rPr>
            </w:pPr>
          </w:p>
        </w:tc>
        <w:tc>
          <w:tcPr>
            <w:tcW w:w="166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4"/>
        </w:trPr>
        <w:tc>
          <w:tcPr>
            <w:tcW w:w="478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Bank Borrowings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23"/>
        </w:trPr>
        <w:tc>
          <w:tcPr>
            <w:tcW w:w="478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NMS Webster Note</w:t>
            </w:r>
            <w:r>
              <w:rPr>
                <w:rFonts w:ascii="Times New Roman" w:cs="Times New Roman" w:eastAsia="Times New Roman" w:hAnsi="Times New Roman"/>
                <w:sz w:val="22"/>
                <w:szCs w:val="22"/>
                <w:color w:val="auto"/>
                <w:vertAlign w:val="superscript"/>
              </w:rPr>
              <w:t>2</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(32,688)</w:t>
            </w:r>
          </w:p>
        </w:tc>
      </w:tr>
      <w:tr>
        <w:trPr>
          <w:trHeight w:val="223"/>
        </w:trPr>
        <w:tc>
          <w:tcPr>
            <w:tcW w:w="478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NMS Goldman Facility</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88,617</w:t>
            </w:r>
          </w:p>
        </w:tc>
      </w:tr>
      <w:tr>
        <w:trPr>
          <w:trHeight w:val="22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SPV I Capital One Facility</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23"/>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SPV II Deutsche Bank Facility</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49,934</w:t>
            </w:r>
          </w:p>
        </w:tc>
      </w:tr>
      <w:tr>
        <w:trPr>
          <w:trHeight w:val="22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SPV III One Florida Bank Facility</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w:t>
            </w:r>
          </w:p>
        </w:tc>
      </w:tr>
      <w:tr>
        <w:trPr>
          <w:trHeight w:val="223"/>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 Advances</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r>
      <w:tr>
        <w:trPr>
          <w:trHeight w:val="21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Lines of Credit</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85,609</w:t>
            </w:r>
          </w:p>
        </w:tc>
      </w:tr>
      <w:tr>
        <w:trPr>
          <w:trHeight w:val="223"/>
        </w:trPr>
        <w:tc>
          <w:tcPr>
            <w:tcW w:w="47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Parent Company Notes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3"/>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2025</w:t>
            </w:r>
          </w:p>
        </w:tc>
        <w:tc>
          <w:tcPr>
            <w:tcW w:w="42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 (5.00%)</w:t>
            </w:r>
            <w:r>
              <w:rPr>
                <w:rFonts w:ascii="Times New Roman" w:cs="Times New Roman" w:eastAsia="Times New Roman" w:hAnsi="Times New Roman"/>
                <w:sz w:val="22"/>
                <w:szCs w:val="22"/>
                <w:color w:val="auto"/>
                <w:vertAlign w:val="superscript"/>
              </w:rPr>
              <w:t>4</w:t>
            </w:r>
          </w:p>
        </w:tc>
        <w:tc>
          <w:tcPr>
            <w:tcW w:w="22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(29,913)</w:t>
            </w:r>
          </w:p>
        </w:tc>
      </w:tr>
      <w:tr>
        <w:trPr>
          <w:trHeight w:val="223"/>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2026</w:t>
            </w: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(5.50%)</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3"/>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2027</w:t>
            </w:r>
          </w:p>
        </w:tc>
        <w:tc>
          <w:tcPr>
            <w:tcW w:w="42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 (8.125%)</w:t>
            </w:r>
            <w:r>
              <w:rPr>
                <w:rFonts w:ascii="Times New Roman" w:cs="Times New Roman" w:eastAsia="Times New Roman" w:hAnsi="Times New Roman"/>
                <w:sz w:val="22"/>
                <w:szCs w:val="22"/>
                <w:color w:val="auto"/>
                <w:vertAlign w:val="superscript"/>
              </w:rPr>
              <w:t>5</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2028</w:t>
            </w: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(8.00%)</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2029</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(8.50%)</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2029</w:t>
            </w: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(8.625%)</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2030</w:t>
            </w:r>
          </w:p>
        </w:tc>
        <w:tc>
          <w:tcPr>
            <w:tcW w:w="42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 (8.375%)</w:t>
            </w:r>
            <w:r>
              <w:rPr>
                <w:rFonts w:ascii="Times New Roman" w:cs="Times New Roman" w:eastAsia="Times New Roman" w:hAnsi="Times New Roman"/>
                <w:sz w:val="22"/>
                <w:szCs w:val="22"/>
                <w:color w:val="auto"/>
                <w:vertAlign w:val="superscript"/>
              </w:rPr>
              <w:t>6</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29,355</w:t>
            </w:r>
          </w:p>
        </w:tc>
      </w:tr>
      <w:tr>
        <w:trPr>
          <w:trHeight w:val="217"/>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Parent Company Notes</w:t>
            </w:r>
          </w:p>
        </w:tc>
        <w:tc>
          <w:tcPr>
            <w:tcW w:w="2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376,087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375,149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3"/>
        </w:trPr>
        <w:tc>
          <w:tcPr>
            <w:tcW w:w="4780" w:type="dxa"/>
            <w:vAlign w:val="bottom"/>
            <w:tcBorders>
              <w:bottom w:val="single" w:sz="8" w:color="CCEEFF"/>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 Payable - Securitization Trusts</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(46,039)</w:t>
            </w:r>
          </w:p>
        </w:tc>
      </w:tr>
      <w:tr>
        <w:trPr>
          <w:trHeight w:val="242"/>
        </w:trPr>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708,041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40,508</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200" w:hanging="195"/>
        <w:spacing w:after="0"/>
        <w:tabs>
          <w:tab w:leader="none" w:pos="20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of deferred financing costs.</w:t>
      </w:r>
    </w:p>
    <w:p>
      <w:pPr>
        <w:ind w:left="280" w:hanging="275"/>
        <w:spacing w:after="0" w:line="190" w:lineRule="auto"/>
        <w:tabs>
          <w:tab w:leader="none" w:pos="28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September 26, 2025, the NMS Webster Note was repaid in full.</w:t>
      </w:r>
    </w:p>
    <w:p>
      <w:pPr>
        <w:ind w:left="240" w:hanging="235"/>
        <w:spacing w:after="0" w:line="191" w:lineRule="auto"/>
        <w:tabs>
          <w:tab w:leader="none" w:pos="240"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September 26, 2025, NMS entered into the Goldman Facility.</w:t>
      </w:r>
    </w:p>
    <w:p>
      <w:pPr>
        <w:spacing w:after="0" w:line="183" w:lineRule="exact"/>
        <w:rPr>
          <w:sz w:val="20"/>
          <w:szCs w:val="20"/>
          <w:color w:val="auto"/>
        </w:rPr>
      </w:pPr>
    </w:p>
    <w:p>
      <w:pPr>
        <w:ind w:left="180" w:hanging="175"/>
        <w:spacing w:after="0"/>
        <w:tabs>
          <w:tab w:leader="none" w:pos="180"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31, 2025, the 2025 5.00% Notes matured.</w:t>
      </w:r>
    </w:p>
    <w:p>
      <w:pPr>
        <w:spacing w:after="0" w:line="2" w:lineRule="exact"/>
        <w:rPr>
          <w:sz w:val="20"/>
          <w:szCs w:val="20"/>
          <w:color w:val="auto"/>
        </w:rPr>
      </w:pPr>
    </w:p>
    <w:p>
      <w:pPr>
        <w:ind w:left="160" w:right="320" w:hanging="155"/>
        <w:spacing w:after="0" w:line="212" w:lineRule="auto"/>
        <w:tabs>
          <w:tab w:leader="none" w:pos="234"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w:t>
      </w:r>
    </w:p>
    <w:p>
      <w:pPr>
        <w:spacing w:after="0" w:line="2" w:lineRule="exact"/>
        <w:rPr>
          <w:sz w:val="20"/>
          <w:szCs w:val="20"/>
          <w:color w:val="auto"/>
        </w:rPr>
      </w:pPr>
    </w:p>
    <w:p>
      <w:pPr>
        <w:ind w:left="160" w:right="120" w:hanging="155"/>
        <w:spacing w:after="0" w:line="214" w:lineRule="auto"/>
        <w:tabs>
          <w:tab w:leader="none" w:pos="173"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19, 2025, the Company closed an exempt offering of $30.0 million in aggregate principal amount of its 2030 Notes. The 2030 Notes bear interest at a rate of 8.375% per year payable semiannually on April 1 and October 1 each year, beginning October 1, 2025.</w:t>
      </w:r>
    </w:p>
    <w:p>
      <w:pPr>
        <w:spacing w:after="0" w:line="21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Borrowings were $748.5 million at September 30, 2025, compared to $708.0 million at December 31, 2024. This increase was primarily due to $88.6 million of new borrowings under the NMS Goldman Facility, additional borrowings of $49.9 million on the SPV II facility as well as $29.4 million issuance of the 2030 Notes. These increases were partially offset by $32.7 million repayment in full of the NMS Webster Note, the maturity of $29.9 million of the 2025 5.00% Notes, $46.0 million reduction in the notes payable on securitization trusts, and $14.7 million repayments of borrowings on the SPV III facility, and $7.5 million in maturities of FHLB advances.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comparison of the results of operations for the nine months ended September 30, 2025 and 2024.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22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For the nine months ended September 30, 2025, the Company reported net income of $41.0 million, or $1.57 per basic and $1.54 per diluted share, compared to net income of $32.5 million, or $1.26 per basic and diluted share, for the nine months ended September 30, 2024.</w:t>
      </w:r>
    </w:p>
    <w:p>
      <w:pPr>
        <w:spacing w:after="0" w:line="1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net increase in net income before taxes was due to a $23.9 million increase of interest income on loans, and a $15.8 million increase in noninterest income, partially offset by a $13.6 million increase of provision for credit losses, a $10.3 million increase of interest expense on deposits. Below is a summary of changes in the components of Net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taxes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6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and fees on loans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income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71,097</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In response to market conditions and consistent with its business plan, Newtek Bank has been focused on increasing its liquidity position by raising additional deposits and maintaining a significant portion of its liquidity in the form of cash held at the Federal Reserve, approximately $187.7 million as of September 30, 2025, as opposed to long-term investments. In addition, Newtek Bank management continues to closely monitor market conditions with a focus on its asset liability management policies, as well as closely monitoring, among other things, capital levels, to ensure compliance with regulatory guidelines and the OCC Operating Agreement.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1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Loans and fees on loans: </w:t>
      </w:r>
      <w:r>
        <w:rPr>
          <w:rFonts w:ascii="Times New Roman" w:cs="Times New Roman" w:eastAsia="Times New Roman" w:hAnsi="Times New Roman"/>
          <w:sz w:val="18"/>
          <w:szCs w:val="18"/>
          <w:color w:val="auto"/>
        </w:rPr>
        <w:t>The $23.9 million increase in interest income on the Company’s loan portfolio was attributable to increases in the average balances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HFI and HFS, which increased $200.5 million and $175.2 million, respectively, as well as the average outstanding accrual portfolio of loans held for investment increasing to $1.5 billion from $1.1 billion for the nine months ended September 30, 2025 and 2024, respectively. The increase in the average balance of loans HFS was attributable to originations of SBA 504 and ALP loans, and the increase in the average outstanding accrual loan portfolio resulted from the origination of new SBA 7(a) loans period over period.</w:t>
      </w:r>
    </w:p>
    <w:p>
      <w:pPr>
        <w:spacing w:after="0" w:line="18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Other interest earning assets: </w:t>
      </w:r>
      <w:r>
        <w:rPr>
          <w:rFonts w:ascii="Times New Roman" w:cs="Times New Roman" w:eastAsia="Times New Roman" w:hAnsi="Times New Roman"/>
          <w:sz w:val="18"/>
          <w:szCs w:val="18"/>
          <w:color w:val="auto"/>
        </w:rPr>
        <w:t>The $2.4 million increase in interest income from other interest earnings assets was attributable to higher interest rates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due from banks, as well as interest bearing deposits in banks, including Newtek Bank earning interest on Federal Reserve Bank cash deposits.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interest expense by facility for the nine months ended September 30, 2025 and 2024:</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and securitizations: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payable - Securitization Trusts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0" w:type="dxa"/>
            <w:vAlign w:val="bottom"/>
          </w:tcPr>
          <w:p>
            <w:pPr>
              <w:spacing w:after="0"/>
              <w:rPr>
                <w:sz w:val="1"/>
                <w:szCs w:val="1"/>
                <w:color w:val="auto"/>
              </w:rPr>
            </w:pPr>
          </w:p>
        </w:tc>
      </w:tr>
      <w:tr>
        <w:trPr>
          <w:trHeight w:val="223"/>
        </w:trPr>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4"/>
              </w:rPr>
              <w:t>2024</w:t>
            </w:r>
          </w:p>
        </w:tc>
        <w:tc>
          <w:tcPr>
            <w:tcW w:w="61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23"/>
        </w:trPr>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2025</w:t>
            </w:r>
          </w:p>
        </w:tc>
        <w:tc>
          <w:tcPr>
            <w:tcW w:w="6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5.00% Notes</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23"/>
        </w:trPr>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4"/>
              </w:rPr>
              <w:t>2025</w:t>
            </w:r>
          </w:p>
        </w:tc>
        <w:tc>
          <w:tcPr>
            <w:tcW w:w="61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8.125% Notes</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23"/>
        </w:trPr>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2026</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4"/>
              </w:rPr>
              <w:t>2027</w:t>
            </w:r>
          </w:p>
        </w:tc>
        <w:tc>
          <w:tcPr>
            <w:tcW w:w="61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23"/>
        </w:trPr>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2028</w:t>
            </w:r>
          </w:p>
        </w:tc>
        <w:tc>
          <w:tcPr>
            <w:tcW w:w="6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4"/>
              </w:rPr>
              <w:t>2029</w:t>
            </w:r>
          </w:p>
        </w:tc>
        <w:tc>
          <w:tcPr>
            <w:tcW w:w="61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8.50% Notes</w:t>
            </w:r>
            <w:r>
              <w:rPr>
                <w:rFonts w:ascii="Times New Roman" w:cs="Times New Roman" w:eastAsia="Times New Roman" w:hAnsi="Times New Roman"/>
                <w:sz w:val="22"/>
                <w:szCs w:val="22"/>
                <w:color w:val="auto"/>
                <w:vertAlign w:val="superscript"/>
              </w:rPr>
              <w:t>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23"/>
        </w:trPr>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2029</w:t>
            </w:r>
          </w:p>
        </w:tc>
        <w:tc>
          <w:tcPr>
            <w:tcW w:w="6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8.625% Notes</w:t>
            </w:r>
            <w:r>
              <w:rPr>
                <w:rFonts w:ascii="Times New Roman" w:cs="Times New Roman" w:eastAsia="Times New Roman" w:hAnsi="Times New Roman"/>
                <w:sz w:val="22"/>
                <w:szCs w:val="22"/>
                <w:color w:val="auto"/>
                <w:vertAlign w:val="superscript"/>
              </w:rPr>
              <w:t>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0" w:type="dxa"/>
            <w:vAlign w:val="bottom"/>
          </w:tcPr>
          <w:p>
            <w:pPr>
              <w:spacing w:after="0"/>
              <w:rPr>
                <w:sz w:val="1"/>
                <w:szCs w:val="1"/>
                <w:color w:val="auto"/>
              </w:rPr>
            </w:pPr>
          </w:p>
        </w:tc>
      </w:tr>
      <w:tr>
        <w:trPr>
          <w:trHeight w:val="223"/>
        </w:trPr>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4"/>
              </w:rPr>
              <w:t>2030</w:t>
            </w:r>
          </w:p>
        </w:tc>
        <w:tc>
          <w:tcPr>
            <w:tcW w:w="61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7"/>
        </w:trPr>
        <w:tc>
          <w:tcPr>
            <w:tcW w:w="6680" w:type="dxa"/>
            <w:vAlign w:val="bottom"/>
            <w:tcBorders>
              <w:top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notes and securitizations</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50"/>
        </w:trPr>
        <w:tc>
          <w:tcPr>
            <w:tcW w:w="66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FHLB Borrowings: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Bank notes payable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FHLB Advances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7"/>
        </w:trPr>
        <w:tc>
          <w:tcPr>
            <w:tcW w:w="6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bank and FHLB borrowings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50"/>
        </w:trPr>
        <w:tc>
          <w:tcPr>
            <w:tcW w:w="6680" w:type="dxa"/>
            <w:vAlign w:val="bottom"/>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ectPr>
          <w:pgSz w:w="11900" w:h="16838" w:orient="portrait"/>
          <w:cols w:equalWidth="0" w:num="1">
            <w:col w:w="11240"/>
          </w:cols>
          <w:pgMar w:left="320" w:top="123"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On August 1, 2024, the 2024 Notes matured.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2025, the 2025 5.00% Notes matured.</w:t>
      </w:r>
    </w:p>
    <w:p>
      <w:pPr>
        <w:spacing w:after="0" w:line="3" w:lineRule="exact"/>
        <w:rPr>
          <w:sz w:val="20"/>
          <w:szCs w:val="20"/>
          <w:color w:val="auto"/>
        </w:rPr>
      </w:pPr>
    </w:p>
    <w:p>
      <w:pPr>
        <w:ind w:right="320" w:hanging="4"/>
        <w:spacing w:after="0" w:line="243" w:lineRule="auto"/>
        <w:rPr>
          <w:sz w:val="20"/>
          <w:szCs w:val="20"/>
          <w:color w:val="auto"/>
        </w:rPr>
      </w:pPr>
      <w:r>
        <w:rPr>
          <w:rFonts w:ascii="Times New Roman" w:cs="Times New Roman" w:eastAsia="Times New Roman" w:hAnsi="Times New Roman"/>
          <w:sz w:val="18"/>
          <w:szCs w:val="18"/>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w:t>
      </w:r>
    </w:p>
    <w:p>
      <w:pPr>
        <w:spacing w:after="0" w:line="1" w:lineRule="exact"/>
        <w:rPr>
          <w:sz w:val="20"/>
          <w:szCs w:val="20"/>
          <w:color w:val="auto"/>
        </w:rPr>
      </w:pPr>
    </w:p>
    <w:p>
      <w:pPr>
        <w:ind w:right="340" w:hanging="4"/>
        <w:spacing w:after="0" w:line="243" w:lineRule="auto"/>
        <w:rPr>
          <w:sz w:val="20"/>
          <w:szCs w:val="20"/>
          <w:color w:val="auto"/>
        </w:rPr>
      </w:pPr>
      <w:r>
        <w:rPr>
          <w:rFonts w:ascii="Times New Roman" w:cs="Times New Roman" w:eastAsia="Times New Roman" w:hAnsi="Times New Roman"/>
          <w:sz w:val="18"/>
          <w:szCs w:val="18"/>
          <w:color w:val="auto"/>
        </w:rPr>
        <w:t>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spacing w:after="0" w:line="2" w:lineRule="exact"/>
        <w:rPr>
          <w:sz w:val="20"/>
          <w:szCs w:val="20"/>
          <w:color w:val="auto"/>
        </w:rPr>
      </w:pPr>
    </w:p>
    <w:p>
      <w:pPr>
        <w:ind w:hanging="4"/>
        <w:spacing w:after="0" w:line="245" w:lineRule="auto"/>
        <w:rPr>
          <w:sz w:val="20"/>
          <w:szCs w:val="20"/>
          <w:color w:val="auto"/>
        </w:rPr>
      </w:pPr>
      <w:r>
        <w:rPr>
          <w:rFonts w:ascii="Times New Roman" w:cs="Times New Roman" w:eastAsia="Times New Roman" w:hAnsi="Times New Roman"/>
          <w:sz w:val="18"/>
          <w:szCs w:val="18"/>
          <w:color w:val="auto"/>
        </w:rPr>
        <w:t>On May 30, 2024, the Company completed a public offering of $62.5 million aggregate principal amount of 8.500% notes due 2029. On June 3, 2024, the underwriters exercised their option to purchase an additional $9.4 million in aggregate principal amount of the 2029 Notes. The Notes will mature on June 1, 2029. The Notes bear interest at a rate of 8.500% per year, payable quarterly on March 1, June 1, September 1, and December 1 each year, commencing on September 1, 2024.</w:t>
      </w:r>
    </w:p>
    <w:p>
      <w:pPr>
        <w:spacing w:after="0" w:line="200" w:lineRule="exact"/>
        <w:rPr>
          <w:sz w:val="20"/>
          <w:szCs w:val="20"/>
          <w:color w:val="auto"/>
        </w:rPr>
      </w:pPr>
    </w:p>
    <w:p>
      <w:pPr>
        <w:sectPr>
          <w:pgSz w:w="11900" w:h="16838" w:orient="portrait"/>
          <w:cols w:equalWidth="0" w:num="2">
            <w:col w:w="60" w:space="180"/>
            <w:col w:w="11000"/>
          </w:cols>
          <w:pgMar w:left="320" w:top="123" w:right="339" w:bottom="1440" w:gutter="0" w:footer="0" w:header="0"/>
          <w:type w:val="continuous"/>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both"/>
        <w:ind w:right="180" w:hanging="4"/>
        <w:spacing w:after="0" w:line="250" w:lineRule="auto"/>
        <w:rPr>
          <w:sz w:val="20"/>
          <w:szCs w:val="20"/>
          <w:color w:val="auto"/>
        </w:rPr>
      </w:pPr>
      <w:r>
        <w:rPr>
          <w:rFonts w:ascii="Times New Roman" w:cs="Times New Roman" w:eastAsia="Times New Roman" w:hAnsi="Times New Roman"/>
          <w:sz w:val="18"/>
          <w:szCs w:val="18"/>
          <w:color w:val="auto"/>
        </w:rPr>
        <w:t>On September 16, 2024, the Company completed a public offering of $75.0 million aggregate principal amount of 8.625% notes due 2029. The Notes will mature on October 15, 2029. The Notes bear interest at a rate of 8.625% per year, payable quarterly on January 15, April 15, July 15, and October 15 each year, commencing on January 15, 2025.</w:t>
      </w:r>
    </w:p>
    <w:p>
      <w:pPr>
        <w:spacing w:after="0" w:line="2" w:lineRule="exact"/>
        <w:rPr>
          <w:sz w:val="20"/>
          <w:szCs w:val="20"/>
          <w:color w:val="auto"/>
        </w:rPr>
      </w:pPr>
    </w:p>
    <w:p>
      <w:pPr>
        <w:ind w:right="140" w:hanging="4"/>
        <w:spacing w:after="0" w:line="245" w:lineRule="auto"/>
        <w:rPr>
          <w:sz w:val="20"/>
          <w:szCs w:val="20"/>
          <w:color w:val="auto"/>
        </w:rPr>
      </w:pPr>
      <w:r>
        <w:rPr>
          <w:rFonts w:ascii="Times New Roman" w:cs="Times New Roman" w:eastAsia="Times New Roman" w:hAnsi="Times New Roman"/>
          <w:sz w:val="18"/>
          <w:szCs w:val="18"/>
          <w:color w:val="auto"/>
        </w:rPr>
        <w:t>On March 19, 2025, the Company completed an exempt offering of $30.0 million aggregate principal amount of notes due 2030. The Notes will mature on April 1, 2030. The Notes bear interest at a rate of 8.375% per year, payable semiannually on April 1 and October 1 each year, commencing on October 1, 2025.</w:t>
      </w:r>
    </w:p>
    <w:p>
      <w:pPr>
        <w:spacing w:after="0" w:line="200" w:lineRule="exact"/>
        <w:rPr>
          <w:sz w:val="20"/>
          <w:szCs w:val="20"/>
          <w:color w:val="auto"/>
        </w:rPr>
      </w:pPr>
    </w:p>
    <w:p>
      <w:pPr>
        <w:sectPr>
          <w:pgSz w:w="11900" w:h="16838" w:orient="portrait"/>
          <w:cols w:equalWidth="0" w:num="2">
            <w:col w:w="60" w:space="180"/>
            <w:col w:w="11000"/>
          </w:cols>
          <w:pgMar w:left="320" w:top="123" w:right="339" w:bottom="1440" w:gutter="0" w:footer="0" w:header="0"/>
          <w:type w:val="continuous"/>
        </w:sectPr>
      </w:pPr>
    </w:p>
    <w:p>
      <w:pPr>
        <w:spacing w:after="0" w:line="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increase in interest expense period over period is primarily from additional interest expense on deposits of $10.3 million, additional interest expense of $2.9 million on bank and FHLB borrowings, and additional interest expense of $3.1 million, $2.7 million, and $4.9 million on the 2027 Notes, 2029 8.50% Notes and the 2029 8.625% Notes, respectively. The increase is partially offset by a $7.2 million reduction in interest due to securitization payoffs, as well as a $3.4 million reduction in interest expense on the 2025 8.125% Notes.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1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6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and 2024, there was a provision for credit losses of $30.3 million and $16.7 million, respectively. The increase was due to increases in net charge-offs, specific reserves on individually evaluated loans, and balances of loans held for investment at amortized cost, across all products but specifically SBA 7(a) loans.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Margin</w:t>
      </w:r>
    </w:p>
    <w:p>
      <w:pPr>
        <w:spacing w:after="0" w:line="2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Balances and Yields. </w:t>
      </w:r>
      <w:r>
        <w:rPr>
          <w:rFonts w:ascii="Times New Roman" w:cs="Times New Roman" w:eastAsia="Times New Roman" w:hAnsi="Times New Roman"/>
          <w:sz w:val="18"/>
          <w:szCs w:val="18"/>
          <w:color w:val="auto"/>
        </w:rPr>
        <w:t>The following table presents information regarding average balances for assets and liabilities, the total dollar amounts of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ind w:left="780"/>
              <w:spacing w:after="0"/>
              <w:rPr>
                <w:sz w:val="20"/>
                <w:szCs w:val="20"/>
                <w:color w:val="auto"/>
              </w:rPr>
            </w:pPr>
            <w:r>
              <w:rPr>
                <w:rFonts w:ascii="Times New Roman" w:cs="Times New Roman" w:eastAsia="Times New Roman" w:hAnsi="Times New Roman"/>
                <w:sz w:val="18"/>
                <w:szCs w:val="18"/>
                <w:b w:val="1"/>
                <w:bCs w:val="1"/>
                <w:color w:val="auto"/>
                <w:w w:val="96"/>
              </w:rPr>
              <w:t>Nine Months Ended September 30,</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100"/>
              <w:spacing w:after="0" w:line="16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w w:val="94"/>
              </w:rPr>
              <w:t>Average Yield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w w:val="94"/>
              </w:rPr>
              <w:t>Average Yield</w:t>
            </w:r>
          </w:p>
        </w:tc>
        <w:tc>
          <w:tcPr>
            <w:tcW w:w="0" w:type="dxa"/>
            <w:vAlign w:val="bottom"/>
          </w:tcPr>
          <w:p>
            <w:pPr>
              <w:spacing w:after="0"/>
              <w:rPr>
                <w:sz w:val="1"/>
                <w:szCs w:val="1"/>
                <w:color w:val="auto"/>
              </w:rPr>
            </w:pPr>
          </w:p>
        </w:tc>
      </w:tr>
      <w:tr>
        <w:trPr>
          <w:trHeight w:val="236"/>
        </w:trPr>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 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 Rate</w:t>
            </w:r>
          </w:p>
        </w:tc>
        <w:tc>
          <w:tcPr>
            <w:tcW w:w="0" w:type="dxa"/>
            <w:vAlign w:val="bottom"/>
          </w:tcPr>
          <w:p>
            <w:pPr>
              <w:spacing w:after="0"/>
              <w:rPr>
                <w:sz w:val="1"/>
                <w:szCs w:val="1"/>
                <w:color w:val="auto"/>
              </w:rPr>
            </w:pPr>
          </w:p>
        </w:tc>
      </w:tr>
      <w:tr>
        <w:trPr>
          <w:trHeight w:val="204"/>
        </w:trPr>
        <w:tc>
          <w:tcPr>
            <w:tcW w:w="418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271,996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10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1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7"/>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1,855,135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on loans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 earning assets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213,246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2,032,531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1,521,465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Demand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0.94 %</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Savings and NOW</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3"/>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395,975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7"/>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30,081</w:t>
            </w:r>
          </w:p>
        </w:tc>
        <w:tc>
          <w:tcPr>
            <w:tcW w:w="10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10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693,298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17"/>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1,656,944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71,097</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1,190,198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58,678</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2,032,531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1,521,465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1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Net interest income and interest rate spread</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42,405</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2.44 %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29,013</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interest margin</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18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5"/>
                <w:szCs w:val="15"/>
                <w:color w:val="auto"/>
              </w:rPr>
              <w:t>Ratio of average interest-earning assets to average interest</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111.84 %</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bearing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response to market conditions and consistent with its business plan, Newtek Bank has been focused on increasing its liquidity position by raising additional deposits and maintaining a significant portion of its liquidity in the form of cash held at the Federal Reserve, approximately $187.7 million as of September 30, 2025, as opposed to long-term investments. In addition, Newtek Bank management continues to closely monitor market conditions with a focus on its asset liability management policies, as well as closely monitoring, among other things, capital levels, to ensure compliance with regulatory guidelines and the OCC Operating Agreement. The increase in the average balance of loans HFS was attributable to originations of SBA 504, SBA 7(a) and ALP loans, and the increase in the average outstanding accrual loan portfolio resulted from the origination of new SBA 7(a) loans period over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4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interest-earning assets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Loans held for sale</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interest income</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Demand</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Savings and NOW</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Money Market</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Time</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Borrowings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0213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21330" cy="8255"/>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vs.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0213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21330" cy="8255"/>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Increase (Decrease)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15240</wp:posOffset>
            </wp:positionV>
            <wp:extent cx="7136130" cy="150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22"/>
        </w:trPr>
        <w:tc>
          <w:tcPr>
            <w:tcW w:w="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3"/>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3"/>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w:t>
            </w:r>
          </w:p>
        </w:tc>
      </w:tr>
      <w:tr>
        <w:trPr>
          <w:trHeight w:val="228"/>
        </w:trPr>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10,262</w:t>
            </w:r>
          </w:p>
        </w:tc>
      </w:tr>
      <w:tr>
        <w:trPr>
          <w:trHeight w:val="222"/>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25,811</w:t>
            </w:r>
          </w:p>
        </w:tc>
      </w:tr>
      <w:tr>
        <w:trPr>
          <w:trHeight w:val="700"/>
        </w:trPr>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3"/>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23"/>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3"/>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r>
      <w:tr>
        <w:trPr>
          <w:trHeight w:val="227"/>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-1734185</wp:posOffset>
            </wp:positionV>
            <wp:extent cx="7136130" cy="141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-1450340</wp:posOffset>
            </wp:positionV>
            <wp:extent cx="7136130" cy="141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-1166495</wp:posOffset>
            </wp:positionV>
            <wp:extent cx="7136130" cy="150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15049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-849630</wp:posOffset>
            </wp:positionV>
            <wp:extent cx="7136130" cy="141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-565785</wp:posOffset>
            </wp:positionV>
            <wp:extent cx="7136130" cy="141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-281940</wp:posOffset>
            </wp:positionV>
            <wp:extent cx="7136130" cy="141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760" w:space="720"/>
            <w:col w:w="476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16,443</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1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19,365</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45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540" w:type="dxa"/>
            <w:vAlign w:val="bottom"/>
          </w:tcPr>
          <w:p>
            <w:pPr>
              <w:spacing w:after="0"/>
              <w:rPr>
                <w:sz w:val="24"/>
                <w:szCs w:val="24"/>
                <w:color w:val="auto"/>
              </w:rPr>
            </w:pPr>
          </w:p>
        </w:tc>
        <w:tc>
          <w:tcPr>
            <w:tcW w:w="356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6"/>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7"/>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04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140.3 %</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on loan servicing assets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residuals in securitizations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loans under the fair value option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(950.7)</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IT support income</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income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7"/>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04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169,061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Income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and 2024, dividend income was dependent on the earnings of our joint ventures.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Loan Servicing Assets</w:t>
      </w:r>
    </w:p>
    <w:p>
      <w:pPr>
        <w:spacing w:after="0" w:line="24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The Company accounts for servicing assets in accordance with ASC Topic 860-50 - Transfers and Servicing - Servicing Assets and Liabilities. The Company earns servicing fees from the guaranteed portions of SBA 7(a) loans it originates and sells, from the SBA 7(a) loan securitizations sponsored by NSBF, and from servicing the ALP portfolios in securitizations sponsored by NCL JV (terminated in August 2025), TSO JV and Newtek ALP Holdings.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 Net loss on loan servicing assets is shown net of amortization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larger loss in Net loss on loan servicing assets is due to the decrease in NSBF’s total portfolio of loans during the wind-down.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Income</w:t>
      </w:r>
    </w:p>
    <w:p>
      <w:pPr>
        <w:spacing w:after="0" w:line="12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increase in servicing income was related to an increase of $127.2 million in the average total loan portfolio for which we earn servicing income period over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Gains on Sales of Loans</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7"/>
        </w:trPr>
        <w:tc>
          <w:tcPr>
            <w:tcW w:w="72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Net gains on sales of loans for the nine months ended September 30, 2025 and 2024 were as follows: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87"/>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5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17"/>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recognized on sales of loans</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38,239</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72,089</w:t>
            </w: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recognized on sales of loans</w:t>
            </w:r>
          </w:p>
        </w:tc>
        <w:tc>
          <w:tcPr>
            <w:tcW w:w="4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w w:val="95"/>
              </w:rPr>
              <w:t>(3,558)</w:t>
            </w:r>
          </w:p>
        </w:tc>
      </w:tr>
      <w:tr>
        <w:trPr>
          <w:trHeight w:val="242"/>
        </w:trPr>
        <w:tc>
          <w:tcPr>
            <w:tcW w:w="20" w:type="dxa"/>
            <w:vAlign w:val="bottom"/>
          </w:tcPr>
          <w:p>
            <w:pPr>
              <w:spacing w:after="0"/>
              <w:rPr>
                <w:sz w:val="20"/>
                <w:szCs w:val="20"/>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38,050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68,531</w:t>
            </w: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r>
        <w:trPr>
          <w:trHeight w:val="551"/>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360" w:type="dxa"/>
            <w:vAlign w:val="bottom"/>
            <w:gridSpan w:val="3"/>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220" w:type="dxa"/>
            <w:vAlign w:val="bottom"/>
            <w:tcBorders>
              <w:top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80" w:type="dxa"/>
            <w:vAlign w:val="bottom"/>
          </w:tcPr>
          <w:p>
            <w:pPr>
              <w:spacing w:after="0"/>
              <w:rPr>
                <w:sz w:val="16"/>
                <w:szCs w:val="16"/>
                <w:color w:val="auto"/>
              </w:rPr>
            </w:pPr>
          </w:p>
        </w:tc>
        <w:tc>
          <w:tcPr>
            <w:tcW w:w="280" w:type="dxa"/>
            <w:vAlign w:val="bottom"/>
            <w:tcBorders>
              <w:top w:val="single" w:sz="8" w:color="auto"/>
            </w:tcBorders>
            <w:gridSpan w:val="2"/>
          </w:tcPr>
          <w:p>
            <w:pPr>
              <w:spacing w:after="0"/>
              <w:rPr>
                <w:sz w:val="16"/>
                <w:szCs w:val="16"/>
                <w:color w:val="auto"/>
              </w:rPr>
            </w:pPr>
          </w:p>
        </w:tc>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4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7(a) loans originated</w:t>
            </w:r>
          </w:p>
        </w:tc>
        <w:tc>
          <w:tcPr>
            <w:tcW w:w="1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1,589</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606,228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1,732</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680,659</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SBA 7(a) guaranteed loans sold</w:t>
            </w: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788</w:t>
            </w:r>
          </w:p>
        </w:tc>
        <w:tc>
          <w:tcPr>
            <w:tcW w:w="32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211,772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1,449</w:t>
            </w:r>
          </w:p>
        </w:tc>
        <w:tc>
          <w:tcPr>
            <w:tcW w:w="32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501,570</w:t>
            </w:r>
          </w:p>
        </w:tc>
        <w:tc>
          <w:tcPr>
            <w:tcW w:w="14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Average net sale price as a percent of principal balance</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111.00 %</w:t>
            </w:r>
          </w:p>
        </w:tc>
        <w:tc>
          <w:tcPr>
            <w:tcW w:w="140" w:type="dxa"/>
            <w:vAlign w:val="bottom"/>
          </w:tcPr>
          <w:p>
            <w:pPr>
              <w:spacing w:after="0"/>
              <w:rPr>
                <w:sz w:val="19"/>
                <w:szCs w:val="19"/>
                <w:color w:val="auto"/>
              </w:rPr>
            </w:pPr>
          </w:p>
        </w:tc>
      </w:tr>
    </w:tbl>
    <w:p>
      <w:pPr>
        <w:spacing w:after="0" w:line="74" w:lineRule="exact"/>
        <w:rPr>
          <w:sz w:val="20"/>
          <w:szCs w:val="20"/>
          <w:color w:val="auto"/>
        </w:rPr>
      </w:pPr>
    </w:p>
    <w:p>
      <w:pPr>
        <w:ind w:left="160" w:right="380" w:hanging="155"/>
        <w:spacing w:after="0" w:line="223" w:lineRule="auto"/>
        <w:tabs>
          <w:tab w:leader="none" w:pos="173"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Realized gains greater than 110.00% must be split 50/50 with the SBA in accordance with SBA regulations. The realized gains recognized above reflect amounts net of split with the SBA.</w:t>
      </w:r>
    </w:p>
    <w:p>
      <w:pPr>
        <w:spacing w:after="0" w:line="21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2025, the average sale price on SBA 7(a) loans as a percent of principal balance was 110.67% compared to 111.00% for the prior period. The decrease in sales prices in 2025 resulted from lower demand. The decrease in overall net gains on sales of loans resulted from lower volumes of sales compared to the prior year at lower market premiums than the prior year. Additionally, the decrease in SBA 7(a) guaranteed loans sold is primarily due to management holding the loans for a longer period of time.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selected statistics on the historical net premiums on sales of guaranteed portions of SBA 7(a) loans realized by NewtekOne: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200" w:type="dxa"/>
            <w:vAlign w:val="bottom"/>
            <w:tcBorders>
              <w:bottom w:val="single" w:sz="8" w:color="auto"/>
            </w:tcBorders>
            <w:gridSpan w:val="8"/>
          </w:tcPr>
          <w:p>
            <w:pPr>
              <w:ind w:left="1700"/>
              <w:spacing w:after="0"/>
              <w:rPr>
                <w:sz w:val="20"/>
                <w:szCs w:val="20"/>
                <w:color w:val="auto"/>
              </w:rPr>
            </w:pPr>
            <w:r>
              <w:rPr>
                <w:rFonts w:ascii="Times New Roman" w:cs="Times New Roman" w:eastAsia="Times New Roman" w:hAnsi="Times New Roman"/>
                <w:sz w:val="18"/>
                <w:szCs w:val="18"/>
                <w:b w:val="1"/>
                <w:bCs w:val="1"/>
                <w:color w:val="auto"/>
              </w:rPr>
              <w:t>SBA 7(a) Sales Price as Percent of Principal Balance (%)</w:t>
            </w:r>
          </w:p>
        </w:tc>
        <w:tc>
          <w:tcPr>
            <w:tcW w:w="1440" w:type="dxa"/>
            <w:vAlign w:val="bottom"/>
            <w:tcBorders>
              <w:bottom w:val="single" w:sz="8" w:color="auto"/>
            </w:tcBorders>
          </w:tcPr>
          <w:p>
            <w:pPr>
              <w:spacing w:after="0"/>
              <w:rPr>
                <w:sz w:val="20"/>
                <w:szCs w:val="20"/>
                <w:color w:val="auto"/>
              </w:rPr>
            </w:pPr>
          </w:p>
        </w:tc>
      </w:tr>
      <w:tr>
        <w:trPr>
          <w:trHeight w:val="217"/>
        </w:trPr>
        <w:tc>
          <w:tcPr>
            <w:tcW w:w="3600" w:type="dxa"/>
            <w:vAlign w:val="bottom"/>
          </w:tcPr>
          <w:p>
            <w:pPr>
              <w:spacing w:after="0"/>
              <w:rPr>
                <w:sz w:val="18"/>
                <w:szCs w:val="18"/>
                <w:color w:val="auto"/>
              </w:rPr>
            </w:pPr>
          </w:p>
        </w:tc>
        <w:tc>
          <w:tcPr>
            <w:tcW w:w="19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94"/>
              </w:rPr>
              <w:t>High</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Low</w:t>
            </w:r>
          </w:p>
        </w:tc>
        <w:tc>
          <w:tcPr>
            <w:tcW w:w="144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Median</w:t>
            </w:r>
          </w:p>
        </w:tc>
      </w:tr>
      <w:tr>
        <w:trPr>
          <w:trHeight w:val="217"/>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110.20 %</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114.04 %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106.00 %</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110.42 %</w:t>
            </w: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110.97 %</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114.80 %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111.19 %</w:t>
            </w: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111.41 %</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114.06 %</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108.31 %</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110.71 %</w:t>
            </w:r>
          </w:p>
        </w:tc>
      </w:tr>
      <w:tr>
        <w:trPr>
          <w:trHeight w:val="221"/>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110.62 %</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114.80 %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110.81 %</w:t>
            </w:r>
          </w:p>
        </w:tc>
      </w:tr>
    </w:tbl>
    <w:p>
      <w:pPr>
        <w:spacing w:after="0" w:line="306"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8"/>
          <w:szCs w:val="18"/>
          <w:color w:val="auto"/>
        </w:rPr>
        <w:t>During the wind-down of NSBF’s operations, NSBF is required to continue to own its SBA 7(a) loans and PPP Loans in its SBA loan portfolio to maturity, liquidation, charge-off, or (subject to SBA’s prior written approval) sale or transfer. In addition, SBL will service and liquidate NSBF’s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Residuals in Securitizations</w:t>
      </w:r>
    </w:p>
    <w:p>
      <w:pPr>
        <w:spacing w:after="0" w:line="24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Net gains on residuals in securitizations for the nine months ended September 30, 2025 were $30.0 million. There were no net gains on residuals in securitizations for the nine months ended September 30, 2024. This resulted from the Company’s equity interest in the 2025-1 Securitization Trust which closed on April 23, 2025. To consummate the transaction, $216.6 million of ALP loans held for sale at fair value were sold into the securitization trust at par. This resulted in $35.4 million of previously recorded gains on ALP loans under the fair value option to be reversed, which was a large driver of the change described in the section below. The residual in the securitization (represented by the ownership certificate) was then valued resulting in a gain that was netted against the transaction costs. Refer to NOTE 3—SECURITIZATIONS AND VARIABLE INTEREST ENTITIES in the accompanying notes to the consolidated financial statements for additional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on Loans under the Fair Value Option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 (loss) on loans accounted for under the fair value option for the nine months ended September 30, 2025 and 2024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7"/>
        </w:trPr>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Unguaranteed Loans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center"/>
              <w:ind w:left="1172"/>
              <w:spacing w:after="0"/>
              <w:rPr>
                <w:sz w:val="20"/>
                <w:szCs w:val="20"/>
                <w:color w:val="auto"/>
              </w:rPr>
            </w:pPr>
            <w:r>
              <w:rPr>
                <w:rFonts w:ascii="Times New Roman" w:cs="Times New Roman" w:eastAsia="Times New Roman" w:hAnsi="Times New Roman"/>
                <w:sz w:val="18"/>
                <w:szCs w:val="18"/>
                <w:color w:val="auto"/>
                <w:w w:val="97"/>
              </w:rPr>
              <w:t>(10,665)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0" w:type="dxa"/>
            <w:vAlign w:val="bottom"/>
          </w:tcPr>
          <w:p>
            <w:pPr>
              <w:spacing w:after="0"/>
              <w:rPr>
                <w:sz w:val="1"/>
                <w:szCs w:val="1"/>
                <w:color w:val="auto"/>
              </w:rPr>
            </w:pP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Loans</w:t>
            </w:r>
          </w:p>
        </w:tc>
        <w:tc>
          <w:tcPr>
            <w:tcW w:w="200" w:type="dxa"/>
            <w:vAlign w:val="bottom"/>
          </w:tcPr>
          <w:p>
            <w:pPr>
              <w:spacing w:after="0"/>
              <w:rPr>
                <w:sz w:val="19"/>
                <w:szCs w:val="19"/>
                <w:color w:val="auto"/>
              </w:rPr>
            </w:pPr>
          </w:p>
        </w:tc>
        <w:tc>
          <w:tcPr>
            <w:tcW w:w="190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6"/>
              </w:rPr>
              <w:t>30,080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0" w:type="dxa"/>
            <w:vAlign w:val="bottom"/>
          </w:tcPr>
          <w:p>
            <w:pPr>
              <w:spacing w:after="0"/>
              <w:rPr>
                <w:sz w:val="1"/>
                <w:szCs w:val="1"/>
                <w:color w:val="auto"/>
              </w:rPr>
            </w:pPr>
          </w:p>
        </w:tc>
      </w:tr>
      <w:tr>
        <w:trPr>
          <w:trHeight w:val="223"/>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504 and Non-SBA Loans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center"/>
              <w:ind w:left="1212"/>
              <w:spacing w:after="0"/>
              <w:rPr>
                <w:sz w:val="20"/>
                <w:szCs w:val="20"/>
                <w:color w:val="auto"/>
              </w:rPr>
            </w:pPr>
            <w:r>
              <w:rPr>
                <w:rFonts w:ascii="Times New Roman" w:cs="Times New Roman" w:eastAsia="Times New Roman" w:hAnsi="Times New Roman"/>
                <w:sz w:val="18"/>
                <w:szCs w:val="18"/>
                <w:color w:val="auto"/>
                <w:w w:val="96"/>
              </w:rPr>
              <w:t>16,151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151"/>
        </w:trPr>
        <w:tc>
          <w:tcPr>
            <w:tcW w:w="49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6"/>
                <w:szCs w:val="16"/>
                <w:color w:val="auto"/>
              </w:rPr>
              <w:t>Net Gain (Loss) on Loans Accounted for Under the Fair Value</w:t>
            </w: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vMerge w:val="restart"/>
          </w:tcPr>
          <w:p>
            <w:pPr>
              <w:jc w:val="center"/>
              <w:ind w:left="1212"/>
              <w:spacing w:after="0"/>
              <w:rPr>
                <w:sz w:val="20"/>
                <w:szCs w:val="20"/>
                <w:color w:val="auto"/>
              </w:rPr>
            </w:pPr>
            <w:r>
              <w:rPr>
                <w:rFonts w:ascii="Times New Roman" w:cs="Times New Roman" w:eastAsia="Times New Roman" w:hAnsi="Times New Roman"/>
                <w:sz w:val="18"/>
                <w:szCs w:val="18"/>
                <w:color w:val="auto"/>
                <w:w w:val="96"/>
              </w:rPr>
              <w:t>35,566</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80" w:type="dxa"/>
            <w:vAlign w:val="bottom"/>
          </w:tcPr>
          <w:p>
            <w:pPr>
              <w:spacing w:after="0"/>
              <w:rPr>
                <w:sz w:val="13"/>
                <w:szCs w:val="13"/>
                <w:color w:val="auto"/>
              </w:rPr>
            </w:pPr>
          </w:p>
        </w:tc>
        <w:tc>
          <w:tcPr>
            <w:tcW w:w="38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39,747</w:t>
            </w:r>
          </w:p>
        </w:tc>
        <w:tc>
          <w:tcPr>
            <w:tcW w:w="0" w:type="dxa"/>
            <w:vAlign w:val="bottom"/>
          </w:tcPr>
          <w:p>
            <w:pPr>
              <w:spacing w:after="0"/>
              <w:rPr>
                <w:sz w:val="1"/>
                <w:szCs w:val="1"/>
                <w:color w:val="auto"/>
              </w:rPr>
            </w:pPr>
          </w:p>
        </w:tc>
      </w:tr>
      <w:tr>
        <w:trPr>
          <w:trHeight w:val="215"/>
        </w:trPr>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w:t>
            </w:r>
          </w:p>
        </w:tc>
        <w:tc>
          <w:tcPr>
            <w:tcW w:w="426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Net unrealized gain (loss) on loans accounted for under the fair value option relates to the guaranteed portions of SBA loans made which the Company sells into a secondary market, the unguaranteed portions of SBA loans made which the Company holds, SBA 504 loans that are held for sale, and ALP loans that are held for sale. This unrealized gain (loss) represents the fair value adjustment of loans</w:t>
      </w:r>
      <w:r>
        <w:rPr>
          <w:rFonts w:ascii="Arial" w:cs="Arial" w:eastAsia="Arial" w:hAnsi="Arial"/>
          <w:sz w:val="18"/>
          <w:szCs w:val="18"/>
          <w:color w:val="auto"/>
        </w:rPr>
        <w:t>.</w:t>
      </w:r>
      <w:r>
        <w:rPr>
          <w:rFonts w:ascii="Times New Roman" w:cs="Times New Roman" w:eastAsia="Times New Roman" w:hAnsi="Times New Roman"/>
          <w:sz w:val="17"/>
          <w:szCs w:val="17"/>
          <w:color w:val="auto"/>
        </w:rPr>
        <w:t xml:space="preserve"> The amount of the unrealized gain (loss) is determined by the quantity of loans held for sale at quarter end, the change in secondary market pricing conditions, and the valuation of the loans that are not held for sale.</w:t>
      </w:r>
    </w:p>
    <w:p>
      <w:pPr>
        <w:spacing w:after="0" w:line="187" w:lineRule="exact"/>
        <w:rPr>
          <w:sz w:val="20"/>
          <w:szCs w:val="20"/>
          <w:color w:val="auto"/>
        </w:rPr>
      </w:pPr>
    </w:p>
    <w:p>
      <w:pPr>
        <w:jc w:val="both"/>
        <w:ind w:right="40"/>
        <w:spacing w:after="0" w:line="303" w:lineRule="auto"/>
        <w:rPr>
          <w:sz w:val="20"/>
          <w:szCs w:val="20"/>
          <w:color w:val="auto"/>
        </w:rPr>
      </w:pPr>
      <w:r>
        <w:rPr>
          <w:rFonts w:ascii="Times New Roman" w:cs="Times New Roman" w:eastAsia="Times New Roman" w:hAnsi="Times New Roman"/>
          <w:sz w:val="16"/>
          <w:szCs w:val="16"/>
          <w:color w:val="auto"/>
        </w:rPr>
        <w:t>During the nine months ended September 30, 2025 and 2024, the Company recorded unrealized gains on SBA 7(a) unguaranteed loans accounted for under the fair value option as the portfolio paid down. During the nine months ended September 30, 2025 and 2024, the Company recorded unrealized gains on SBA 7(a) guaranteed loans accounted for under the fair value option primarily due to holding guaranteed portions of SBA 7(a) loans for longer periods of time.</w:t>
      </w:r>
    </w:p>
    <w:p>
      <w:pPr>
        <w:spacing w:after="0" w:line="1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The $3.4 million increase in unrealized gain (loss) on loans accounted for under the fair value option from SBA 504 and Non-SBA loans is primarily volume driven from the reversal of the previous gains on ALP loans to consummate the NALP 2025-1 transaction as noted above.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IT Support Income</w:t>
      </w:r>
    </w:p>
    <w:p>
      <w:pPr>
        <w:spacing w:after="0" w:line="24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Technology and IT support income was $14.3 million for the nine months ended September 30, 2024. There was no Technology and IT support income for the nine months ended September 30, 2025, due to the sale of NTS. Refer to NOTE 4—INVESTMENTS: Intelligent Protection Management Corp</w:t>
      </w:r>
      <w:r>
        <w:rPr>
          <w:rFonts w:ascii="Times New Roman" w:cs="Times New Roman" w:eastAsia="Times New Roman" w:hAnsi="Times New Roman"/>
          <w:sz w:val="18"/>
          <w:szCs w:val="18"/>
          <w:b w:val="1"/>
          <w:bCs w:val="1"/>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Noninterest Income</w:t>
      </w:r>
    </w:p>
    <w:p>
      <w:pPr>
        <w:spacing w:after="0" w:line="2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For the nine months ended September 30, 2025 and 2024, other noninterest income was related primarily to loan origination fees (legal and packaging) on loans sold or carried at fair value. Other items that contributed to the $4.4 million decrease included a decrease on prepayment and late fees earned from SBA 7(a) loans. The Company originated 1,589 of SBA 7(a) loans compared to 1,732 loans for the nine months ended September 30, 2025 and 2024, respectively. Adding to the decrease was $(0.7) million of net unrealized losses on joint ventures and other non-control investments for the nine months ended September 30, 2025 compared to none in the prior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7"/>
        </w:trPr>
        <w:tc>
          <w:tcPr>
            <w:tcW w:w="3640" w:type="dxa"/>
            <w:vAlign w:val="bottom"/>
          </w:tcPr>
          <w:p>
            <w:pPr>
              <w:spacing w:after="0"/>
              <w:rPr>
                <w:sz w:val="24"/>
                <w:szCs w:val="24"/>
                <w:color w:val="auto"/>
              </w:rPr>
            </w:pPr>
          </w:p>
        </w:tc>
        <w:tc>
          <w:tcPr>
            <w:tcW w:w="378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40" w:type="dxa"/>
            <w:vAlign w:val="bottom"/>
          </w:tcPr>
          <w:p>
            <w:pPr>
              <w:spacing w:after="0"/>
              <w:rPr>
                <w:sz w:val="24"/>
                <w:szCs w:val="24"/>
                <w:color w:val="auto"/>
              </w:rPr>
            </w:pPr>
          </w:p>
        </w:tc>
        <w:tc>
          <w:tcPr>
            <w:tcW w:w="3480" w:type="dxa"/>
            <w:vAlign w:val="bottom"/>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r>
      <w:tr>
        <w:trPr>
          <w:trHeight w:val="217"/>
        </w:trPr>
        <w:tc>
          <w:tcPr>
            <w:tcW w:w="36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2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7"/>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1100" w:type="dxa"/>
            <w:vAlign w:val="bottom"/>
            <w:tcBorders>
              <w:top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services expense</w:t>
            </w:r>
          </w:p>
        </w:tc>
        <w:tc>
          <w:tcPr>
            <w:tcW w:w="1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00" w:type="dxa"/>
            <w:vAlign w:val="bottom"/>
          </w:tcPr>
          <w:p>
            <w:pPr>
              <w:spacing w:after="0"/>
              <w:rPr>
                <w:sz w:val="19"/>
                <w:szCs w:val="19"/>
                <w:color w:val="auto"/>
              </w:rPr>
            </w:pPr>
          </w:p>
        </w:tc>
        <w:tc>
          <w:tcPr>
            <w:tcW w:w="1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expense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loan origination and maintenance expense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54.1</w:t>
            </w: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1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(65.0)</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47.9</w:t>
            </w:r>
          </w:p>
        </w:tc>
      </w:tr>
      <w:tr>
        <w:trPr>
          <w:trHeight w:val="24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10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Employee Benefits Expense</w:t>
      </w:r>
    </w:p>
    <w:p>
      <w:pPr>
        <w:spacing w:after="0" w:line="24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The increase in salaries and employee benefits was primarily attributable to higher benefit costs, including medical and other insurance expenses, as well as an increase in stock-based compensation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Services Expense</w:t>
      </w:r>
    </w:p>
    <w:p>
      <w:pPr>
        <w:spacing w:after="0" w:line="24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$8.6 million decrease in technology services expenses for the nine months ended September 30, 2025 corresponded with the NTS Sale. Refer to NOTE 4— INVESTMENTS: Intelligent Protection Management Corp</w:t>
      </w:r>
      <w:r>
        <w:rPr>
          <w:rFonts w:ascii="Times New Roman" w:cs="Times New Roman" w:eastAsia="Times New Roman" w:hAnsi="Times New Roman"/>
          <w:sz w:val="18"/>
          <w:szCs w:val="18"/>
          <w:b w:val="1"/>
          <w:bCs w:val="1"/>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Loan Origination and Maintenance Expense</w:t>
      </w:r>
    </w:p>
    <w:p>
      <w:pPr>
        <w:spacing w:after="0" w:line="24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Other loan origination and maintenance expenses during the nine months ended September 30, 2025, was $14.5 million compared to $9.4 million for the nine months ended September 30, 2024 due to a larger dollar volume and count of loan originations in 2025 compared to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4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The decrease in depreciation and amortization period over period is primarily attributable to the full amortization of intangible assets during the second half of 2024, which resulted in less amortization in 2025 compared to the prior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loss on extinguishment of debt period over period is attributable to the repayment in full of the NMS Webster Note on September 26, 2025.</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General and Administrative Costs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in other general and administrative costs of $6.9 million is primarily driven by higher technology-related costs following the sale of NTS in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were previously eliminated in consolidation but are now recognized as standalone expenses post-divestiture.</w:t>
      </w: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Segment Operations</w:t>
      </w:r>
    </w:p>
    <w:p>
      <w:pPr>
        <w:spacing w:after="0" w:line="24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four reportable segments Banking, Alternative Lending, NSBF, and Payments. A description of each segment and the methodologies used to measure financial performance is described in NOTE 18—SEGMENTS in the accompanying Notes to the Consolidated Financial Statements. Net income (loss) by operating segment is presented below:</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5"/>
          </w:tcPr>
          <w:p>
            <w:pPr>
              <w:ind w:left="1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20"/>
                <w:szCs w:val="20"/>
                <w:color w:val="auto"/>
              </w:rPr>
            </w:pPr>
          </w:p>
        </w:tc>
        <w:tc>
          <w:tcPr>
            <w:tcW w:w="3880" w:type="dxa"/>
            <w:vAlign w:val="bottom"/>
            <w:gridSpan w:val="3"/>
          </w:tcPr>
          <w:p>
            <w:pPr>
              <w:jc w:val="right"/>
              <w:ind w:right="93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r>
      <w:tr>
        <w:trPr>
          <w:trHeight w:val="217"/>
        </w:trPr>
        <w:tc>
          <w:tcPr>
            <w:tcW w:w="2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18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7"/>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Lending</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26,298</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3"/>
        </w:trPr>
        <w:tc>
          <w:tcPr>
            <w:tcW w:w="2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NSBF</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&amp; Other</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(30,850)</w:t>
            </w:r>
          </w:p>
        </w:tc>
        <w:tc>
          <w:tcPr>
            <w:tcW w:w="8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1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80" w:type="dxa"/>
            <w:vAlign w:val="bottom"/>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60" w:right="420" w:hanging="155"/>
        <w:spacing w:after="0" w:line="216" w:lineRule="auto"/>
        <w:tabs>
          <w:tab w:leader="none" w:pos="201" w:val="left"/>
        </w:tabs>
        <w:numPr>
          <w:ilvl w:val="0"/>
          <w:numId w:val="5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As a result of commitments made to the Federal Reserve, the Company divested of NTS on January 2, 2025, and is no longer a reportable segment. See NOTE 4—INVESTMENTS: Intelligent Protection Management Corp</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3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The banking segment includes Newtek Bank as well as its consolidated subsidiary SBL. The financial results include the origination, sale, and servicing of SBA 7(a) loans, SBA 504 loans, C&amp;I loans, CRE loans and ABL loans. In addition, Newtek Bank offers depository services. The results include $43.9 million of net interest income during the nine months ended September 30, 2025 compared to $28.2 million of net interest income during the nine months ended September 30, 2024. During 2025, the Company increased the average balances of loans HFI and HFS as well as the average outstanding accrual portfolio of loans HFI, which was partially offset by an increase in the provision for credit losses, resulting in higher net income for the nine months ended September 30, 2025 compared to the nine months ended September 30,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Alternative Lending</w:t>
      </w:r>
    </w:p>
    <w:p>
      <w:pPr>
        <w:spacing w:after="0" w:line="23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Alternative Lending includes Newtek ALP Holdings (NALH) and its subsidiaries. The Company has originated loans under its Alternative Lending Program since 2019. Prior to July 1, 2024, the Company originated ALP loans with the intent to sell to a JV. While the Company continues to source JV partners to participate in this program, during the third quarter of 2024, the Company made the decision to originate with the intent to securitize ALP loans with our subsidiary Newtek ALP Holdings as the originator and sponsor without a joint venture partner; the Company’s first such securitization transaction was consummated during the second quarter of 2025. The Company could also originate ALP loans designated as HFI. On August 27, 2025, NALH entered into an interest purchase agreement with TCP to acquire TCP’s 50% ownership interest in NCL JV for $15.75 million, resulting in NALH owning 100% of NCL JV. Compared to the nine months ended September 30, 2024, there were more loans originations that drove higher income for the nine months ended September 30, 2025, as well as larger gains on loans at fair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NSBF</w:t>
      </w:r>
    </w:p>
    <w:p>
      <w:pPr>
        <w:spacing w:after="0" w:line="244" w:lineRule="exact"/>
        <w:rPr>
          <w:sz w:val="20"/>
          <w:szCs w:val="20"/>
          <w:color w:val="auto"/>
        </w:rPr>
      </w:pPr>
    </w:p>
    <w:p>
      <w:pPr>
        <w:ind w:right="780"/>
        <w:spacing w:after="0" w:line="268" w:lineRule="auto"/>
        <w:rPr>
          <w:sz w:val="20"/>
          <w:szCs w:val="20"/>
          <w:color w:val="auto"/>
        </w:rPr>
      </w:pPr>
      <w:r>
        <w:rPr>
          <w:rFonts w:ascii="Times New Roman" w:cs="Times New Roman" w:eastAsia="Times New Roman" w:hAnsi="Times New Roman"/>
          <w:sz w:val="18"/>
          <w:szCs w:val="18"/>
          <w:color w:val="auto"/>
        </w:rPr>
        <w:t>NSBF includes NSBF’s legacy portfolio of SBA 7(a) loans held outside Newtek Bank. The change in net income is due to the wind-down of NSBF’s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244" w:lineRule="exact"/>
        <w:rPr>
          <w:sz w:val="20"/>
          <w:szCs w:val="20"/>
          <w:color w:val="auto"/>
        </w:rPr>
      </w:pPr>
    </w:p>
    <w:p>
      <w:pPr>
        <w:jc w:val="both"/>
        <w:ind w:right="180"/>
        <w:spacing w:after="0" w:line="252" w:lineRule="auto"/>
        <w:rPr>
          <w:sz w:val="20"/>
          <w:szCs w:val="20"/>
          <w:color w:val="auto"/>
        </w:rPr>
      </w:pPr>
      <w:r>
        <w:rPr>
          <w:rFonts w:ascii="Times New Roman" w:cs="Times New Roman" w:eastAsia="Times New Roman" w:hAnsi="Times New Roman"/>
          <w:sz w:val="18"/>
          <w:szCs w:val="18"/>
          <w:color w:val="auto"/>
        </w:rPr>
        <w:t>Payments includes NMS, POS and Mobil Money. Within the segment’s results are $35.9 million of noninterest income for the nine months ended September 30, 2025 resulting from marketing credit and debit card processing services, check approval services, processing equipment, and software, compared to $39.1 million during the nine months ended September 30, 2024. The net income also included $23.1 million and $24.4 million of noninterest expense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4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Corporate and Other represents operations not considered to be reportable segments and/or general operating expenses of the Company, and includes the parent company, other non-bank subsidiaries including NIA, PMT, and elimination adjustments to reconcile the results of the operating segments to the consolidated financial statements prepared in conformity with GAAP.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comparison of the results of operations for the three months ended September 30, 2025 and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24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reported net income of $17.9 million, or $0.68 per basic and $0.67 per diluted share, compared to net income of $11.9 million, or $0.45 per basic and diluted share, for the three months ended September 30,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net increase in net income was attributable to the following items: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7"/>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8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3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2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and fees on loans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1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Loans and fees on loans: </w:t>
      </w:r>
      <w:r>
        <w:rPr>
          <w:rFonts w:ascii="Times New Roman" w:cs="Times New Roman" w:eastAsia="Times New Roman" w:hAnsi="Times New Roman"/>
          <w:sz w:val="18"/>
          <w:szCs w:val="18"/>
          <w:color w:val="auto"/>
        </w:rPr>
        <w:t>The $7.8 million increase in interest income on the Company’s loan portfolio was attributable to an increase in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accrual portfolio of loans held for investment increasing to $1.6 billion from $1.2 billion for the three months ended September 30, 2025 and 2024, respectively. The increase in the average outstanding accrual loan portfolio resulted from the origination of new SBA 7(a) loans period over period.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interest expense by facility for the three months ended September 30, 2025 and 2024:</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60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2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payable - Securitization Trusts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23"/>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2024</w:t>
            </w:r>
          </w:p>
        </w:tc>
        <w:tc>
          <w:tcPr>
            <w:tcW w:w="6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2025</w:t>
            </w:r>
          </w:p>
        </w:tc>
        <w:tc>
          <w:tcPr>
            <w:tcW w:w="6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5.00% Notes</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3"/>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2025</w:t>
            </w:r>
          </w:p>
        </w:tc>
        <w:tc>
          <w:tcPr>
            <w:tcW w:w="6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8.125% Notes</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2026</w:t>
            </w: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2027</w:t>
            </w:r>
          </w:p>
        </w:tc>
        <w:tc>
          <w:tcPr>
            <w:tcW w:w="6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2028 Notes</w:t>
            </w:r>
            <w:r>
              <w:rPr>
                <w:rFonts w:ascii="Times New Roman" w:cs="Times New Roman" w:eastAsia="Times New Roman" w:hAnsi="Times New Roman"/>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2029</w:t>
            </w:r>
          </w:p>
        </w:tc>
        <w:tc>
          <w:tcPr>
            <w:tcW w:w="6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8.50% Notes</w:t>
            </w:r>
            <w:r>
              <w:rPr>
                <w:rFonts w:ascii="Times New Roman" w:cs="Times New Roman" w:eastAsia="Times New Roman" w:hAnsi="Times New Roman"/>
                <w:sz w:val="22"/>
                <w:szCs w:val="22"/>
                <w:color w:val="auto"/>
                <w:vertAlign w:val="superscript"/>
              </w:rPr>
              <w:t>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2029</w:t>
            </w:r>
          </w:p>
        </w:tc>
        <w:tc>
          <w:tcPr>
            <w:tcW w:w="6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8.625% Notes</w:t>
            </w:r>
            <w:r>
              <w:rPr>
                <w:rFonts w:ascii="Times New Roman" w:cs="Times New Roman" w:eastAsia="Times New Roman" w:hAnsi="Times New Roman"/>
                <w:sz w:val="22"/>
                <w:szCs w:val="22"/>
                <w:color w:val="auto"/>
                <w:vertAlign w:val="superscript"/>
              </w:rPr>
              <w:t>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23"/>
        </w:trPr>
        <w:tc>
          <w:tcPr>
            <w:tcW w:w="6680" w:type="dxa"/>
            <w:vAlign w:val="bottom"/>
            <w:gridSpan w:val="2"/>
          </w:tcPr>
          <w:p>
            <w:pPr>
              <w:ind w:left="220"/>
              <w:spacing w:after="0" w:line="223" w:lineRule="exact"/>
              <w:rPr>
                <w:sz w:val="20"/>
                <w:szCs w:val="20"/>
                <w:color w:val="auto"/>
              </w:rPr>
            </w:pPr>
            <w:r>
              <w:rPr>
                <w:rFonts w:ascii="Times New Roman" w:cs="Times New Roman" w:eastAsia="Times New Roman" w:hAnsi="Times New Roman"/>
                <w:sz w:val="18"/>
                <w:szCs w:val="18"/>
                <w:color w:val="auto"/>
              </w:rPr>
              <w:t>2030 Notes</w:t>
            </w:r>
            <w:r>
              <w:rPr>
                <w:rFonts w:ascii="Times New Roman" w:cs="Times New Roman" w:eastAsia="Times New Roman" w:hAnsi="Times New Roman"/>
                <w:sz w:val="22"/>
                <w:szCs w:val="22"/>
                <w:color w:val="auto"/>
                <w:vertAlign w:val="superscript"/>
              </w:rPr>
              <w:t>7</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7"/>
        </w:trPr>
        <w:tc>
          <w:tcPr>
            <w:tcW w:w="668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notes and securitizations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63"/>
        </w:trPr>
        <w:tc>
          <w:tcPr>
            <w:tcW w:w="668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Bank notes payable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FHLB Advances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7"/>
        </w:trPr>
        <w:tc>
          <w:tcPr>
            <w:tcW w:w="6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bank and FHLB borrowings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50"/>
        </w:trPr>
        <w:tc>
          <w:tcPr>
            <w:tcW w:w="6680" w:type="dxa"/>
            <w:vAlign w:val="bottom"/>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ectPr>
          <w:pgSz w:w="11900" w:h="16838" w:orient="portrait"/>
          <w:cols w:equalWidth="0" w:num="1">
            <w:col w:w="11240"/>
          </w:cols>
          <w:pgMar w:left="320" w:top="123"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On August 1, 2024, the 2024 Notes matured.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2025, the 2025 5.00% Notes matured.</w:t>
      </w:r>
    </w:p>
    <w:p>
      <w:pPr>
        <w:spacing w:after="0" w:line="3" w:lineRule="exact"/>
        <w:rPr>
          <w:sz w:val="20"/>
          <w:szCs w:val="20"/>
          <w:color w:val="auto"/>
        </w:rPr>
      </w:pPr>
    </w:p>
    <w:p>
      <w:pPr>
        <w:ind w:right="320" w:hanging="4"/>
        <w:spacing w:after="0" w:line="243" w:lineRule="auto"/>
        <w:rPr>
          <w:sz w:val="20"/>
          <w:szCs w:val="20"/>
          <w:color w:val="auto"/>
        </w:rPr>
      </w:pPr>
      <w:r>
        <w:rPr>
          <w:rFonts w:ascii="Times New Roman" w:cs="Times New Roman" w:eastAsia="Times New Roman" w:hAnsi="Times New Roman"/>
          <w:sz w:val="18"/>
          <w:szCs w:val="18"/>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w:t>
      </w:r>
    </w:p>
    <w:p>
      <w:pPr>
        <w:spacing w:after="0" w:line="1" w:lineRule="exact"/>
        <w:rPr>
          <w:sz w:val="20"/>
          <w:szCs w:val="20"/>
          <w:color w:val="auto"/>
        </w:rPr>
      </w:pPr>
    </w:p>
    <w:p>
      <w:pPr>
        <w:ind w:right="340" w:hanging="4"/>
        <w:spacing w:after="0" w:line="243" w:lineRule="auto"/>
        <w:rPr>
          <w:sz w:val="20"/>
          <w:szCs w:val="20"/>
          <w:color w:val="auto"/>
        </w:rPr>
      </w:pPr>
      <w:r>
        <w:rPr>
          <w:rFonts w:ascii="Times New Roman" w:cs="Times New Roman" w:eastAsia="Times New Roman" w:hAnsi="Times New Roman"/>
          <w:sz w:val="18"/>
          <w:szCs w:val="18"/>
          <w:color w:val="auto"/>
        </w:rPr>
        <w:t>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spacing w:after="0" w:line="2" w:lineRule="exact"/>
        <w:rPr>
          <w:sz w:val="20"/>
          <w:szCs w:val="20"/>
          <w:color w:val="auto"/>
        </w:rPr>
      </w:pPr>
    </w:p>
    <w:p>
      <w:pPr>
        <w:ind w:hanging="4"/>
        <w:spacing w:after="0" w:line="243" w:lineRule="auto"/>
        <w:rPr>
          <w:sz w:val="20"/>
          <w:szCs w:val="20"/>
          <w:color w:val="auto"/>
        </w:rPr>
      </w:pPr>
      <w:r>
        <w:rPr>
          <w:rFonts w:ascii="Times New Roman" w:cs="Times New Roman" w:eastAsia="Times New Roman" w:hAnsi="Times New Roman"/>
          <w:sz w:val="18"/>
          <w:szCs w:val="18"/>
          <w:color w:val="auto"/>
        </w:rPr>
        <w:t>On May 30, 2024, the Company completed a public offering of $62.5 million aggregate principal amount of 8.50% notes due 2029, and on June 3, 2024, the underwriters exercised their option to purchase an additional $9.4 million in aggregate principal amount of the 2029 Notes. The Notes will mature on June 1, 2029. The Notes bear interest at a rate of 8.500% per year, payable quarterly on March 1, June 1, September 1, and December 1 each year, commencing on September 1, 2024.</w:t>
      </w:r>
    </w:p>
    <w:p>
      <w:pPr>
        <w:spacing w:after="0" w:line="3" w:lineRule="exact"/>
        <w:rPr>
          <w:sz w:val="20"/>
          <w:szCs w:val="20"/>
          <w:color w:val="auto"/>
        </w:rPr>
      </w:pPr>
    </w:p>
    <w:p>
      <w:pPr>
        <w:jc w:val="both"/>
        <w:ind w:right="180" w:hanging="4"/>
        <w:spacing w:after="0" w:line="243" w:lineRule="auto"/>
        <w:rPr>
          <w:sz w:val="20"/>
          <w:szCs w:val="20"/>
          <w:color w:val="auto"/>
        </w:rPr>
      </w:pPr>
      <w:r>
        <w:rPr>
          <w:rFonts w:ascii="Times New Roman" w:cs="Times New Roman" w:eastAsia="Times New Roman" w:hAnsi="Times New Roman"/>
          <w:sz w:val="18"/>
          <w:szCs w:val="18"/>
          <w:color w:val="auto"/>
        </w:rPr>
        <w:t>On September 16, 2024, the Company completed a public offering of $75.0 million aggregate principal amount of 8.625% notes due 2029. The Notes will mature on October 15, 2029. The Notes bear interest at a rate of 8.625% per year, payable quarterly on January 15, April 15, July 15, and October 15 each year, commencing on January 15, 2025.</w:t>
      </w:r>
    </w:p>
    <w:p>
      <w:pPr>
        <w:spacing w:after="0" w:line="2" w:lineRule="exact"/>
        <w:rPr>
          <w:sz w:val="20"/>
          <w:szCs w:val="20"/>
          <w:color w:val="auto"/>
        </w:rPr>
      </w:pPr>
    </w:p>
    <w:p>
      <w:pPr>
        <w:ind w:right="140" w:hanging="4"/>
        <w:spacing w:after="0" w:line="245" w:lineRule="auto"/>
        <w:rPr>
          <w:sz w:val="20"/>
          <w:szCs w:val="20"/>
          <w:color w:val="auto"/>
        </w:rPr>
      </w:pPr>
      <w:r>
        <w:rPr>
          <w:rFonts w:ascii="Times New Roman" w:cs="Times New Roman" w:eastAsia="Times New Roman" w:hAnsi="Times New Roman"/>
          <w:sz w:val="18"/>
          <w:szCs w:val="18"/>
          <w:color w:val="auto"/>
        </w:rPr>
        <w:t>On March 19, 2025, the Company completed an exempt offering of $30.0 million aggregate principal amount of notes due 2030. The Notes will mature on April 1, 2030. The Notes bear interest at a rate of 8.375% per year, payable semiannually on April 1 and October 1 each year, commencing on October 1, 2025.</w:t>
      </w:r>
    </w:p>
    <w:p>
      <w:pPr>
        <w:spacing w:after="0" w:line="200" w:lineRule="exact"/>
        <w:rPr>
          <w:sz w:val="20"/>
          <w:szCs w:val="20"/>
          <w:color w:val="auto"/>
        </w:rPr>
      </w:pPr>
    </w:p>
    <w:p>
      <w:pPr>
        <w:sectPr>
          <w:pgSz w:w="11900" w:h="16838" w:orient="portrait"/>
          <w:cols w:equalWidth="0" w:num="2">
            <w:col w:w="60" w:space="180"/>
            <w:col w:w="11000"/>
          </w:cols>
          <w:pgMar w:left="320" w:top="123" w:right="339" w:bottom="1440" w:gutter="0" w:footer="0" w:header="0"/>
          <w:type w:val="continuous"/>
        </w:sectPr>
      </w:pPr>
    </w:p>
    <w:p>
      <w:pPr>
        <w:spacing w:after="0" w:line="16"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18"/>
          <w:szCs w:val="18"/>
          <w:color w:val="auto"/>
        </w:rPr>
        <w:t>The increase in interest expense period over period is primarily due to the Company’s continued growth in deposits that increased interest expense by $3.6 million. In addition, there was additional interest expense on the 2027, 2029 8.625% Notes and 2030 Notes of $1.0 million, $1.4 million and $0.7 million, respectively and an increase in interest expense on bank and FHLB borrowings of $1.5 million. The increase was partially offset by a reduction in Notes payable - Securitization Trusts of $2.1 million, and the 2025 8.125% Notes of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1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6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2025 and 2024, there was a provision for loan credit losses of $7.7 million and $6.9 million, respectively. The increase was due to an increase in loans held for investment at amortized cost, specifically SBA 7(a) loans, as well as a sequential build of the provision year over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Margin</w:t>
      </w:r>
    </w:p>
    <w:p>
      <w:pPr>
        <w:spacing w:after="0" w:line="2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Balances and Yields. </w:t>
      </w:r>
      <w:r>
        <w:rPr>
          <w:rFonts w:ascii="Times New Roman" w:cs="Times New Roman" w:eastAsia="Times New Roman" w:hAnsi="Times New Roman"/>
          <w:sz w:val="18"/>
          <w:szCs w:val="18"/>
          <w:color w:val="auto"/>
        </w:rPr>
        <w:t>The following table presents information regarding average balances for assets and liabilities, the total dollar amounts of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8"/>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line="16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w w:val="94"/>
              </w:rPr>
              <w:t>Average Yield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00"/>
              <w:spacing w:after="0" w:line="16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8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4"/>
              </w:rPr>
              <w:t>Average Yield</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 Rate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 Rate</w:t>
            </w:r>
          </w:p>
        </w:tc>
        <w:tc>
          <w:tcPr>
            <w:tcW w:w="0" w:type="dxa"/>
            <w:vAlign w:val="bottom"/>
          </w:tcPr>
          <w:p>
            <w:pPr>
              <w:spacing w:after="0"/>
              <w:rPr>
                <w:sz w:val="1"/>
                <w:szCs w:val="1"/>
                <w:color w:val="auto"/>
              </w:rPr>
            </w:pPr>
          </w:p>
        </w:tc>
      </w:tr>
      <w:tr>
        <w:trPr>
          <w:trHeight w:val="204"/>
        </w:trPr>
        <w:tc>
          <w:tcPr>
            <w:tcW w:w="382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275,885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171,193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0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10.62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1,105,354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971,396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2,018,785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39,094</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1,416,568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on loans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 earning assets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286,617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215,433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2,262,678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1,610,849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Demand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157,657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Savings and NOW</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10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630,796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1,821,923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1,259,655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6.41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2,262,678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1,610,849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Net interest income and interest rate spread</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14,549</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2.34 %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10,981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2.37 %</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interest margin</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3.08 %</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5"/>
                <w:szCs w:val="15"/>
                <w:color w:val="auto"/>
              </w:rPr>
              <w:t>Ratio of average interest-earning assets to average</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112.46 %</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4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7"/>
              </w:rPr>
              <w:t>Three Months Ended September 30,</w:t>
            </w:r>
          </w:p>
        </w:tc>
        <w:tc>
          <w:tcPr>
            <w:tcW w:w="960" w:type="dxa"/>
            <w:vAlign w:val="bottom"/>
            <w:tcBorders>
              <w:bottom w:val="single" w:sz="8" w:color="auto"/>
            </w:tcBorders>
          </w:tcPr>
          <w:p>
            <w:pPr>
              <w:spacing w:after="0"/>
              <w:rPr>
                <w:sz w:val="20"/>
                <w:szCs w:val="20"/>
                <w:color w:val="auto"/>
              </w:rPr>
            </w:pPr>
          </w:p>
        </w:tc>
      </w:tr>
      <w:tr>
        <w:trPr>
          <w:trHeight w:val="217"/>
        </w:trPr>
        <w:tc>
          <w:tcPr>
            <w:tcW w:w="6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7"/>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7"/>
              </w:rPr>
              <w:t>Increase (Decrease) Due to</w:t>
            </w:r>
          </w:p>
        </w:tc>
        <w:tc>
          <w:tcPr>
            <w:tcW w:w="960" w:type="dxa"/>
            <w:vAlign w:val="bottom"/>
            <w:tcBorders>
              <w:bottom w:val="single" w:sz="8" w:color="auto"/>
            </w:tcBorders>
          </w:tcPr>
          <w:p>
            <w:pPr>
              <w:spacing w:after="0"/>
              <w:rPr>
                <w:sz w:val="18"/>
                <w:szCs w:val="18"/>
                <w:color w:val="auto"/>
              </w:rPr>
            </w:pPr>
          </w:p>
        </w:tc>
      </w:tr>
      <w:tr>
        <w:trPr>
          <w:trHeight w:val="217"/>
        </w:trPr>
        <w:tc>
          <w:tcPr>
            <w:tcW w:w="6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Volume</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03"/>
        </w:trPr>
        <w:tc>
          <w:tcPr>
            <w:tcW w:w="65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r>
      <w:tr>
        <w:trPr>
          <w:trHeight w:val="22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1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r>
      <w:tr>
        <w:trPr>
          <w:trHeight w:val="263"/>
        </w:trPr>
        <w:tc>
          <w:tcPr>
            <w:tcW w:w="6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and NOW</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2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1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1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60"/>
        </w:trPr>
        <w:tc>
          <w:tcPr>
            <w:tcW w:w="4900" w:type="dxa"/>
            <w:vAlign w:val="bottom"/>
          </w:tcPr>
          <w:p>
            <w:pPr>
              <w:spacing w:after="0"/>
              <w:rPr>
                <w:sz w:val="24"/>
                <w:szCs w:val="24"/>
                <w:color w:val="auto"/>
              </w:rPr>
            </w:pPr>
          </w:p>
        </w:tc>
        <w:tc>
          <w:tcPr>
            <w:tcW w:w="314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4"/>
                <w:szCs w:val="24"/>
                <w:color w:val="auto"/>
              </w:rPr>
            </w:pPr>
          </w:p>
        </w:tc>
        <w:tc>
          <w:tcPr>
            <w:tcW w:w="294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r>
      <w:tr>
        <w:trPr>
          <w:trHeight w:val="217"/>
        </w:trPr>
        <w:tc>
          <w:tcPr>
            <w:tcW w:w="49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7"/>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92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on loan servicing assets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151.6</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10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(62.8)</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residuals in securitizations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loans under the fair value option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29,250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33,335</w:t>
            </w:r>
          </w:p>
        </w:tc>
        <w:tc>
          <w:tcPr>
            <w:tcW w:w="10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(816.0)</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IT support income</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income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11,053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(14.3)</w:t>
            </w:r>
          </w:p>
        </w:tc>
      </w:tr>
      <w:tr>
        <w:trPr>
          <w:trHeight w:val="217"/>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60,388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0"/>
        </w:trPr>
        <w:tc>
          <w:tcPr>
            <w:tcW w:w="4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Income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2025 and 2024, dividend income was dependent on the earnings of our joint ventures.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Loan Servicing Assets</w:t>
      </w:r>
    </w:p>
    <w:p>
      <w:pPr>
        <w:spacing w:after="0" w:line="20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Company accounts for servicing assets in accordance with ASC Topic 860-50 - Transfers and Servicing - Servicing Assets and Liabilities. The Company earns servicing fees from the guaranteed portions of SBA 7(a) loans it originates and sells, from the SBA 7(a) loan securitizations sponsored by NSBF, and from servicing the ALP portfolios in securitizations sponsored by NCL JV (dissolved in September 2025), TSO JV and Newtek ALP Holdings.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 Net loss on loan servicing assets is shown net of amortization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larger loss in Net loss on loan servicing assets is due to the decrease in NSBF’s total portfolio of loans during the wind-down.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Income</w:t>
      </w:r>
    </w:p>
    <w:p>
      <w:pPr>
        <w:spacing w:after="0" w:line="13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increase in servicing income was related to an increase of $159.2 million in the average total loan portfolio for which we earn servicing income period over period.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Gains on Sales of Loans</w:t>
            </w:r>
          </w:p>
        </w:tc>
        <w:tc>
          <w:tcPr>
            <w:tcW w:w="2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7"/>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gains on sales of loans for the three months ended September 30, 2025 and 2024 were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87"/>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02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tcBorders>
              <w:bottom w:val="single" w:sz="8" w:color="auto"/>
            </w:tcBorders>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43"/>
        </w:trPr>
        <w:tc>
          <w:tcPr>
            <w:tcW w:w="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recognized on sales of loans</w:t>
            </w:r>
          </w:p>
        </w:tc>
        <w:tc>
          <w:tcPr>
            <w:tcW w:w="2040" w:type="dxa"/>
            <w:vAlign w:val="bottom"/>
            <w:shd w:val="clear" w:color="auto" w:fill="CCEEFF"/>
          </w:tcPr>
          <w:p>
            <w:pPr>
              <w:jc w:val="right"/>
              <w:ind w:right="18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27,336</w:t>
            </w:r>
          </w:p>
        </w:tc>
      </w:tr>
      <w:tr>
        <w:trPr>
          <w:trHeight w:val="223"/>
        </w:trPr>
        <w:tc>
          <w:tcPr>
            <w:tcW w:w="2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recognized on sales of loans</w:t>
            </w:r>
          </w:p>
        </w:tc>
        <w:tc>
          <w:tcPr>
            <w:tcW w:w="20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5"/>
              </w:rPr>
              <w:t>(1,661)</w:t>
            </w:r>
          </w:p>
        </w:tc>
      </w:tr>
      <w:tr>
        <w:trPr>
          <w:trHeight w:val="242"/>
        </w:trPr>
        <w:tc>
          <w:tcPr>
            <w:tcW w:w="20" w:type="dxa"/>
            <w:vAlign w:val="bottom"/>
          </w:tcPr>
          <w:p>
            <w:pPr>
              <w:spacing w:after="0"/>
              <w:rPr>
                <w:sz w:val="20"/>
                <w:szCs w:val="20"/>
                <w:color w:val="auto"/>
              </w:rPr>
            </w:pPr>
          </w:p>
        </w:tc>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2040" w:type="dxa"/>
            <w:vAlign w:val="bottom"/>
            <w:tcBorders>
              <w:top w:val="single" w:sz="8" w:color="auto"/>
              <w:bottom w:val="single" w:sz="8" w:color="auto"/>
            </w:tcBorders>
            <w:shd w:val="clear" w:color="auto" w:fill="CCEEFF"/>
          </w:tcPr>
          <w:p>
            <w:pPr>
              <w:jc w:val="right"/>
              <w:ind w:right="18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25,675</w:t>
            </w: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17"/>
        </w:trPr>
        <w:tc>
          <w:tcPr>
            <w:tcW w:w="5700" w:type="dxa"/>
            <w:vAlign w:val="bottom"/>
          </w:tcPr>
          <w:p>
            <w:pPr>
              <w:spacing w:after="0"/>
              <w:rPr>
                <w:sz w:val="18"/>
                <w:szCs w:val="18"/>
                <w:color w:val="auto"/>
              </w:rPr>
            </w:pPr>
          </w:p>
        </w:tc>
        <w:tc>
          <w:tcPr>
            <w:tcW w:w="27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September 30, 2025</w:t>
            </w: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r>
      <w:tr>
        <w:trPr>
          <w:trHeight w:val="217"/>
        </w:trPr>
        <w:tc>
          <w:tcPr>
            <w:tcW w:w="5700" w:type="dxa"/>
            <w:vAlign w:val="bottom"/>
          </w:tcPr>
          <w:p>
            <w:pPr>
              <w:spacing w:after="0"/>
              <w:rPr>
                <w:sz w:val="18"/>
                <w:szCs w:val="18"/>
                <w:color w:val="auto"/>
              </w:rPr>
            </w:pPr>
          </w:p>
        </w:tc>
        <w:tc>
          <w:tcPr>
            <w:tcW w:w="11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 Amount</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 Amount</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loans originated</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187,253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226,513</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guaranteed loans sold</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69,086</w:t>
            </w:r>
          </w:p>
        </w:tc>
        <w:tc>
          <w:tcPr>
            <w:tcW w:w="10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525</w:t>
            </w:r>
          </w:p>
        </w:tc>
        <w:tc>
          <w:tcPr>
            <w:tcW w:w="3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176,002</w:t>
            </w:r>
          </w:p>
        </w:tc>
      </w:tr>
      <w:tr>
        <w:trPr>
          <w:trHeight w:val="223"/>
        </w:trPr>
        <w:tc>
          <w:tcPr>
            <w:tcW w:w="5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Average sale price as a percent of principal balance</w:t>
            </w:r>
            <w:r>
              <w:rPr>
                <w:rFonts w:ascii="Times New Roman" w:cs="Times New Roman" w:eastAsia="Times New Roman" w:hAnsi="Times New Roman"/>
                <w:sz w:val="22"/>
                <w:szCs w:val="22"/>
                <w:color w:val="auto"/>
                <w:vertAlign w:val="superscript"/>
              </w:rPr>
              <w:t>1</w:t>
            </w: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110.78 %</w:t>
            </w:r>
          </w:p>
        </w:tc>
      </w:tr>
    </w:tbl>
    <w:p>
      <w:pPr>
        <w:spacing w:after="0" w:line="60" w:lineRule="exact"/>
        <w:rPr>
          <w:sz w:val="20"/>
          <w:szCs w:val="20"/>
          <w:color w:val="auto"/>
        </w:rPr>
      </w:pPr>
    </w:p>
    <w:p>
      <w:pPr>
        <w:ind w:left="160" w:right="400" w:hanging="155"/>
        <w:spacing w:after="0" w:line="223" w:lineRule="auto"/>
        <w:tabs>
          <w:tab w:leader="none" w:pos="173"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Realized gains greater than 110.00% must be split 50/50 with the SBA in accordance with SBA regulations. The realized gains recognized above reflect amounts net of split with the SBA.</w:t>
      </w:r>
    </w:p>
    <w:p>
      <w:pPr>
        <w:spacing w:after="0" w:line="2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For the three months ended September 30, 2025, the average sale price on SBA 7(a) loans as a percent of principal balance was 110.12% compared to 110.78% for the prior period. The decrease in sales prices in 2025 resulted from lower demand. The decrease in overall net gains on sales of loans resulted from lower volumes of sales compared to the prior year at lower market premiums than the prior year. Additionally, the decrease in SBA 7(a) guaranteed loans sold is primarily due to management holding the loans for a longer period of time.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selected statistics on the historical net premiums on sales of guaranteed portions of SBA 7(a) loans realized by NewtekOne: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200" w:type="dxa"/>
            <w:vAlign w:val="bottom"/>
            <w:tcBorders>
              <w:bottom w:val="single" w:sz="8" w:color="auto"/>
            </w:tcBorders>
            <w:gridSpan w:val="8"/>
          </w:tcPr>
          <w:p>
            <w:pPr>
              <w:ind w:left="1700"/>
              <w:spacing w:after="0"/>
              <w:rPr>
                <w:sz w:val="20"/>
                <w:szCs w:val="20"/>
                <w:color w:val="auto"/>
              </w:rPr>
            </w:pPr>
            <w:r>
              <w:rPr>
                <w:rFonts w:ascii="Times New Roman" w:cs="Times New Roman" w:eastAsia="Times New Roman" w:hAnsi="Times New Roman"/>
                <w:sz w:val="18"/>
                <w:szCs w:val="18"/>
                <w:b w:val="1"/>
                <w:bCs w:val="1"/>
                <w:color w:val="auto"/>
              </w:rPr>
              <w:t>SBA 7(a) Sales Price as Percent of Principal Balance (%)</w:t>
            </w:r>
          </w:p>
        </w:tc>
        <w:tc>
          <w:tcPr>
            <w:tcW w:w="1440" w:type="dxa"/>
            <w:vAlign w:val="bottom"/>
            <w:tcBorders>
              <w:bottom w:val="single" w:sz="8" w:color="auto"/>
            </w:tcBorders>
          </w:tcPr>
          <w:p>
            <w:pPr>
              <w:spacing w:after="0"/>
              <w:rPr>
                <w:sz w:val="20"/>
                <w:szCs w:val="20"/>
                <w:color w:val="auto"/>
              </w:rPr>
            </w:pPr>
          </w:p>
        </w:tc>
      </w:tr>
      <w:tr>
        <w:trPr>
          <w:trHeight w:val="217"/>
        </w:trPr>
        <w:tc>
          <w:tcPr>
            <w:tcW w:w="3600" w:type="dxa"/>
            <w:vAlign w:val="bottom"/>
          </w:tcPr>
          <w:p>
            <w:pPr>
              <w:spacing w:after="0"/>
              <w:rPr>
                <w:sz w:val="18"/>
                <w:szCs w:val="18"/>
                <w:color w:val="auto"/>
              </w:rPr>
            </w:pPr>
          </w:p>
        </w:tc>
        <w:tc>
          <w:tcPr>
            <w:tcW w:w="19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94"/>
              </w:rPr>
              <w:t>High</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Low</w:t>
            </w:r>
          </w:p>
        </w:tc>
        <w:tc>
          <w:tcPr>
            <w:tcW w:w="144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Median</w:t>
            </w:r>
          </w:p>
        </w:tc>
      </w:tr>
      <w:tr>
        <w:trPr>
          <w:trHeight w:val="217"/>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110.20 %</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114.04 %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106.00 %</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110.42 %</w:t>
            </w: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110.97 %</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114.80 %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111.19 %</w:t>
            </w: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110.21 %</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112.59 %</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108.31 %</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110.16 %</w:t>
            </w:r>
          </w:p>
        </w:tc>
      </w:tr>
      <w:tr>
        <w:trPr>
          <w:trHeight w:val="221"/>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110.59 %</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114.80 %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Gain on Residuals in Securitizations</w:t>
      </w:r>
    </w:p>
    <w:p>
      <w:pPr>
        <w:spacing w:after="0" w:line="244"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Net (loss) gain on residuals in securitizations for the three months ended September 30, 2025 were $(1.5) million. There were no net gains on residuals in securitizations for the three months ended September 30, 2024. This resulted from the Company’s equity interest in the 2025-1 Securitization Trust which closed on April 23, 2025. To consummate the transaction, $216.6 million of ALP loans held for sale at fair value were sold into the securitization trust at par. This resulted in $35.4 million of previously recorded gains on ALP loans under the fair value option to be reversed, which was a large driver of the change described in the section below. The residual in the securitization (represented by the ownership certificate) was then valued resulting in a gain that was netted against the transaction costs. Refer to NOTE 3—SECURITIZATIONS AND VARIABLE INTEREST ENTITIES in the accompanying notes to the consolidated financial statements for additional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on Loans Accounted for Under the Fair Value Option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 (loss) on loans accounted for under the fair value option for the three months ended September 30, 2025 and 2024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7"/>
        </w:trPr>
        <w:tc>
          <w:tcPr>
            <w:tcW w:w="7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6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September 30, 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7"/>
        </w:trPr>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Unguaranteed Loans</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(3,319)</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Loans</w:t>
            </w:r>
          </w:p>
        </w:tc>
        <w:tc>
          <w:tcPr>
            <w:tcW w:w="3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11,484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w:t>
            </w:r>
          </w:p>
        </w:tc>
      </w:tr>
      <w:tr>
        <w:trPr>
          <w:trHeight w:val="22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504 and Non-SBA Loans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21,085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w:t>
            </w:r>
          </w:p>
        </w:tc>
      </w:tr>
      <w:tr>
        <w:trPr>
          <w:trHeight w:val="217"/>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 (Loss) on Loans Accounted for Under the Fair Value Option</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29,250</w:t>
            </w:r>
          </w:p>
        </w:tc>
        <w:tc>
          <w:tcPr>
            <w:tcW w:w="80" w:type="dxa"/>
            <w:vAlign w:val="bottom"/>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33,335</w:t>
            </w:r>
          </w:p>
        </w:tc>
      </w:tr>
      <w:tr>
        <w:trPr>
          <w:trHeight w:val="20"/>
        </w:trPr>
        <w:tc>
          <w:tcPr>
            <w:tcW w:w="7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auto"/>
        </w:rPr>
        <w:t>Net unrealized gain (loss) on loans accounted for under the fair value option relates to the guaranteed portions of SBA loans made which the Company sells into a secondary market, the unguaranteed portions of SBA loans made which the Company holds, SBA 504 loans that are HFS, and ALP loans that are held</w:t>
      </w:r>
    </w:p>
    <w:p>
      <w:pPr>
        <w:spacing w:after="0" w:line="1"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7"/>
          <w:szCs w:val="17"/>
          <w:color w:val="auto"/>
        </w:rPr>
        <w:t>for sale. This unrealized gain (loss) represents the fair value adjustment of loans</w:t>
      </w:r>
      <w:r>
        <w:rPr>
          <w:rFonts w:ascii="Arial" w:cs="Arial" w:eastAsia="Arial" w:hAnsi="Arial"/>
          <w:sz w:val="18"/>
          <w:szCs w:val="18"/>
          <w:color w:val="auto"/>
        </w:rPr>
        <w:t>.</w:t>
      </w:r>
      <w:r>
        <w:rPr>
          <w:rFonts w:ascii="Times New Roman" w:cs="Times New Roman" w:eastAsia="Times New Roman" w:hAnsi="Times New Roman"/>
          <w:sz w:val="17"/>
          <w:szCs w:val="17"/>
          <w:color w:val="auto"/>
        </w:rPr>
        <w:t xml:space="preserve"> The amount of the unrealized gain (loss) is determined by the quantity of loans held for sale at quarter end, the change in secondary market pricing conditions, and the valuation of the loans that are not held for sale.</w:t>
      </w:r>
    </w:p>
    <w:p>
      <w:pPr>
        <w:spacing w:after="0" w:line="186"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6"/>
          <w:szCs w:val="16"/>
          <w:color w:val="auto"/>
        </w:rPr>
        <w:t>During the three months ended September 30, 2025 and 2024, the Company recorded unrealized losses on SBA 7(a) unguaranteed loans accounted for under the fair value option as the portfolio paid down. During the three months ended September 30, 2024, the Company recorded unrealized gains on SBA 7(a) guaranteed loans accounted for under the fair value option primarily due to holding guaranteed portions of SBA 7(a) loans for longer periods of time.</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$13.9 million increase in unrealized gain on loans accounted for under the fair value option from SBA 504 and Non-SBA loans is primarily volume driven from the reversal of the previous gains on ALP loans to consummate the NALP 2025-1 transaction as noted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IT Support Income</w:t>
      </w:r>
    </w:p>
    <w:p>
      <w:pPr>
        <w:spacing w:after="0" w:line="24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Technology and IT support income was $3.3 million for the three months ended September 30, 2024. There was no Technology and IT support income for the three months ended September 30, 2025, due to the sale of NTS. Refer to NOTE 4—INVESTMENTS: Intelligent Protection Management Corp</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Noninterest Income</w:t>
      </w:r>
    </w:p>
    <w:p>
      <w:pPr>
        <w:spacing w:after="0" w:line="244"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For the three months ended September 30, 2025 and 2024, other noninterest income related primarily to loan origination fees (legal and packaging) on loans sold or carried at fair value. Other items that contributed to the $1.7 million decrease included a decrease on prepayment and late fees earned from SBA 7(a) loans. The Company originated 547 of SBA 7(a) loans compared to 639 loans for the three months ended September 30, 2025 and 2024, respectively. Adding to the decrease was $0.6 million of net unrealized losses on joint ventures and other non-control investments for the three months ended September 30, 2025 compared to none in the prior period.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1"/>
                <w:szCs w:val="21"/>
                <w:color w:val="auto"/>
              </w:rPr>
            </w:pPr>
          </w:p>
        </w:tc>
        <w:tc>
          <w:tcPr>
            <w:tcW w:w="290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c>
          <w:tcPr>
            <w:tcW w:w="0" w:type="dxa"/>
            <w:vAlign w:val="bottom"/>
          </w:tcPr>
          <w:p>
            <w:pPr>
              <w:spacing w:after="0"/>
              <w:rPr>
                <w:sz w:val="1"/>
                <w:szCs w:val="1"/>
                <w:color w:val="auto"/>
              </w:rPr>
            </w:pPr>
          </w:p>
        </w:tc>
      </w:tr>
      <w:tr>
        <w:trPr>
          <w:trHeight w:val="164"/>
        </w:trPr>
        <w:tc>
          <w:tcPr>
            <w:tcW w:w="4860" w:type="dxa"/>
            <w:vAlign w:val="bottom"/>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32"/>
              <w:spacing w:after="0" w:line="16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tcBorders>
              <w:top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6"/>
        </w:trPr>
        <w:tc>
          <w:tcPr>
            <w:tcW w:w="48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92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services expense</w:t>
            </w:r>
          </w:p>
        </w:tc>
        <w:tc>
          <w:tcPr>
            <w:tcW w:w="9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loan origination and maintenance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42"/>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42,159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Services Expenses</w:t>
      </w:r>
    </w:p>
    <w:p>
      <w:pPr>
        <w:spacing w:after="0" w:line="24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The $1.8 million decrease in technology services expenses for the three months ended September 30, 2025 corresponded with the NTS Sale. Refer to NOTE 4 —INVESTMENTS: Intelligent Protection Management Corp</w:t>
      </w:r>
      <w:r>
        <w:rPr>
          <w:rFonts w:ascii="Times New Roman" w:cs="Times New Roman" w:eastAsia="Times New Roman" w:hAnsi="Times New Roman"/>
          <w:sz w:val="18"/>
          <w:szCs w:val="18"/>
          <w:b w:val="1"/>
          <w:bCs w:val="1"/>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Loan Origination and Maintenance Expense</w:t>
      </w:r>
    </w:p>
    <w:p>
      <w:pPr>
        <w:spacing w:after="0" w:line="24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Other loan origination and maintenance expenses during the three months ended September 30, 2025, was $6.8 million compared to $4.1 million for the three months ended September 30, 2024. The increase was due to the increase in loans originated during the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1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The decrease in depreciation and amortization period over period is primarily attributable to the full amortization of intangible assets during the second half of 2024, which results in less amortization in 2025 as compared to the prior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loss on extinguishment of debt period over period is attributable to the repayment in full of the NMS Webster Note on September 26,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General and Administrative Costs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in other general and administrative costs of $2.0 million is primarily driven by higher technology-related costs following the sale of NTS in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were previously eliminated in consolidation but are now recognized as standalone expenses post-divestiture.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Segment Operations</w:t>
      </w:r>
    </w:p>
    <w:p>
      <w:pPr>
        <w:spacing w:after="0" w:line="24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four reportable segments Banking, Alternative Lending, NSBF, and Payments. A description of each segment and the methodologies used to measure financial performance is described in NOTE 18—SEGMENTS in the accompanying Notes to the Consolidated Financial Statements. Net income (loss) by operating segment is presented below:</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378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Pr>
          <w:p>
            <w:pPr>
              <w:spacing w:after="0"/>
              <w:rPr>
                <w:sz w:val="20"/>
                <w:szCs w:val="20"/>
                <w:color w:val="auto"/>
              </w:rPr>
            </w:pPr>
          </w:p>
        </w:tc>
        <w:tc>
          <w:tcPr>
            <w:tcW w:w="3460" w:type="dxa"/>
            <w:vAlign w:val="bottom"/>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r>
      <w:tr>
        <w:trPr>
          <w:trHeight w:val="217"/>
        </w:trPr>
        <w:tc>
          <w:tcPr>
            <w:tcW w:w="35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2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7"/>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w:t>
            </w:r>
          </w:p>
        </w:tc>
        <w:tc>
          <w:tcPr>
            <w:tcW w:w="1120" w:type="dxa"/>
            <w:vAlign w:val="bottom"/>
            <w:tcBorders>
              <w:top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Lending</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3"/>
        </w:trPr>
        <w:tc>
          <w:tcPr>
            <w:tcW w:w="3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2"/>
                <w:szCs w:val="22"/>
                <w:color w:val="auto"/>
                <w:vertAlign w:val="superscript"/>
              </w:rPr>
              <w:t>1</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NSBF</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&amp; Other</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7"/>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112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0"/>
        </w:trPr>
        <w:tc>
          <w:tcPr>
            <w:tcW w:w="3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60" w:right="400" w:hanging="155"/>
        <w:spacing w:after="0" w:line="216" w:lineRule="auto"/>
        <w:tabs>
          <w:tab w:leader="none" w:pos="173" w:val="left"/>
        </w:tabs>
        <w:numPr>
          <w:ilvl w:val="0"/>
          <w:numId w:val="60"/>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As a result of commitments made to the Federal Reserve, the Company divested of NTS on January 2, 2025, and is no longer a reportable segment. See NOTE 4—INVESTMENTS: Intelligent Protection Management Corp</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0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banking segment includes Newtek Bank as well as its consolidated subsidiary SBL. The financial results include the origination, sale, and servicing of SBA 7(a) loans, SBA 504 loans, C&amp;I loans, CRE loans and ABL loans. In addition, Newtek Bank offers depository services. The results include $16.6 million of net interest income during the three months ended September 30, 2025 compared to $11.2 million of net interest income during the three months ended September 30,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Alternative Lending</w:t>
      </w:r>
    </w:p>
    <w:p>
      <w:pPr>
        <w:spacing w:after="0" w:line="23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Alternative Lending includes Newtek ALP Holdings (NALH) and its subsidiaries. The Company has originated loans under its Alternative Lending Program since 2019. Prior to July 1, 2024, the Company originated ALP loans with the intent to sell to a JV. While the Company continues to source JV partners to participate in this program, during the third quarter of 2024, the Company made the decision to originate with the intent to securitize ALP loans with our subsidiary Newtek ALP Holdings as the originator and sponsor without a joint venture partner; the Company’s first such securitization transaction was consummated during the second quarter of 2025. The Company could also originate ALP loans designated as HFI. On August 27, 2025, NALH entered into an interest purchase agreement with TCP to acquire TCP’s 50% ownership interest in NCL JV for $15.75 million, resulting in NALH owning 100% of NCL JV. Compared to the three months ended September 30, 2024, there were more loans originations that drove higher income for the three months ended September 30, 2025, as well as larger gains on loans at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NSBF</w:t>
      </w:r>
    </w:p>
    <w:p>
      <w:pPr>
        <w:spacing w:after="0" w:line="218"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8"/>
          <w:szCs w:val="18"/>
          <w:color w:val="auto"/>
        </w:rPr>
        <w:t>NSBF relates to NSBF’s legacy portfolio of SBA 7(a) loans held outside Newtek Bank. The change in net income is due to the wind-down of NSBF’s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21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Payments includes NMS, POS and Mobil Money. Within the segment’s results are $11.9 million of noninterest income for the three months ended September 30, 2025, resulting from marketing credit and debit card processing services, check approval services, processing equipment, and software, compared to $12.5 million during the three months ended September 30, 2024. The net income also included $7.6 million and $7.3 million of noninterest expense for the three months ended September 30, 2025 and 2024, respectively.</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Corporate and Other represents operations not considered to be reportable segments and/or general operating expenses of the Company, and includes the parent company, other non-bank subsidiaries including NIA, PMT, and elimination adjustments to reconcile the results of the operating segments to the consolidated financial statements prepared in conformity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Our liquidity and capital resources are derived from our deposits, Company notes, securitization transactions and earnings and cash flows from operations, including loan sales and repayments. In the nine months ended September 30, 2025, our primary use of funds from operations included originations of loans and payments of fees, interest, and other operating expenses we incurred. We may raise additional equity or debt capital through both registered offerings off of a shelf registration, including “at-the-market”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On November 17, 2023, the Company entered into the Original ATM Equity Distribution Agreement, which was amended and restated on June 6, 2025. The Amended and Restated Equity Distribution Agreement provides that the Company may offer and sell up to 5,000,000 shares of Common Stock from time to time through the placement agents. On November 1, 2024, the Company’s Board of Directors approved a new stock repurchase program granting the Company authority to repurchase up to 1.0 million shares of Company common stock during the next twelve months. In addition, on September 11, 2025, the Board approved a debt repurchase program granting the Company authority to repurchase up to $5.0 million aggregate principal amount of the Company’s 2029 Notes during the following six months.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ATM Program</w:t>
      </w:r>
    </w:p>
    <w:p>
      <w:pPr>
        <w:spacing w:after="0" w:line="23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Company’s shelf registration statement on Form S-3 was declared effective by the SEC on July 27, 2023. On November 17, 2023, the Company entered into the Original ATM Equity Distribution Agreement. The Original ATM Equity Distribution Agreement provided that the Company may offer and sell up to 3.0 million shares of Common Stock from time to time through the placement agents thereunder. The Original ATM Equity Distribution Agreement was amended and restated on June 6, 2025. The Amended and Restated Equity Distribution Agreement provides that the Company may offer and sell up to 5.0 million shares of Common Stock from time to time through the placement agents thereunder (inclusive of shares of Common Stock sold under the Original ATM Distribution Agreement) and added certain additional placement agents. The Company may, subject to market conditions, engage in activity under the ATM Program.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shares sold and net proceeds received under the ATM Equity Distribution Agreement:</w:t>
      </w:r>
    </w:p>
    <w:p>
      <w:pPr>
        <w:spacing w:after="0" w:line="13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3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7"/>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2023 ATM Program</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sold</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425</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weighted average price per share</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138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12.22</w:t>
            </w:r>
          </w:p>
        </w:tc>
        <w:tc>
          <w:tcPr>
            <w:tcW w:w="4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w:t>
            </w:r>
          </w:p>
        </w:tc>
        <w:tc>
          <w:tcPr>
            <w:tcW w:w="11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5,090</w:t>
            </w:r>
          </w:p>
        </w:tc>
        <w:tc>
          <w:tcPr>
            <w:tcW w:w="4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agent fees paid</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38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and Debt Repurchase Programs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November 1, 2024, the Company’s Board approved a new stock repurchase program granting the Company authority to repurchase up to 1.0 million shares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Company common stock during the following twelve months. The actual timing and amount of any repurchases under the plan will be determined by the</w:t>
      </w:r>
    </w:p>
    <w:p>
      <w:pPr>
        <w:spacing w:after="0"/>
        <w:rPr>
          <w:sz w:val="20"/>
          <w:szCs w:val="20"/>
          <w:color w:val="auto"/>
        </w:rPr>
      </w:pPr>
      <w:r>
        <w:rPr>
          <w:rFonts w:ascii="Times New Roman" w:cs="Times New Roman" w:eastAsia="Times New Roman" w:hAnsi="Times New Roman"/>
          <w:sz w:val="16"/>
          <w:szCs w:val="16"/>
          <w:color w:val="auto"/>
        </w:rPr>
        <w:t>Company in its discretion, and will depend on a number of factors, including market conditions, applicable legal requirements, the Company's capital needs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there is a better alternative use of capital. The Company has no obligation to repurchase any amount of its common stock under its new stock</w:t>
      </w:r>
    </w:p>
    <w:p>
      <w:pPr>
        <w:spacing w:after="0"/>
        <w:rPr>
          <w:sz w:val="20"/>
          <w:szCs w:val="20"/>
          <w:color w:val="auto"/>
        </w:rPr>
      </w:pPr>
      <w:r>
        <w:rPr>
          <w:rFonts w:ascii="Times New Roman" w:cs="Times New Roman" w:eastAsia="Times New Roman" w:hAnsi="Times New Roman"/>
          <w:sz w:val="16"/>
          <w:szCs w:val="16"/>
          <w:color w:val="auto"/>
        </w:rPr>
        <w:t>repurchase program. In addition, on September 11, 2025, the Board approved a debt repurchase program granting the Company authority to repurchase up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 million aggregate principal amount of the Company’s 2029 Notes during the following six months. The actual timing and amount of any repurchases under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debt repurchase plan will be determined by the Company in its discretion, and will depend on a number of factors, including market conditions, applicable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requirements, the Company's capital needs and whether there is a better alternative use of capital. The Company has no obligation to repurchase any</w:t>
      </w:r>
    </w:p>
    <w:p>
      <w:pPr>
        <w:spacing w:after="0"/>
        <w:rPr>
          <w:sz w:val="20"/>
          <w:szCs w:val="20"/>
          <w:color w:val="auto"/>
        </w:rPr>
      </w:pPr>
      <w:r>
        <w:rPr>
          <w:rFonts w:ascii="Times New Roman" w:cs="Times New Roman" w:eastAsia="Times New Roman" w:hAnsi="Times New Roman"/>
          <w:sz w:val="16"/>
          <w:szCs w:val="16"/>
          <w:color w:val="auto"/>
        </w:rPr>
        <w:t>amount of its debt securities under this debt repurchase program. Pursuant to the debt repurchase program, the Company repurchased 2,700 shares of it s 2029</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8.50% Notes on September 22, 2025.A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shares repurchased and net proceeds received under the stock repurchase program:</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7"/>
        </w:trPr>
        <w:tc>
          <w:tcPr>
            <w:tcW w:w="37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weighted average price per share</w:t>
            </w:r>
          </w:p>
        </w:tc>
        <w:tc>
          <w:tcPr>
            <w:tcW w:w="128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w:t>
            </w:r>
          </w:p>
        </w:tc>
        <w:tc>
          <w:tcPr>
            <w:tcW w:w="128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Notes</w:t>
      </w:r>
    </w:p>
    <w:p>
      <w:pPr>
        <w:spacing w:after="0" w:line="244"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6"/>
          <w:szCs w:val="16"/>
          <w:color w:val="auto"/>
        </w:rPr>
        <w:t>On May 30, 2024, the Company completed a registered offering of $71.9 million in aggregate principal amount of its 2029 8.50% Notes, which includes the underwriters’ exercise of the option granted by the Company to purchase an additional $9.4 million in aggregate principal amount of the 2029 8.50% Notes. The Company received $69.6 million in proceeds, before expenses, from the sale of the 2029 8.50% Notes. The 2029 8.50% Notes bear interest at a rate of</w:t>
      </w:r>
    </w:p>
    <w:p>
      <w:pPr>
        <w:ind w:right="80"/>
        <w:spacing w:after="0" w:line="245" w:lineRule="auto"/>
        <w:rPr>
          <w:sz w:val="20"/>
          <w:szCs w:val="20"/>
          <w:color w:val="auto"/>
        </w:rPr>
      </w:pPr>
      <w:r>
        <w:rPr>
          <w:rFonts w:ascii="Times New Roman" w:cs="Times New Roman" w:eastAsia="Times New Roman" w:hAnsi="Times New Roman"/>
          <w:sz w:val="18"/>
          <w:szCs w:val="18"/>
          <w:color w:val="auto"/>
        </w:rPr>
        <w:t>8.50% per year payable quarterly on March 1, June 1, September 1 and December 1 of each year, commencing on September 1, 2024, and trade on the Nasdaq Global Market under the trading symbol “NEWTG.” At September 30, 2025, the Company was in compliance with all covenants related to the 2029 8.50% Notes.</w:t>
      </w:r>
    </w:p>
    <w:p>
      <w:pPr>
        <w:spacing w:after="0" w:line="216"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8"/>
          <w:szCs w:val="18"/>
          <w:color w:val="auto"/>
        </w:rPr>
        <w:t>On September 16, 2024, the Company completed a registered offering of $75.0 million aggregate principal amount of 2029 8.625% Notes. The 2029 8.625% Notes will mature on October 15, 2029. The Company received $72.8 million in proceeds, before expenses, from the sale of the 2029 8.625% Notes. These Notes bear interest at a rate of 8.625% per year, payable quarterly on January 15, April 15, July 15, and October 15 each year, commencing on January 15, 2025. , and trade on the Nasdaq Global Market under the trading symbol “NEWTH.” At September 30, 2025, the Company was in compliance with all covenants related to the 2029 8.625% Notes.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2028 Notes</w:t>
      </w:r>
    </w:p>
    <w:p>
      <w:pPr>
        <w:spacing w:after="0" w:line="24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31, 2023, the Company completed a registered offering of $40.0 million in aggregate principal amount of its 8.00% 2028 Notes. The Company received $38.0 million in proceeds, before expenses, from the sale of the 2028 Notes. The 2028 Notes bear interest at a rate of 8.00% per year payable quarterly on March 1, June 1, September 1 and December 1 of each year, commencing on December 1, 2023, and trade on the Nasdaq Global Market under the trading symbol “NEWTI.” At September 30, 2025, the Company was in compliance with all covenants related to the 2028 Notes.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4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In January 2021, the Company completed a registered offering of $115.0 million aggregate principal amount of 5.50% 2026 Notes. The sale of the 2026 Notes generated proceeds of approximately $111.3 million, net of underwriter's fees and expenses. The 2026 Notes will mature on February 1, 2026 and may be redeemed in whole or in part at any time or from time to time at the Company’s option upon not less than 30 days nor more than 60 days written notice by mail prior to the date fixed for redemption thereof, at a redemption price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September 30, 2025, the Company was in compliance with all covenants related to the 2026 Notes.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 xml:space="preserve">The 2029, 2028 and 2026 Notes are the Company’s direct unsecured obligations and rank: (i)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other outstanding and future unsecured indebtedness; (ii) senior to any of the Company’s future indebtedness that expressly provides it is subordinated to these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In addition, the supplemental indenture for the 2026 Notes includes covenants requiring the Company to comply with (regardless of whether it is subject to) the asset coverage requirements set forth in Section 18(a)(1)(A) of the 1940 Act as modified by Section 61(a) of the 1940 Act (or any successor provisions), to comply with (regardless of whether it is subject to) the restrictions on dividends, distributions and purchase of capital stock set forth in Section 18(a)(1)(B) of the 1940 Act as modified by Section 61(a) of the 1940 Act and to provide financial information to the holders of the 2026 Notes and the Trustee if the Company should no longer be subject to the reporting requirements under the Exchange Act (“BDC Covenants”). These covenants are subject to important limitations and exceptions that are described in the Base Indenture, as supplemented by the supplemental indentures. At September 30, 2025, the Company was in compliance with all covenants related to the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Notes</w:t>
      </w:r>
    </w:p>
    <w:p>
      <w:pPr>
        <w:spacing w:after="0" w:line="244"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In July 2019, the Company completed a registered offering of $63.25 million aggregate principal amount of 5.75% 2024 Notes. On February 16, 2021 and May 20, 2021, the Company issued an additional $5.0 million and $10.0 million in aggregate principal amount of the 2024 Notes, respectively. On December 29, 2021, the Company redeemed $40.0 million in aggregate principal amount of the $78.25 million of principal amount of 2024 Notes outstanding at 100% of their principal amount ($25 per Note), plus the accrued and unpaid interest thereon from November 1, 2021 through, but excluding, the redemption date. The 2024 Notes traded on the Nasdaq Global Market under the trading symbol “NEWTL” until the 2024 Notes matured on August 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Notes</w:t>
      </w:r>
    </w:p>
    <w:p>
      <w:pPr>
        <w:spacing w:after="0" w:line="23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March 19, 2025, the Company closed an exempt offering of $30.0 million in aggregate principal amount of its 2030 Notes. The offering was consummated pursuant to the terms of a purchase agreement dated March 19, 2025 among the Company and eleven institutional accredited investors. The purchase agreement provided for the 2030 Notes to be issued to the Purchaser in a private placement in reliance on Section 4(a)(2) of the Securities Act. The 2030 Notes are scheduled to mature on April 1, 2030 and could be redeemed in whole or in part at any time. The 2030 Notes bear interest at a rate of 8.375% per year payable semiannually on April 1 and October 1 each year, beginning October 1, 2025.</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23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Notes were scheduled to mature on February 1, 2025. Effective December 11, 2024, the Company entered into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 The Notes bear interest at a rate of 8.125% per year payable semiannually on February 1 and August 1 each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Notes</w:t>
      </w:r>
    </w:p>
    <w:p>
      <w:pPr>
        <w:spacing w:after="0" w:line="24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On March 31, 2022, the Company completed a private placement of $15.0 million aggregate principal amount of its 2025 5.00% Notes. The offering was consummated pursuant to the terms of a purchase agreement dated March 31, 2022 among the Company and an accredited investor, which provided for the 2025 5.00% Notes to be issued to the purchaser in a transaction that relied on Section 4(a)(2) of the Securities Act to be exempt from registration under the Securities Act. The net proceeds from the sale of the notes were approximately $14.5 million, after deducting structuring fees and estimated offering expenses. On May 2, 2022, the Company issued an additional $15.0 million in aggregate principal amount of the 2025 5.0% Notes. The 2025 5.00% Notes were issued under the Base Indenture and the Tenth Supplemental Indenture, dated as of March 31, 2022. The 2025 5.00% Notes matured on March 31, 2025.</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NMS Webster Note</w:t>
      </w:r>
    </w:p>
    <w:p>
      <w:pPr>
        <w:spacing w:after="0" w:line="21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On September 26, 2025, the Company’s wholly-owned subsidiary NMS repaid in full all of the outstanding obligations under that certain Credit Agreement, dated as of November 8, 2018. As a result, the Webster Credit Agreement and the other loan documents executed in connection therewith have been terminated, including that certain Parent Guaranty Agreement, dated as of November 8, 2018, by and between the Company and Webster Bank. No early termination penalties were incurred by the Company or the Loan Parties as a result of the termination. As a result of the termination, the Company recognized a $0.2 million loss on extinguishment of debt.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NMS Goldman Facility</w:t>
      </w:r>
    </w:p>
    <w:p>
      <w:pPr>
        <w:spacing w:after="0" w:line="216"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6"/>
          <w:szCs w:val="16"/>
          <w:color w:val="auto"/>
        </w:rPr>
        <w:t>On September 26, 2025, NMS and its wholly-owned subsidiary, Mobil Money, LLC (collectively, the “Borrowers”), together with NBSH Holdings, LLC, the direct sole member of NMS, as guarantor, entered into a Credit and Guaranty Agreement (the “Goldman Credit Agreement”), with Private Credit at Goldman Sachs Alternatives ("Goldman") as Administrative Agent and Collateral Agent thereunder and the lenders party thereto from time to time (the “Lenders”).</w:t>
      </w:r>
    </w:p>
    <w:p>
      <w:pPr>
        <w:ind w:right="100"/>
        <w:spacing w:after="0" w:line="245" w:lineRule="auto"/>
        <w:rPr>
          <w:sz w:val="20"/>
          <w:szCs w:val="20"/>
          <w:color w:val="auto"/>
        </w:rPr>
      </w:pPr>
      <w:r>
        <w:rPr>
          <w:rFonts w:ascii="Times New Roman" w:cs="Times New Roman" w:eastAsia="Times New Roman" w:hAnsi="Times New Roman"/>
          <w:sz w:val="18"/>
          <w:szCs w:val="18"/>
          <w:color w:val="auto"/>
        </w:rPr>
        <w:t>Pursuant to the terms of the Goldman Credit Agreement, the Lenders made available to the Borrowers term loans up to an aggregate principal amount of $90.0 million (the “Term Loans”) and a revolving facility up to an aggregate principal amount of $5.0 million (together with the Term Loans, collectively the “Goldman Facility”). The Goldman Facility will mature on September 26, 2030. At September 30, 2025, total principal outstanding was $88.6 million. The Company incurred approximately $1.4 million of deferred financing costs in connection with the Goldman Facility.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SPV I, II, and III Facilities</w:t>
      </w:r>
    </w:p>
    <w:p>
      <w:pPr>
        <w:spacing w:after="0" w:line="21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Newtek ALP Holdings’ subsidiaries (our indirect subsidiaries) SPV I, II, and III maintain credit facilities with third party lenders. SPV I has a Capital One facility with maximum borrowings of $100.0 million. Capital One’s commitment terminates in July 2027, with all amounts due under the SPV I Facility maturing in July 2028. At September 30, 2025, total principal owed by SPV I was $23.7 million. SPV II has a Deutsche Bank facility with maximum borrowings $170.0 million. The Deutsche Bank Facility matures in December 2027. At September 30, 2025, total principal owed by SPV II was $104.7 million. SPV III has a One Florida Bank facility with maximum borrowings of $35.0 million. On August 7, 2025, the One Florida Bank Facility was amended and upsized to maximum borrowings of $35.0 million; One Florida Bank’s facility matures in August 2028. At September 30, 2025, total principal owed by SPV III was $8.3 million.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 Transactions</w:t>
      </w:r>
    </w:p>
    <w:p>
      <w:pPr>
        <w:spacing w:after="0" w:line="21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On April 23, 2025, the Company’s subsidiary Newtek ALP Holdings closed a securitization pursuant to which it sold $155,930,000 of Class A Notes, $23,820,000 of Class B Notes, and $4,330,000 of a Class C Note (collectively, the “2025-1 Notes”) issued by NALP Business Loan Trust 2025-1 (the “Securitization Trust”). The 2025-1 Notes were backed by $216,564,700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spacing w:after="0" w:line="20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From 2010 through June 2023, NSBF engaged in thirteen (13) securitizations of the unguaranteed portions of its SBA 7(a) loans. In the securitizations, NSBF used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legacy portfolio of SBA 7(a) loans and reflects the associated financing in Notes Payable - Securitization trusts on the Consolidated Statements of Financial Condition.</w:t>
      </w:r>
    </w:p>
    <w:p>
      <w:pPr>
        <w:spacing w:after="0" w:line="21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2023-1 Trust by purchasing the 2023-1 Trust assets, with the Class A and B noteholders receiving the redemption price from the proceeds.</w:t>
      </w:r>
    </w:p>
    <w:p>
      <w:pPr>
        <w:spacing w:after="0" w:line="21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2022-1 Trust by purchasing the 2022-1 Trust assets, with the Class A and B noteholders receiving the redemption price from the proceeds.</w:t>
      </w:r>
    </w:p>
    <w:p>
      <w:pPr>
        <w:spacing w:after="0" w:line="215"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6"/>
          <w:szCs w:val="16"/>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adjusted SOFR plus 1.92%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2021-1 Trust by purchasing the 2021-1 Trust assets, with the Class A and B noteholders receiving the redemption price from the proceeds.</w:t>
      </w:r>
    </w:p>
    <w:p>
      <w:pPr>
        <w:spacing w:after="0" w:line="19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2019-1 Trust assets in a private placement. The Class A and Class B notes received an “A” and “BBB-” rating by S&amp;P, respectively, and the final maturity date of the notes is December 2044. The Class A and Class B notes bear interest at an average rate of adjusted SOFR plus 1.83% across both classes. In October, 2024, the 2019-1 Trust was terminated as a result of NSBF purchasing the 2019-1 Trust assets, with the 2019-1 Trust’s noteholders receiving the redemption price.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 In October, 2024, the 2018-1 Trust was terminated as a result of NSBF purchasing the 2018-1 Trust assets, with the 2018-1 Trust’s noteholders receiving the redemption price.</w:t>
      </w:r>
    </w:p>
    <w:p>
      <w:pPr>
        <w:spacing w:after="0" w:line="2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and the final maturity date of the notes is February 2043. On February 27, 2023, the 2017-1 Trust was terminated as a result of NSBF purchasing the 2017-1 Trust assets, with the 2017-1 Trust’s noteholders receiving the redemption price.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24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The Company strives to maintain prudent capital levels to absorb risk and maximizing returns to shareholders. The Company and Newtek Bank are primarily constrained by the Total Capital and Leverage ratios given the mix of assets vis-a-vis capital.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amounts and ratios for the Company as of September 30, 2025 and 2024 are presented in the table below: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3"/>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8"/>
              </w:rPr>
              <w:t>For Capital Adequacy Purposes</w:t>
            </w:r>
            <w:r>
              <w:rPr>
                <w:rFonts w:ascii="Times New Roman" w:cs="Times New Roman" w:eastAsia="Times New Roman" w:hAnsi="Times New Roman"/>
                <w:sz w:val="18"/>
                <w:szCs w:val="18"/>
                <w:b w:val="1"/>
                <w:bCs w:val="1"/>
                <w:color w:val="auto"/>
                <w:w w:val="98"/>
                <w:vertAlign w:val="superscript"/>
              </w:rPr>
              <w:t>1</w:t>
            </w:r>
          </w:p>
        </w:tc>
        <w:tc>
          <w:tcPr>
            <w:tcW w:w="80" w:type="dxa"/>
            <w:vAlign w:val="bottom"/>
            <w:vMerge w:val="restart"/>
          </w:tcPr>
          <w:p>
            <w:pPr>
              <w:spacing w:after="0"/>
              <w:rPr>
                <w:sz w:val="13"/>
                <w:szCs w:val="13"/>
                <w:color w:val="auto"/>
              </w:rPr>
            </w:pPr>
          </w:p>
        </w:tc>
        <w:tc>
          <w:tcPr>
            <w:tcW w:w="2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Consideration as Well-</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40" w:type="dxa"/>
            <w:vAlign w:val="bottom"/>
            <w:tcBorders>
              <w:bottom w:val="single" w:sz="8" w:color="auto"/>
            </w:tcBorders>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NewtekOne, Inc. - September 30, 2025</w:t>
            </w:r>
          </w:p>
        </w:tc>
        <w:tc>
          <w:tcPr>
            <w:tcW w:w="18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4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217"/>
        </w:trPr>
        <w:tc>
          <w:tcPr>
            <w:tcW w:w="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(to Average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(to Risk-Weighted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Pr>
          <w:p>
            <w:pPr>
              <w:spacing w:after="0"/>
              <w:rPr>
                <w:sz w:val="19"/>
                <w:szCs w:val="19"/>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NewtekOne, Inc. - September 30, 2024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(to Average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Pr>
          <w:p>
            <w:pPr>
              <w:spacing w:after="0"/>
              <w:rPr>
                <w:sz w:val="19"/>
                <w:szCs w:val="19"/>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00" w:hanging="95"/>
        <w:spacing w:after="0"/>
        <w:tabs>
          <w:tab w:leader="none" w:pos="1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Exclusive of the capital conservation buffer of 2.5% of risk-weighted assets.</w:t>
      </w:r>
    </w:p>
    <w:p>
      <w:pPr>
        <w:spacing w:after="0" w:line="21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Capital amounts and ratios for Newtek Bank as of September 30, 2025, and 2024 are presented in the table below. As of September 30, 2025 and 2024, Newtek Bank was categorized as “well-capitalized” under the prompt corrective action measures and met the capital conservation buffer requirements.</w:t>
      </w:r>
    </w:p>
    <w:tbl>
      <w:tblPr>
        <w:tblLayout w:type="fixed"/>
        <w:tblInd w:w="0" w:type="dxa"/>
        <w:tblCellMar>
          <w:top w:w="0" w:type="dxa"/>
          <w:left w:w="0" w:type="dxa"/>
          <w:bottom w:w="0" w:type="dxa"/>
          <w:right w:w="0" w:type="dxa"/>
        </w:tblCellMar>
      </w:tblPr>
      <w:tr>
        <w:trPr>
          <w:trHeight w:val="143"/>
        </w:trPr>
        <w:tc>
          <w:tcPr>
            <w:tcW w:w="4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8"/>
              </w:rPr>
              <w:t>For Capital Adequacy Purposes</w:t>
            </w:r>
            <w:r>
              <w:rPr>
                <w:rFonts w:ascii="Times New Roman" w:cs="Times New Roman" w:eastAsia="Times New Roman" w:hAnsi="Times New Roman"/>
                <w:sz w:val="18"/>
                <w:szCs w:val="18"/>
                <w:b w:val="1"/>
                <w:bCs w:val="1"/>
                <w:color w:val="auto"/>
                <w:w w:val="98"/>
                <w:vertAlign w:val="superscript"/>
              </w:rPr>
              <w:t>1</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4"/>
          </w:tcPr>
          <w:p>
            <w:pPr>
              <w:jc w:val="center"/>
              <w:ind w:right="94"/>
              <w:spacing w:after="0" w:line="143" w:lineRule="exact"/>
              <w:rPr>
                <w:sz w:val="20"/>
                <w:szCs w:val="20"/>
                <w:color w:val="auto"/>
              </w:rPr>
            </w:pPr>
            <w:r>
              <w:rPr>
                <w:rFonts w:ascii="Times New Roman" w:cs="Times New Roman" w:eastAsia="Times New Roman" w:hAnsi="Times New Roman"/>
                <w:sz w:val="14"/>
                <w:szCs w:val="14"/>
                <w:b w:val="1"/>
                <w:bCs w:val="1"/>
                <w:color w:val="auto"/>
                <w:w w:val="98"/>
              </w:rPr>
              <w:t>For Consideration as Well-</w:t>
            </w: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Newtek Bank - September 30, 2025</w:t>
            </w:r>
          </w:p>
        </w:tc>
        <w:tc>
          <w:tcPr>
            <w:tcW w:w="18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8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217"/>
        </w:trPr>
        <w:tc>
          <w:tcPr>
            <w:tcW w:w="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(to Average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53,683</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3"/>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(to Risk-Weighted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Newtek Bank - September 30, 2024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(to Average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00" w:hanging="95"/>
        <w:spacing w:after="0"/>
        <w:tabs>
          <w:tab w:leader="none" w:pos="10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Exclusive of the capital conservation buffer of 2.5% of risk-weighted assets.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Liquidity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available sources of liquidity as of September 30, 2025 and December 31,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4"/>
          </w:tcPr>
          <w:p>
            <w:pPr>
              <w:jc w:val="right"/>
              <w:ind w:right="1212"/>
              <w:spacing w:after="0"/>
              <w:rPr>
                <w:sz w:val="20"/>
                <w:szCs w:val="20"/>
                <w:color w:val="auto"/>
              </w:rPr>
            </w:pPr>
            <w:r>
              <w:rPr>
                <w:rFonts w:ascii="Times New Roman" w:cs="Times New Roman" w:eastAsia="Times New Roman" w:hAnsi="Times New Roman"/>
                <w:sz w:val="18"/>
                <w:szCs w:val="18"/>
                <w:b w:val="1"/>
                <w:bCs w:val="1"/>
                <w:color w:val="auto"/>
              </w:rPr>
              <w:t>Availability as of</w:t>
            </w:r>
          </w:p>
        </w:tc>
      </w:tr>
      <w:tr>
        <w:trPr>
          <w:trHeight w:val="217"/>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18"/>
                <w:szCs w:val="18"/>
                <w:color w:val="auto"/>
              </w:rPr>
            </w:pPr>
          </w:p>
        </w:tc>
        <w:tc>
          <w:tcPr>
            <w:tcW w:w="17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7"/>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Unrestricted 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6,941</w:t>
            </w:r>
          </w:p>
        </w:tc>
      </w:tr>
      <w:tr>
        <w:trPr>
          <w:trHeight w:val="43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Lines of credit at other commercial banks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24"/>
                <w:szCs w:val="24"/>
                <w:color w:val="auto"/>
              </w:rPr>
            </w:pPr>
          </w:p>
        </w:tc>
        <w:tc>
          <w:tcPr>
            <w:tcW w:w="1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58,256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60,903</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Bank:</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433"/>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160" w:type="dxa"/>
            <w:vAlign w:val="bottom"/>
          </w:tcPr>
          <w:p>
            <w:pPr>
              <w:spacing w:after="0"/>
              <w:rPr>
                <w:sz w:val="24"/>
                <w:szCs w:val="24"/>
                <w:color w:val="auto"/>
              </w:rPr>
            </w:pPr>
          </w:p>
        </w:tc>
        <w:tc>
          <w:tcPr>
            <w:tcW w:w="1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188,214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346,207</w:t>
            </w:r>
          </w:p>
        </w:tc>
      </w:tr>
      <w:tr>
        <w:trPr>
          <w:trHeight w:val="224"/>
        </w:trPr>
        <w:tc>
          <w:tcPr>
            <w:tcW w:w="7360" w:type="dxa"/>
            <w:vAlign w:val="bottom"/>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FHLB borrowing availability</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61,004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39,780</w:t>
            </w:r>
          </w:p>
        </w:tc>
      </w:tr>
      <w:tr>
        <w:trPr>
          <w:trHeight w:val="223"/>
        </w:trPr>
        <w:tc>
          <w:tcPr>
            <w:tcW w:w="7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Lines of credit at other financial institutions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30,000</w:t>
            </w:r>
          </w:p>
        </w:tc>
      </w:tr>
      <w:tr>
        <w:trPr>
          <w:trHeight w:val="242"/>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liquidity sources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341,454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483,831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80" w:hanging="175"/>
        <w:spacing w:after="0"/>
        <w:tabs>
          <w:tab w:leader="none" w:pos="18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Availability as of September 30, 2025 and December 31, 2024 is based on collateral pledged as of that date.</w:t>
      </w:r>
    </w:p>
    <w:p>
      <w:pPr>
        <w:spacing w:after="0" w:line="21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Company has restricted cash of $24.7 million as of September 30, 2025. NSBF holds $7.6 million of the Company’s restricted cash, which includes reserves in the event payments are insufficient to cover interest and/or principal with respect to securitizations and loan principal and interest collected which are due to loan participants. In addition, the Company has funded a $10.0 million account at Newtek Bank to fund certain of NSBF’s potential obligations to the SBA pursuant to the Wind-down Agreement. of which the Company is a guarantor. The majority of the Company’s remaining restricted cash is held by the parent company.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 Company generated and used cash as follows:</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42"/>
        </w:trPr>
        <w:tc>
          <w:tcPr>
            <w:tcW w:w="7420" w:type="dxa"/>
            <w:vAlign w:val="bottom"/>
          </w:tcPr>
          <w:p>
            <w:pPr>
              <w:spacing w:after="0"/>
              <w:rPr>
                <w:sz w:val="24"/>
                <w:szCs w:val="24"/>
                <w:color w:val="auto"/>
              </w:rPr>
            </w:pPr>
          </w:p>
        </w:tc>
        <w:tc>
          <w:tcPr>
            <w:tcW w:w="3780" w:type="dxa"/>
            <w:vAlign w:val="bottom"/>
            <w:tcBorders>
              <w:bottom w:val="single" w:sz="8" w:color="auto"/>
            </w:tcBorders>
            <w:gridSpan w:val="5"/>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7"/>
        </w:trPr>
        <w:tc>
          <w:tcPr>
            <w:tcW w:w="74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(427,836)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(61,419)</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(193,876)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(122,833)</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457,269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192,132</w:t>
            </w: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(164,443)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cash—beginning of period (NOTE 2)</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184,006</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Deconsolidation of cash and restricted cash from controlled investments related to business dispositions</w:t>
            </w:r>
          </w:p>
        </w:tc>
        <w:tc>
          <w:tcPr>
            <w:tcW w:w="1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42"/>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cash—end of period (NOTE 2)</w:t>
            </w:r>
          </w:p>
        </w:tc>
        <w:tc>
          <w:tcPr>
            <w:tcW w:w="110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190,422</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operating activities used cash of $427.8 million, consisting primarily of $778.0 million of funding loans held for sale. This use of cash was partially offset by (i) $310.2 million of proceeds from the sale of loans; and (ii) $52.0 million from the payment of settlement receivables.</w:t>
      </w:r>
    </w:p>
    <w:p>
      <w:pPr>
        <w:spacing w:after="0" w:line="1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Cash used by investing activities was $193.9 million primarily comprised (i) $242.8 million in the net increase in loans held for investment, at cost; (ii) $15.8 million in contributions to joint ventures and other non-control investments; and (iii) $11.6 million in purchases of available-for-sale securities. These uses were partially offset by (i) a $53.9 million principal received on loans held for investment, at fair value; and (ii) $18.0 million in maturities of available-for-sale securities.</w:t>
      </w:r>
    </w:p>
    <w:p>
      <w:pPr>
        <w:spacing w:after="0" w:line="182" w:lineRule="exact"/>
        <w:rPr>
          <w:sz w:val="20"/>
          <w:szCs w:val="20"/>
          <w:color w:val="auto"/>
        </w:rPr>
      </w:pPr>
    </w:p>
    <w:p>
      <w:pPr>
        <w:ind w:right="320"/>
        <w:spacing w:after="0" w:line="293" w:lineRule="auto"/>
        <w:rPr>
          <w:sz w:val="20"/>
          <w:szCs w:val="20"/>
          <w:color w:val="auto"/>
        </w:rPr>
      </w:pPr>
      <w:r>
        <w:rPr>
          <w:rFonts w:ascii="Times New Roman" w:cs="Times New Roman" w:eastAsia="Times New Roman" w:hAnsi="Times New Roman"/>
          <w:sz w:val="16"/>
          <w:szCs w:val="16"/>
          <w:color w:val="auto"/>
        </w:rPr>
        <w:t>Net cash provided by financing activities was $457.3 million consisting primarily of a (i) $390.2 million of borrowings on bank notes payable; (ii) $204.4 million net increase in deposits; (iii) $48.2 million of proceeds from preferred stock, net of offering costs; and (iv) $30.0 million of proceeds from the 2030 Notes. These sources of cash were partially offset by (i) $295.5 million repayment of bank notes payable; (ii) $46.7 million of principal payments related to Notes Payable - Securitization Trusts; (iii) $30.0 million maturity of the 2025 5.00% Notes; and (iv) $16.2 million of dividends paid.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following table represents the Company’s obligations and commitments as of September 30, 2025. Amounts represent principal only and are not shown net of unamortized debt issuance costs. See NOTE 11—BORROWINGS.</w:t>
      </w:r>
    </w:p>
    <w:p>
      <w:pPr>
        <w:spacing w:after="0" w:line="294"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Contractual Obligations</w:t>
            </w:r>
          </w:p>
        </w:tc>
        <w:tc>
          <w:tcPr>
            <w:tcW w:w="176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460" w:type="dxa"/>
            <w:vAlign w:val="bottom"/>
            <w:tcBorders>
              <w:bottom w:val="single" w:sz="8" w:color="auto"/>
            </w:tcBorders>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880" w:type="dxa"/>
            <w:vAlign w:val="bottom"/>
          </w:tcPr>
          <w:p>
            <w:pPr>
              <w:jc w:val="right"/>
              <w:ind w:right="353"/>
              <w:spacing w:after="0" w:line="138"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274"/>
              <w:spacing w:after="0" w:line="138"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273"/>
              <w:spacing w:after="0" w:line="138" w:lineRule="exact"/>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273"/>
              <w:spacing w:after="0" w:line="138" w:lineRule="exact"/>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293"/>
              <w:spacing w:after="0" w:line="138" w:lineRule="exact"/>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93"/>
              <w:spacing w:after="0" w:line="138"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33"/>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Demand</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Checking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Savings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NMS Goldman Facility</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86,251</w:t>
            </w:r>
          </w:p>
        </w:tc>
        <w:tc>
          <w:tcPr>
            <w:tcW w:w="0" w:type="dxa"/>
            <w:vAlign w:val="bottom"/>
          </w:tcPr>
          <w:p>
            <w:pPr>
              <w:spacing w:after="0"/>
              <w:rPr>
                <w:sz w:val="1"/>
                <w:szCs w:val="1"/>
                <w:color w:val="auto"/>
              </w:rPr>
            </w:pPr>
          </w:p>
        </w:tc>
      </w:tr>
      <w:tr>
        <w:trPr>
          <w:trHeight w:val="223"/>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SPV I Capital One Facility</w:t>
            </w:r>
            <w:r>
              <w:rPr>
                <w:rFonts w:ascii="Times New Roman" w:cs="Times New Roman" w:eastAsia="Times New Roman" w:hAnsi="Times New Roman"/>
                <w:sz w:val="22"/>
                <w:szCs w:val="22"/>
                <w:color w:val="auto"/>
                <w:vertAlign w:val="superscript"/>
              </w:rPr>
              <w:t>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SPV II Deutsche Bank Facility</w:t>
            </w:r>
            <w:r>
              <w:rPr>
                <w:rFonts w:ascii="Times New Roman" w:cs="Times New Roman" w:eastAsia="Times New Roman" w:hAnsi="Times New Roman"/>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SPV III One Florida Bank Facility</w:t>
            </w:r>
            <w:r>
              <w:rPr>
                <w:rFonts w:ascii="Times New Roman" w:cs="Times New Roman" w:eastAsia="Times New Roman" w:hAnsi="Times New Roman"/>
                <w:sz w:val="22"/>
                <w:szCs w:val="22"/>
                <w:color w:val="auto"/>
                <w:vertAlign w:val="superscript"/>
              </w:rPr>
              <w:t>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Securitization Notes Payable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142,560</w:t>
            </w: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Company Notes: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 Notes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0A2299"/>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tcPr>
          <w:p>
            <w:pPr>
              <w:ind w:left="220"/>
              <w:spacing w:after="0" w:line="223" w:lineRule="exact"/>
              <w:rPr>
                <w:sz w:val="20"/>
                <w:szCs w:val="20"/>
                <w:color w:val="auto"/>
              </w:rPr>
            </w:pPr>
            <w:r>
              <w:rPr>
                <w:rFonts w:ascii="Times New Roman" w:cs="Times New Roman" w:eastAsia="Times New Roman" w:hAnsi="Times New Roman"/>
                <w:sz w:val="18"/>
                <w:szCs w:val="18"/>
                <w:color w:val="auto"/>
              </w:rPr>
              <w:t>2027 Notes</w:t>
            </w:r>
            <w:r>
              <w:rPr>
                <w:rFonts w:ascii="Times New Roman" w:cs="Times New Roman" w:eastAsia="Times New Roman" w:hAnsi="Times New Roman"/>
                <w:sz w:val="22"/>
                <w:szCs w:val="22"/>
                <w:color w:val="auto"/>
                <w:vertAlign w:val="superscript"/>
              </w:rPr>
              <w:t>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 Notes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2029 8.625% Notes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 8.50% Notes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2030 Notes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3"/>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Employment Agreements4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42"/>
        </w:trPr>
        <w:tc>
          <w:tcPr>
            <w:tcW w:w="32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261,069</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80" w:hanging="175"/>
        <w:spacing w:after="0"/>
        <w:tabs>
          <w:tab w:leader="none" w:pos="180"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Guaranteed by NBSH.</w:t>
      </w:r>
    </w:p>
    <w:p>
      <w:pPr>
        <w:ind w:left="180" w:hanging="175"/>
        <w:spacing w:after="0" w:line="190" w:lineRule="auto"/>
        <w:tabs>
          <w:tab w:leader="none" w:pos="18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Guaranteed by the parent company</w:t>
      </w:r>
    </w:p>
    <w:p>
      <w:pPr>
        <w:ind w:left="180" w:hanging="175"/>
        <w:spacing w:after="0" w:line="191" w:lineRule="auto"/>
        <w:tabs>
          <w:tab w:leader="none" w:pos="18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Effective December 11, 2024, the Company entered into the Amendment and Exchange Agreements with each of the holders of the 2025 8.125% Notes,</w:t>
      </w:r>
    </w:p>
    <w:p>
      <w:pPr>
        <w:ind w:left="160"/>
        <w:spacing w:after="0" w:line="219" w:lineRule="auto"/>
        <w:rPr>
          <w:sz w:val="20"/>
          <w:szCs w:val="20"/>
          <w:color w:val="auto"/>
        </w:rPr>
      </w:pPr>
      <w:r>
        <w:rPr>
          <w:rFonts w:ascii="Times New Roman" w:cs="Times New Roman" w:eastAsia="Times New Roman" w:hAnsi="Times New Roman"/>
          <w:sz w:val="18"/>
          <w:szCs w:val="18"/>
          <w:color w:val="auto"/>
        </w:rPr>
        <w:t>pursuant to which the Company and the holders of the 2025 8.125% Notes agreed to exchange the 2025 8.125% Notes for the 2027 Notes.</w:t>
      </w:r>
    </w:p>
    <w:p>
      <w:pPr>
        <w:ind w:left="180" w:hanging="175"/>
        <w:spacing w:after="0" w:line="199" w:lineRule="auto"/>
        <w:tabs>
          <w:tab w:leader="none" w:pos="180"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Employment agreements with the Company’s named executive officers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4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The Company is a guarantor on several warehouse lines of credit as noted in the above table under Contractual Obligations. Refer to NOTE 11— BORROWINGS to the consolidated financial statements for the amounts outstanding, line availability, and term. The Company is also a guarantor on an NMS term loan facility. At September 30, 2025, the Company determined that it is not probable that payments would be required to be made under the guarantees. The Company is also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account to secure these potential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quarterly period ended September 30, 2025.</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Loans at Fair Value</w:t>
      </w:r>
    </w:p>
    <w:p>
      <w:pPr>
        <w:spacing w:after="0" w:line="24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ASC 820 establishes a fair value hierarchy that prioritizes the inputs to valuation techniques used to measure fair value into three levels for disclosure purposes. We consider our loans HFI, at fair value and HFS, at fair value to be Level 3 within the fair value hierarchy as described in Note 10. Determining the fair value of the Level 3 loans held for sale and loans held for investment, which are measured at fair value requires management to make significant judgments about the valuation methodologies and inputs and assumptions used in the fair value calculation, including, but not limited to, historical credit losses, discounts for lack of marketability, underlying cash flows, and the impact of economic conditions.</w:t>
      </w:r>
    </w:p>
    <w:p>
      <w:pPr>
        <w:spacing w:after="0" w:line="2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On a quarterly basis, management determines the fair values of the retained unguaranteed portions of SBA 7(a) loans HFI, and unrealized changes in FV are recognized in the income statement. The loans within this portfolio were originated by NSBF. NSBF ceased originating new loans in April 2023 when all new SBA 7(a) loan originations were transitioned to Newtek Bank. (See </w:t>
      </w:r>
      <w:r>
        <w:rPr>
          <w:rFonts w:ascii="Times New Roman" w:cs="Times New Roman" w:eastAsia="Times New Roman" w:hAnsi="Times New Roman"/>
          <w:sz w:val="18"/>
          <w:szCs w:val="18"/>
          <w:i w:val="1"/>
          <w:iCs w:val="1"/>
          <w:color w:val="auto"/>
        </w:rPr>
        <w:t>Historical Business Regulation and Taxation,</w:t>
      </w:r>
      <w:r>
        <w:rPr>
          <w:rFonts w:ascii="Times New Roman" w:cs="Times New Roman" w:eastAsia="Times New Roman" w:hAnsi="Times New Roman"/>
          <w:sz w:val="18"/>
          <w:szCs w:val="18"/>
          <w:color w:val="auto"/>
        </w:rPr>
        <w:t xml:space="preserve"> for a discussion of the wind-down of NSBF’s operations.)</w:t>
      </w:r>
    </w:p>
    <w:p>
      <w:pPr>
        <w:spacing w:after="0" w:line="20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originated SBA 504 loans HFS prior to the Acquisition through its nonbank subsidiaries. SBA 504 loans HFS held at NALH are accounted for under the FV option. Additionally, the existing government guaranteed portion of SBA 7(a) loans held at NSBF and certain SBA 504 loans held at Newtek Bank are also HFS at FV.</w:t>
      </w:r>
    </w:p>
    <w:p>
      <w:pPr>
        <w:spacing w:after="0" w:line="205"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The Company also originates ALP loans (formerly referred to as our nonconforming conventional loans), which are either HFS or HFI, via its nonbank subsidiary. ALP loans are carried at FV. ALP loans are held at NALH and TSO JV and are also accounted for under the FV option.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3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The allowance for credit losses consists of the allowance for credit losses and the reserve for unfunded commitments. As a result of the Company’s Acquisition the adoption of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xml:space="preserve"> (“CECL”) and its related amendments, we developed a methodology for estimating the 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spacing w:after="0" w:line="224"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and other financial assets to which CECL applies,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spacing w:after="0" w:line="2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Consideration of losses occurs when serious doubt regarding the repayment of the loan is present. For real estate loans, current appraisals will aid in determining the amount to be charged off. For commercial loans, collateral valuations and borrower guarantees should be considered; however, weight to these two sources should be limited. Once a deficiency in collateral is determined, a reserve equal to the deficiency should be made immediately to the Allowance for Credit Losses (ACL). A charge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8"/>
          <w:szCs w:val="18"/>
          <w:color w:val="auto"/>
        </w:rPr>
        <w:t>off should be made within 90 days if a full analysis confirms the deficiency cannot be covered via additional collateral or resources of the borrower or guarantors.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Servicing Assets</w:t>
      </w:r>
    </w:p>
    <w:p>
      <w:pPr>
        <w:spacing w:after="0" w:line="23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For the quarterly period ended September 30, 2025, the Company accounted for servicing assets in accordance with ASC Topic 860-50 - Transfers and Servicing - Servicing Assets and Liabilities. The Company and Newtek Bank earn servicing fees primarily from the guaranteed portions of SBA 7(a) loans and to a lesser extent ALP and SBA 504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 and New Accounting Standards</w:t>
      </w:r>
    </w:p>
    <w:p>
      <w:pPr>
        <w:spacing w:after="0" w:line="244" w:lineRule="exact"/>
        <w:rPr>
          <w:sz w:val="20"/>
          <w:szCs w:val="20"/>
          <w:color w:val="auto"/>
        </w:rPr>
      </w:pPr>
    </w:p>
    <w:p>
      <w:pPr>
        <w:ind w:right="720"/>
        <w:spacing w:after="0" w:line="268" w:lineRule="auto"/>
        <w:rPr>
          <w:sz w:val="20"/>
          <w:szCs w:val="20"/>
          <w:color w:val="auto"/>
        </w:rPr>
      </w:pPr>
      <w:r>
        <w:rPr>
          <w:rFonts w:ascii="Times New Roman" w:cs="Times New Roman" w:eastAsia="Times New Roman" w:hAnsi="Times New Roman"/>
          <w:sz w:val="18"/>
          <w:szCs w:val="18"/>
          <w:color w:val="auto"/>
        </w:rPr>
        <w:t>Refer to NOTE 2—SIGNIFICANT ACCOUNTING POLICIES for information on recently adopted accounting pronouncements and new accounting standards.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4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In the normal course of business, the Company enters into various transactions to meet the financing needs of clients, which, in accordance with GAAP, are not included in the consolidated balance sheets. These transactions may include commitments to extend credit, standby letters of credit, and the construction phase of SBA 504 loans, which involve, to varying degrees, elements of credit risk and interest rate risk in excess of the amounts recognized in the consolidated balance sheets. The SBA 504 loans are expected to partially draw, if not fully draw. All off-balance sheet commitments are included in the determination of the amount of risk-based capital that the Company and Newtek Bank are required to hold.</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manages risk of exposure to credit losses under these commitments by subjecting them to credit approval and monitoring procedures. The Company assesses the credit risk associated with certain commitments to extend credit and establishes a liability for credit losses.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related to financial instruments can be found in NOTE 13—COMMITMENTS AND CONTINGENCIES.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Residuals in Securitizations, at Fair Value</w:t>
      </w:r>
    </w:p>
    <w:p>
      <w:pPr>
        <w:spacing w:after="0" w:line="24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On April 23, 2025, the Company’s subsidiary Newtek ALP Holdings closed a securitization pursuant to which it sold $155.9 million of Class A Notes, $23.8 million of Class B Notes, and $4.3 million of a Class C Note (collectively, the “2025-1 Notes”) issued by NALP Business Loan Trust 2025-1 (the “Securitization Trust”). The 2025-1 Notes were backed by $216.6 million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spacing w:after="0" w:line="21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The 2025-1 Trust meets the definition of a VIE and the Company holds a variable interest in the 2025-1 Trust, however, the Company is not considered the primary beneficiary of the 2025-1 Trust, because the power over the activities that have the most significant impact on the economic performance of the Securitization Trust is held by a single noteholder who has the ability to remove the Company as decision maker over the activities that most significantly impact the economic performance of the 2025-1 Trust. Consequently the Company is not required to consolidate the 2025-1 Trust. The Company’s beneficial interest in the 2025-1 Trust is evidenced by sole ownership of the Ownership Certificate and its beneficial interest in the credit risk of the securitized ALP Loans. Newtek ALP Holdings, the sponsor of the Securitization Trust, is a wholly owned subsidiary of the Company, therefore the Company effectively owns 100% of the equity interest in the 2025-1Trust.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related to financial instruments can be found in NOTE 3—SECURITIZATIONS AND VARIABLE INTEREST ENTITIES.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Purchase and Exchange</w:t>
      </w:r>
    </w:p>
    <w:p>
      <w:pPr>
        <w:spacing w:after="0" w:line="24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October 21, 2025, the Company entered into agreements with two institutional investors that were existing holders of the Company’s 2026 Notes to exchange the $20.0 million in total principal amount of the Company’s 2026 Notes held by such investors for an equal principal amount of the Company’s 2030 Notes. One of the investors also agreed to purchase $2.0 million in newly issued additional principal amount of the Company’s 2030 Notes. The transactions were conducted pursuant to exemptions from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80"/>
        <w:spacing w:after="0" w:line="237" w:lineRule="auto"/>
        <w:rPr>
          <w:sz w:val="20"/>
          <w:szCs w:val="20"/>
          <w:color w:val="auto"/>
        </w:rPr>
      </w:pPr>
      <w:r>
        <w:rPr>
          <w:rFonts w:ascii="Times New Roman" w:cs="Times New Roman" w:eastAsia="Times New Roman" w:hAnsi="Times New Roman"/>
          <w:sz w:val="18"/>
          <w:szCs w:val="18"/>
          <w:color w:val="auto"/>
        </w:rPr>
        <w:t>We consider the principal types of risk in our business activities to be fluctuations in interest rates, the ability to raise funds (deposits, debt, and or equity) to fund our operations,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interest rate profile on loans is based on a mix of fixed and variable rates. The same is true for its sources of funding (deposits, warehouse lines</w:t>
      </w:r>
    </w:p>
    <w:p>
      <w:pPr>
        <w:spacing w:after="0" w:line="5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of credit, securitization trust notes, public notes, etc.). Some of our assets and liabilities are match funded, meaning that the interest rate and duration profiles are closely linked. Managing interest rate risk with matched funding means that movements in interest rates are expected to largely offset between income from</w:t>
      </w:r>
    </w:p>
    <w:p>
      <w:pPr>
        <w:spacing w:after="0" w:line="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assets and expenses on liabilities. For the remainder of our balance sheet, we largely take a portfolio approach to managing interest rate and liquidity risk that is inherently imprecise.</w:t>
      </w:r>
    </w:p>
    <w:p>
      <w:pPr>
        <w:spacing w:after="0" w:line="2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Company depends on the availability of secondary market purchasers of our loans held for sale, but primarily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or disruptions in the markets to which we sell could negatively impact our business.</w:t>
      </w:r>
    </w:p>
    <w:p>
      <w:pPr>
        <w:spacing w:after="0" w:line="201"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18"/>
          <w:szCs w:val="18"/>
          <w:color w:val="auto"/>
        </w:rPr>
        <w:t>The Company has cash and cash equivalents, which includes cash and due from banks, restricted cash, and interest bearing deposits in banks, of $216.9 million. We do not purchase or hold derivative financial instruments for trading purposes. All of our transactions are conducted in U.S. dollars and we do not have any foreign currency or foreign exchange risk. We do not trade commodities or have any commodity price risk.</w:t>
      </w:r>
    </w:p>
    <w:p>
      <w:pPr>
        <w:spacing w:after="0" w:line="207" w:lineRule="exact"/>
        <w:rPr>
          <w:sz w:val="20"/>
          <w:szCs w:val="20"/>
          <w:color w:val="auto"/>
        </w:rPr>
      </w:pPr>
    </w:p>
    <w:p>
      <w:pPr>
        <w:jc w:val="both"/>
        <w:ind w:right="500"/>
        <w:spacing w:after="0" w:line="256" w:lineRule="auto"/>
        <w:rPr>
          <w:sz w:val="20"/>
          <w:szCs w:val="20"/>
          <w:color w:val="auto"/>
        </w:rPr>
      </w:pPr>
      <w:r>
        <w:rPr>
          <w:rFonts w:ascii="Times New Roman" w:cs="Times New Roman" w:eastAsia="Times New Roman" w:hAnsi="Times New Roman"/>
          <w:sz w:val="18"/>
          <w:szCs w:val="18"/>
          <w:color w:val="auto"/>
        </w:rPr>
        <w:t>We believe that we have placed our cash investments and their equivalents, which include deposits at other institutions, with high credit-quality financial institutions. As of September 30, 2025, cash deposits in excess of insured amounts totaled approximately $29.0 million. The Company and its non-bank subsidiaries have deposit accounts at Newtek Bank that total $105.9 million, of which $105.5 million is uninsured.</w:t>
      </w:r>
    </w:p>
    <w:p>
      <w:pPr>
        <w:spacing w:after="0" w:line="192"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8"/>
          <w:szCs w:val="18"/>
          <w:color w:val="auto"/>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balanced against maximizing profit. Management of interest rate risk is carried out primarily through strategies involving cash, loan portfolio, and available funding sources.</w:t>
      </w:r>
    </w:p>
    <w:p>
      <w:pPr>
        <w:spacing w:after="0" w:line="2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6"/>
          <w:szCs w:val="16"/>
          <w:color w:val="auto"/>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spacing w:after="0" w:line="18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spacing w:after="0" w:line="21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Estimated Changes in EVE and NII. The table below sets forth, as of September 30, 2025,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Basis Point ("bp") Change in</w:t>
            </w:r>
          </w:p>
        </w:tc>
        <w:tc>
          <w:tcPr>
            <w:tcW w:w="562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Estimated Increase/Decrease in Net Interest Income</w:t>
            </w:r>
          </w:p>
        </w:tc>
        <w:tc>
          <w:tcPr>
            <w:tcW w:w="270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Estimated Percentage Change in EVE</w:t>
            </w:r>
          </w:p>
        </w:tc>
        <w:tc>
          <w:tcPr>
            <w:tcW w:w="0" w:type="dxa"/>
            <w:vAlign w:val="bottom"/>
          </w:tcPr>
          <w:p>
            <w:pPr>
              <w:spacing w:after="0"/>
              <w:rPr>
                <w:sz w:val="1"/>
                <w:szCs w:val="1"/>
                <w:color w:val="auto"/>
              </w:rPr>
            </w:pPr>
          </w:p>
        </w:tc>
      </w:tr>
      <w:tr>
        <w:trPr>
          <w:trHeight w:val="24"/>
        </w:trPr>
        <w:tc>
          <w:tcPr>
            <w:tcW w:w="2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Interest Rates</w:t>
            </w:r>
          </w:p>
        </w:tc>
        <w:tc>
          <w:tcPr>
            <w:tcW w:w="2840" w:type="dxa"/>
            <w:vAlign w:val="bottom"/>
            <w:gridSpan w:val="2"/>
          </w:tcPr>
          <w:p>
            <w:pPr>
              <w:spacing w:after="0"/>
              <w:rPr>
                <w:sz w:val="2"/>
                <w:szCs w:val="2"/>
                <w:color w:val="auto"/>
              </w:rPr>
            </w:pPr>
          </w:p>
        </w:tc>
        <w:tc>
          <w:tcPr>
            <w:tcW w:w="2780" w:type="dxa"/>
            <w:vAlign w:val="bottom"/>
            <w:gridSpan w:val="2"/>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60" w:type="dxa"/>
            <w:vAlign w:val="bottom"/>
            <w:gridSpan w:val="2"/>
            <w:vMerge w:val="continue"/>
          </w:tcPr>
          <w:p>
            <w:pPr>
              <w:spacing w:after="0"/>
              <w:rPr>
                <w:sz w:val="15"/>
                <w:szCs w:val="15"/>
                <w:color w:val="auto"/>
              </w:rPr>
            </w:pPr>
          </w:p>
        </w:tc>
        <w:tc>
          <w:tcPr>
            <w:tcW w:w="28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12 Months Beginning September 30, 2025</w:t>
            </w:r>
          </w:p>
        </w:tc>
        <w:tc>
          <w:tcPr>
            <w:tcW w:w="270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rPr>
              <w:t>12 Months Beginning September 30, 2026</w:t>
            </w:r>
          </w:p>
        </w:tc>
        <w:tc>
          <w:tcPr>
            <w:tcW w:w="80" w:type="dxa"/>
            <w:vAlign w:val="bottom"/>
          </w:tcPr>
          <w:p>
            <w:pPr>
              <w:spacing w:after="0"/>
              <w:rPr>
                <w:sz w:val="15"/>
                <w:szCs w:val="15"/>
                <w:color w:val="auto"/>
              </w:rPr>
            </w:pPr>
          </w:p>
        </w:tc>
        <w:tc>
          <w:tcPr>
            <w:tcW w:w="2700" w:type="dxa"/>
            <w:vAlign w:val="bottom"/>
            <w:tcBorders>
              <w:top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color w:val="auto"/>
              </w:rPr>
              <w:t>As of September 30, 2025</w:t>
            </w:r>
          </w:p>
        </w:tc>
        <w:tc>
          <w:tcPr>
            <w:tcW w:w="0" w:type="dxa"/>
            <w:vAlign w:val="bottom"/>
          </w:tcPr>
          <w:p>
            <w:pPr>
              <w:spacing w:after="0"/>
              <w:rPr>
                <w:sz w:val="1"/>
                <w:szCs w:val="1"/>
                <w:color w:val="auto"/>
              </w:rPr>
            </w:pPr>
          </w:p>
        </w:tc>
      </w:tr>
      <w:tr>
        <w:trPr>
          <w:trHeight w:val="223"/>
        </w:trPr>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+200</w:t>
            </w:r>
          </w:p>
        </w:tc>
        <w:tc>
          <w:tcPr>
            <w:tcW w:w="8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80" w:type="dxa"/>
            <w:vAlign w:val="bottom"/>
          </w:tcPr>
          <w:p>
            <w:pPr>
              <w:spacing w:after="0"/>
              <w:rPr>
                <w:sz w:val="19"/>
                <w:szCs w:val="19"/>
                <w:color w:val="auto"/>
              </w:rPr>
            </w:pPr>
          </w:p>
        </w:tc>
        <w:tc>
          <w:tcPr>
            <w:tcW w:w="27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9"/>
                <w:szCs w:val="19"/>
                <w:color w:val="auto"/>
              </w:rPr>
            </w:pPr>
          </w:p>
        </w:tc>
        <w:tc>
          <w:tcPr>
            <w:tcW w:w="27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27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8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-200</w:t>
            </w:r>
          </w:p>
        </w:tc>
        <w:tc>
          <w:tcPr>
            <w:tcW w:w="80" w:type="dxa"/>
            <w:vAlign w:val="bottom"/>
          </w:tcPr>
          <w:p>
            <w:pPr>
              <w:spacing w:after="0"/>
              <w:rPr>
                <w:sz w:val="19"/>
                <w:szCs w:val="19"/>
                <w:color w:val="auto"/>
              </w:rPr>
            </w:pPr>
          </w:p>
        </w:tc>
        <w:tc>
          <w:tcPr>
            <w:tcW w:w="27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9"/>
                <w:szCs w:val="19"/>
                <w:color w:val="auto"/>
              </w:rPr>
            </w:pPr>
          </w:p>
        </w:tc>
        <w:tc>
          <w:tcPr>
            <w:tcW w:w="27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27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6"/>
          <w:szCs w:val="16"/>
          <w:color w:val="auto"/>
        </w:rPr>
        <w:t>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w:t>
      </w:r>
    </w:p>
    <w:p>
      <w:pPr>
        <w:spacing w:after="0" w:line="17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The EVE analysis shows that the Company would theoretically modestly increase market value in a rising rate environment. The EVE asset sensitivity results from the combination of fixed-rate debt and variable-rate debt which funds the variable-rate loan portfolio outside of Newtek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Our management, under the supervision and with the participation of the Chief Executive Officer (who is our principal executive officer) and Chief Financial Officer (who is our principal financial officer), evaluated the effectiveness of our disclosure controls and procedures, as defined in Rule 13a-15(e) and 15d15(e) of the Securities Exchange Act of 1934, as amended (the "Exchange Act"), as of September 30, 2025.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83" w:lineRule="exact"/>
        <w:rPr>
          <w:sz w:val="20"/>
          <w:szCs w:val="20"/>
          <w:color w:val="auto"/>
        </w:rPr>
      </w:pPr>
    </w:p>
    <w:p>
      <w:pPr>
        <w:ind w:right="580"/>
        <w:spacing w:after="0" w:line="23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as of September 30, 2025, our disclosure controls and procedures were effective.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September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Refer to “NOTE 13—COMMITMENTS AND CONTINGENCIES” within the accompanying Notes to the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20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In addition, as a result of a litigation brought by the Federal Trade Commission (the “FTC”) in October 2012, NMS voluntarily entered into, and is presently operating under, a permanent injunction with respect to certain of its business practices.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In addition to the other information set forth in this report, you should carefully consider the factors discussed in Part I, “Item 1A. Risk Factors” in our 2024 Form 10-K, which could materially affect our business, financial condition and/or operating results. The risks described in our 2024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our 2024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We issue shares of common stock that are not subject to the registration requirements of the Securities Act in connection with dividends on unvested restricted stock awards. A breakdown of the shares related to dividends on unvested restricted stock awards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40" w:type="dxa"/>
            <w:vAlign w:val="bottom"/>
            <w:tcBorders>
              <w:bottom w:val="single" w:sz="8" w:color="auto"/>
            </w:tcBorders>
          </w:tcPr>
          <w:p>
            <w:pPr>
              <w:spacing w:after="0"/>
              <w:rPr>
                <w:sz w:val="20"/>
                <w:szCs w:val="20"/>
                <w:color w:val="auto"/>
              </w:rPr>
            </w:pPr>
          </w:p>
        </w:tc>
      </w:tr>
      <w:tr>
        <w:trPr>
          <w:trHeight w:val="217"/>
        </w:trPr>
        <w:tc>
          <w:tcPr>
            <w:tcW w:w="2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r>
      <w:tr>
        <w:trPr>
          <w:trHeight w:val="217"/>
        </w:trPr>
        <w:tc>
          <w:tcPr>
            <w:tcW w:w="22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51"/>
        </w:trPr>
        <w:tc>
          <w:tcPr>
            <w:tcW w:w="226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Dividend shares on unvested</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3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38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60" w:type="dxa"/>
            <w:vAlign w:val="bottom"/>
            <w:gridSpan w:val="15"/>
          </w:tcPr>
          <w:p>
            <w:pPr>
              <w:ind w:left="17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400" w:type="dxa"/>
            <w:vAlign w:val="bottom"/>
            <w:gridSpan w:val="2"/>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940" w:type="dxa"/>
            <w:vAlign w:val="bottom"/>
            <w:gridSpan w:val="2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Amended and Restated Articles of Incorporation of Newtek Business Services Corp. (Previously filed in connection with Pre-Effective</w:t>
              </w:r>
            </w:hyperlink>
          </w:p>
        </w:tc>
      </w:tr>
      <w:tr>
        <w:trPr>
          <w:trHeight w:val="151"/>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80" w:type="dxa"/>
            <w:vAlign w:val="bottom"/>
            <w:tcBorders>
              <w:top w:val="single" w:sz="8" w:color="0000FF"/>
            </w:tcBorders>
            <w:gridSpan w:val="13"/>
          </w:tcPr>
          <w:p>
            <w:pPr>
              <w:spacing w:after="0" w:line="151"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Amendment No. 3 to the Registration Statement on Form N-2 (File No. 333-191499) filed on November 3, 2014, and incorporated by</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3"/>
          </w:tcPr>
          <w:p>
            <w:pPr>
              <w:spacing w:after="0" w:line="151"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reference herein).</w:t>
              </w:r>
            </w:hyperlink>
          </w:p>
        </w:tc>
        <w:tc>
          <w:tcPr>
            <w:tcW w:w="8160" w:type="dxa"/>
            <w:vAlign w:val="bottom"/>
            <w:tcBorders>
              <w:top w:val="single" w:sz="8" w:color="0000FF"/>
            </w:tcBorders>
            <w:gridSpan w:val="9"/>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400" w:type="dxa"/>
            <w:vAlign w:val="bottom"/>
            <w:gridSpan w:val="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940" w:type="dxa"/>
            <w:vAlign w:val="bottom"/>
            <w:gridSpan w:val="2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Amended Bylaws of NewtekOne, Inc. (Incorporated by reference to Exhibit 99.1 of NewtekOne, Inc’s Current Report on Form 8-K, filed</w:t>
              </w:r>
            </w:hyperlink>
          </w:p>
        </w:tc>
      </w:tr>
      <w:tr>
        <w:trPr>
          <w:trHeight w:val="151"/>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40" w:type="dxa"/>
            <w:vAlign w:val="bottom"/>
            <w:tcBorders>
              <w:top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January 24, 2023).</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4"/>
        </w:trPr>
        <w:tc>
          <w:tcPr>
            <w:tcW w:w="400" w:type="dxa"/>
            <w:vAlign w:val="bottom"/>
            <w:gridSpan w:val="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940" w:type="dxa"/>
            <w:vAlign w:val="bottom"/>
            <w:gridSpan w:val="23"/>
          </w:tcPr>
          <w:p>
            <w:pPr>
              <w:spacing w:after="0"/>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Articles of Amendment to Newtek Business Services Corp.’s Charter (Incorporated by reference to Exhibit 99.1 to Newtek’s Current Report</w:t>
              </w:r>
            </w:hyperlink>
          </w:p>
        </w:tc>
      </w:tr>
      <w:tr>
        <w:trPr>
          <w:trHeight w:val="151"/>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7"/>
          </w:tcPr>
          <w:p>
            <w:pPr>
              <w:spacing w:after="0" w:line="151"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on Form 8-K filed January 17, 2025).</w:t>
              </w:r>
            </w:hyperlink>
          </w:p>
        </w:tc>
        <w:tc>
          <w:tcPr>
            <w:tcW w:w="7200" w:type="dxa"/>
            <w:vAlign w:val="bottom"/>
            <w:tcBorders>
              <w:top w:val="single" w:sz="8" w:color="0000FF"/>
            </w:tcBorders>
            <w:gridSpan w:val="14"/>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400" w:type="dxa"/>
            <w:vAlign w:val="bottom"/>
            <w:gridSpan w:val="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w:t>
              </w:r>
            </w:hyperlink>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940" w:type="dxa"/>
            <w:vAlign w:val="bottom"/>
            <w:gridSpan w:val="23"/>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NewtekOne, Inc. Articles Supplementary, dated August 19, 2025. (Incorporated by reference to Exhibit 3.1 to Newtek’s Current Report on</w:t>
              </w:r>
            </w:hyperlink>
          </w:p>
        </w:tc>
      </w:tr>
      <w:tr>
        <w:trPr>
          <w:trHeight w:val="151"/>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6"/>
          </w:tcPr>
          <w:p>
            <w:pPr>
              <w:spacing w:after="0" w:line="151"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Form 8-K, filed August 21, 2025).</w:t>
              </w:r>
            </w:hyperlink>
          </w:p>
        </w:tc>
        <w:tc>
          <w:tcPr>
            <w:tcW w:w="73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220" w:type="dxa"/>
            <w:vAlign w:val="bottom"/>
          </w:tcPr>
          <w:p>
            <w:pPr>
              <w:spacing w:after="0"/>
              <w:rPr>
                <w:rFonts w:ascii="Times New Roman" w:cs="Times New Roman" w:eastAsia="Times New Roman" w:hAnsi="Times New Roman"/>
                <w:sz w:val="18"/>
                <w:szCs w:val="18"/>
                <w:color w:val="0000FF"/>
                <w:w w:val="88"/>
              </w:rPr>
            </w:pPr>
            <w:r>
              <w:rPr>
                <w:rFonts w:ascii="Times New Roman" w:cs="Times New Roman" w:eastAsia="Times New Roman" w:hAnsi="Times New Roman"/>
                <w:sz w:val="18"/>
                <w:szCs w:val="18"/>
                <w:color w:val="0000FF"/>
                <w:w w:val="88"/>
              </w:rPr>
              <w:t>3.</w:t>
            </w:r>
            <w:hyperlink r:id="rId163">
              <w:r>
                <w:rPr>
                  <w:rFonts w:ascii="Times New Roman" w:cs="Times New Roman" w:eastAsia="Times New Roman" w:hAnsi="Times New Roman"/>
                  <w:sz w:val="18"/>
                  <w:szCs w:val="18"/>
                  <w:u w:val="single" w:color="auto"/>
                  <w:color w:val="0000FF"/>
                  <w:w w:val="88"/>
                </w:rPr>
                <w:t>5</w:t>
              </w:r>
            </w:hyperlink>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940" w:type="dxa"/>
            <w:vAlign w:val="bottom"/>
            <w:gridSpan w:val="23"/>
          </w:tcPr>
          <w:p>
            <w:pPr>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NewtekOne, Inc. Articles Supplementary, dated September 16, 2025. (Incorporated by reference to Exhibit 3.1 to Newtek’s Current Report</w:t>
              </w:r>
            </w:hyperlink>
          </w:p>
        </w:tc>
      </w:tr>
      <w:tr>
        <w:trPr>
          <w:trHeight w:val="151"/>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80" w:type="dxa"/>
            <w:vAlign w:val="bottom"/>
            <w:tcBorders>
              <w:top w:val="single" w:sz="8" w:color="0000FF"/>
            </w:tcBorders>
            <w:gridSpan w:val="20"/>
          </w:tcPr>
          <w:p>
            <w:pPr>
              <w:spacing w:after="0" w:line="151"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on Form 8-K, filed September 18, 2025).</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400" w:type="dxa"/>
            <w:vAlign w:val="bottom"/>
            <w:gridSpan w:val="2"/>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6</w:t>
              </w:r>
            </w:hyperlink>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940" w:type="dxa"/>
            <w:vAlign w:val="bottom"/>
            <w:gridSpan w:val="23"/>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Articles of Amendment to the Amended and Restated Articles of Incorporation of NewtekOne, Inc. (Incorporated by reference to Exhibit</w:t>
              </w:r>
            </w:hyperlink>
          </w:p>
        </w:tc>
      </w:tr>
      <w:tr>
        <w:trPr>
          <w:trHeight w:val="151"/>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20" w:type="dxa"/>
            <w:vAlign w:val="bottom"/>
            <w:tcBorders>
              <w:top w:val="single" w:sz="8" w:color="0000FF"/>
            </w:tcBorders>
            <w:gridSpan w:val="15"/>
          </w:tcPr>
          <w:p>
            <w:pPr>
              <w:spacing w:after="0" w:line="151"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99.</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Newtek’s Current Report on Form 8-K, filed June 18, 2024).</w:t>
              </w:r>
            </w:hyperlink>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20" w:type="dxa"/>
            <w:vAlign w:val="bottom"/>
          </w:tcPr>
          <w:p>
            <w:pPr>
              <w:spacing w:after="0"/>
              <w:rPr>
                <w:sz w:val="23"/>
                <w:szCs w:val="23"/>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7"/>
              </w:rPr>
              <w:t>Certification by Principal Executive Officer required by Rules 13a-14 and 15d-14(a) under the Securities Exchange Act of 1934, as amended,</w:t>
            </w:r>
          </w:p>
        </w:tc>
      </w:tr>
      <w:tr>
        <w:trPr>
          <w:trHeight w:val="151"/>
        </w:trPr>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920" w:type="dxa"/>
            <w:vAlign w:val="bottom"/>
            <w:tcBorders>
              <w:top w:val="single" w:sz="8" w:color="0000FF"/>
            </w:tcBorders>
            <w:gridSpan w:val="22"/>
          </w:tcPr>
          <w:p>
            <w:pPr>
              <w:spacing w:after="0" w:line="151" w:lineRule="exact"/>
              <w:rPr>
                <w:sz w:val="20"/>
                <w:szCs w:val="20"/>
                <w:color w:val="auto"/>
              </w:rPr>
            </w:pPr>
            <w:r>
              <w:rPr>
                <w:rFonts w:ascii="Times New Roman" w:cs="Times New Roman" w:eastAsia="Times New Roman" w:hAnsi="Times New Roman"/>
                <w:sz w:val="16"/>
                <w:szCs w:val="16"/>
                <w:color w:val="0000FF"/>
              </w:rPr>
              <w:t>filed herewith.</w:t>
            </w:r>
          </w:p>
        </w:tc>
        <w:tc>
          <w:tcPr>
            <w:tcW w:w="20" w:type="dxa"/>
            <w:vAlign w:val="bottom"/>
          </w:tcPr>
          <w:p>
            <w:pPr>
              <w:spacing w:after="0"/>
              <w:rPr>
                <w:sz w:val="13"/>
                <w:szCs w:val="13"/>
                <w:color w:val="auto"/>
              </w:rPr>
            </w:pPr>
          </w:p>
        </w:tc>
      </w:tr>
      <w:tr>
        <w:trPr>
          <w:trHeight w:val="20"/>
        </w:trPr>
        <w:tc>
          <w:tcPr>
            <w:tcW w:w="5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69"/>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20" w:type="dxa"/>
            <w:vAlign w:val="bottom"/>
          </w:tcPr>
          <w:p>
            <w:pPr>
              <w:spacing w:after="0"/>
              <w:rPr>
                <w:sz w:val="23"/>
                <w:szCs w:val="23"/>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required by Rule 13a-14 under the Securities Exchange Act of 1934, as amended, furnished</w:t>
            </w:r>
          </w:p>
        </w:tc>
      </w:tr>
      <w:tr>
        <w:trPr>
          <w:trHeight w:val="151"/>
        </w:trPr>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500" w:type="dxa"/>
            <w:vAlign w:val="bottom"/>
            <w:tcBorders>
              <w:top w:val="single" w:sz="8" w:color="0000FF"/>
            </w:tcBorders>
            <w:gridSpan w:val="14"/>
          </w:tcPr>
          <w:p>
            <w:pPr>
              <w:spacing w:after="0" w:line="151" w:lineRule="exact"/>
              <w:rPr>
                <w:sz w:val="20"/>
                <w:szCs w:val="20"/>
                <w:color w:val="auto"/>
              </w:rPr>
            </w:pPr>
            <w:r>
              <w:rPr>
                <w:rFonts w:ascii="Times New Roman" w:cs="Times New Roman" w:eastAsia="Times New Roman" w:hAnsi="Times New Roman"/>
                <w:sz w:val="16"/>
                <w:szCs w:val="16"/>
                <w:color w:val="0000FF"/>
              </w:rPr>
              <w:t>herewith.</w:t>
            </w:r>
          </w:p>
        </w:tc>
        <w:tc>
          <w:tcPr>
            <w:tcW w:w="2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20"/>
        </w:trPr>
        <w:tc>
          <w:tcPr>
            <w:tcW w:w="5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780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69"/>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2"/>
              </w:rPr>
              <w:t>32.</w:t>
            </w:r>
            <w:r>
              <w:rPr>
                <w:rFonts w:ascii="Times New Roman" w:cs="Times New Roman" w:eastAsia="Times New Roman" w:hAnsi="Times New Roman"/>
                <w:sz w:val="18"/>
                <w:szCs w:val="18"/>
                <w:u w:val="single" w:color="auto"/>
                <w:color w:val="0000FF"/>
                <w:w w:val="92"/>
              </w:rPr>
              <w:t>1**</w:t>
            </w:r>
          </w:p>
        </w:tc>
        <w:tc>
          <w:tcPr>
            <w:tcW w:w="720" w:type="dxa"/>
            <w:vAlign w:val="bottom"/>
          </w:tcPr>
          <w:p>
            <w:pPr>
              <w:spacing w:after="0"/>
              <w:rPr>
                <w:sz w:val="23"/>
                <w:szCs w:val="23"/>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Certification by Principal Executive Officer pursuant to 18 U.S.C. Section 1350, as adopted pursuant to Section 906 of the Sarbanes-Oxley</w:t>
            </w:r>
          </w:p>
        </w:tc>
      </w:tr>
      <w:tr>
        <w:trPr>
          <w:trHeight w:val="151"/>
        </w:trPr>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9760" w:type="dxa"/>
            <w:vAlign w:val="bottom"/>
            <w:tcBorders>
              <w:top w:val="single" w:sz="8" w:color="0000FF"/>
            </w:tcBorders>
            <w:gridSpan w:val="19"/>
          </w:tcPr>
          <w:p>
            <w:pPr>
              <w:spacing w:after="0" w:line="151" w:lineRule="exact"/>
              <w:rPr>
                <w:sz w:val="20"/>
                <w:szCs w:val="20"/>
                <w:color w:val="auto"/>
              </w:rPr>
            </w:pPr>
            <w:r>
              <w:rPr>
                <w:rFonts w:ascii="Times New Roman" w:cs="Times New Roman" w:eastAsia="Times New Roman" w:hAnsi="Times New Roman"/>
                <w:sz w:val="16"/>
                <w:szCs w:val="16"/>
                <w:color w:val="0000FF"/>
              </w:rPr>
              <w:t>Act of 2002 filed herewith.</w:t>
            </w:r>
          </w:p>
        </w:tc>
        <w:tc>
          <w:tcPr>
            <w:tcW w:w="180" w:type="dxa"/>
            <w:vAlign w:val="bottom"/>
            <w:gridSpan w:val="4"/>
          </w:tcPr>
          <w:p>
            <w:pPr>
              <w:spacing w:after="0"/>
              <w:rPr>
                <w:sz w:val="13"/>
                <w:szCs w:val="13"/>
                <w:color w:val="auto"/>
              </w:rPr>
            </w:pPr>
          </w:p>
        </w:tc>
      </w:tr>
      <w:tr>
        <w:trPr>
          <w:trHeight w:val="20"/>
        </w:trPr>
        <w:tc>
          <w:tcPr>
            <w:tcW w:w="5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7800" w:type="dxa"/>
            <w:vAlign w:val="bottom"/>
            <w:gridSpan w:val="1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269"/>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2"/>
              </w:rPr>
              <w:t>32.</w:t>
            </w:r>
            <w:r>
              <w:rPr>
                <w:rFonts w:ascii="Times New Roman" w:cs="Times New Roman" w:eastAsia="Times New Roman" w:hAnsi="Times New Roman"/>
                <w:sz w:val="18"/>
                <w:szCs w:val="18"/>
                <w:u w:val="single" w:color="auto"/>
                <w:color w:val="0000FF"/>
                <w:w w:val="92"/>
              </w:rPr>
              <w:t>2**</w:t>
            </w:r>
          </w:p>
        </w:tc>
        <w:tc>
          <w:tcPr>
            <w:tcW w:w="720" w:type="dxa"/>
            <w:vAlign w:val="bottom"/>
          </w:tcPr>
          <w:p>
            <w:pPr>
              <w:spacing w:after="0"/>
              <w:rPr>
                <w:sz w:val="23"/>
                <w:szCs w:val="23"/>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Certification by Principal Financial Officer pursuant to 18 U.S.C. Section 1350, as adopted pursuant to Section 906 of the Sarbanes-Oxley</w:t>
            </w:r>
          </w:p>
        </w:tc>
      </w:tr>
      <w:tr>
        <w:trPr>
          <w:trHeight w:val="151"/>
        </w:trPr>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9700" w:type="dxa"/>
            <w:vAlign w:val="bottom"/>
            <w:tcBorders>
              <w:top w:val="single" w:sz="8" w:color="0000FF"/>
            </w:tcBorders>
            <w:gridSpan w:val="17"/>
          </w:tcPr>
          <w:p>
            <w:pPr>
              <w:spacing w:after="0" w:line="151" w:lineRule="exact"/>
              <w:rPr>
                <w:sz w:val="20"/>
                <w:szCs w:val="20"/>
                <w:color w:val="auto"/>
              </w:rPr>
            </w:pPr>
            <w:r>
              <w:rPr>
                <w:rFonts w:ascii="Times New Roman" w:cs="Times New Roman" w:eastAsia="Times New Roman" w:hAnsi="Times New Roman"/>
                <w:sz w:val="16"/>
                <w:szCs w:val="16"/>
                <w:color w:val="0000FF"/>
              </w:rPr>
              <w:t>Act of 2002 filed herewith.</w:t>
            </w:r>
          </w:p>
        </w:tc>
        <w:tc>
          <w:tcPr>
            <w:tcW w:w="240" w:type="dxa"/>
            <w:vAlign w:val="bottom"/>
            <w:gridSpan w:val="6"/>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7" w:lineRule="exact"/>
        <w:rPr>
          <w:sz w:val="20"/>
          <w:szCs w:val="20"/>
          <w:color w:val="auto"/>
        </w:rPr>
      </w:pPr>
    </w:p>
    <w:p>
      <w:pPr>
        <w:ind w:left="1240" w:right="120" w:hanging="1217"/>
        <w:spacing w:after="0" w:line="214" w:lineRule="auto"/>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(i) the Consolidated Balance Sheets as of September 30, 2025 and December 31, 2024; (ii) the Consolidated Statements of Operations for the three and nine months ended September 30, 2025 and 2024; (iii) the Consolidated Statements of Changes in Shareholders’ Equity for the three and nine months ended September 30, 2025 and 2024; (iv) the Consolidated Statements of Cash Flows for the nine months ended September 30, 2025 and 2024; and (v) the Notes to the Consolidated Financial Statements.</w:t>
      </w:r>
    </w:p>
    <w:p>
      <w:pPr>
        <w:spacing w:after="0" w:line="63" w:lineRule="exact"/>
        <w:rPr>
          <w:sz w:val="20"/>
          <w:szCs w:val="20"/>
          <w:color w:val="auto"/>
        </w:rPr>
      </w:pPr>
    </w:p>
    <w:p>
      <w:pPr>
        <w:ind w:left="1240" w:hanging="1217"/>
        <w:spacing w:after="0"/>
        <w:tabs>
          <w:tab w:leader="none" w:pos="12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8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1"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NEWTEKONE, INC.</w:t>
      </w:r>
    </w:p>
    <w:p>
      <w:pPr>
        <w:spacing w:after="0" w:line="71" w:lineRule="exact"/>
        <w:rPr>
          <w:sz w:val="20"/>
          <w:szCs w:val="20"/>
          <w:color w:val="auto"/>
        </w:rPr>
      </w:pPr>
    </w:p>
    <w:p>
      <w:pPr>
        <w:ind w:left="20"/>
        <w:spacing w:after="0"/>
        <w:tabs>
          <w:tab w:leader="none" w:pos="5480" w:val="left"/>
          <w:tab w:leader="none" w:pos="7680" w:val="left"/>
          <w:tab w:leader="none" w:pos="802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B</w:t>
      </w:r>
      <w:r>
        <w:rPr>
          <w:rFonts w:ascii="Times New Roman" w:cs="Times New Roman" w:eastAsia="Times New Roman" w:hAnsi="Times New Roman"/>
          <w:sz w:val="13"/>
          <w:szCs w:val="13"/>
          <w:color w:val="auto"/>
        </w:rPr>
        <w:t>ARRY</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22225</wp:posOffset>
            </wp:positionV>
            <wp:extent cx="33470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3347085" cy="8255"/>
                    </a:xfrm>
                    <a:prstGeom prst="rect">
                      <a:avLst/>
                    </a:prstGeom>
                    <a:noFill/>
                  </pic:spPr>
                </pic:pic>
              </a:graphicData>
            </a:graphic>
          </wp:anchor>
        </w:drawing>
      </w:r>
    </w:p>
    <w:p>
      <w:pPr>
        <w:spacing w:after="0" w:line="1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Barry Sloane</w:t>
      </w:r>
    </w:p>
    <w:p>
      <w:pPr>
        <w:spacing w:after="0" w:line="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Chief Executive Officer, President and Chairman of the Board</w:t>
      </w:r>
    </w:p>
    <w:p>
      <w:pPr>
        <w:ind w:left="77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77" w:lineRule="exact"/>
        <w:rPr>
          <w:sz w:val="20"/>
          <w:szCs w:val="20"/>
          <w:color w:val="auto"/>
        </w:rPr>
      </w:pPr>
    </w:p>
    <w:p>
      <w:pPr>
        <w:ind w:left="20"/>
        <w:spacing w:after="0"/>
        <w:tabs>
          <w:tab w:leader="none" w:pos="5480" w:val="left"/>
          <w:tab w:leader="none" w:pos="7500" w:val="left"/>
          <w:tab w:leader="none" w:pos="786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w:t>
      </w:r>
      <w:r>
        <w:rPr>
          <w:rFonts w:ascii="Times New Roman" w:cs="Times New Roman" w:eastAsia="Times New Roman" w:hAnsi="Times New Roman"/>
          <w:sz w:val="13"/>
          <w:szCs w:val="13"/>
          <w:color w:val="auto"/>
        </w:rPr>
        <w:t>RANK</w:t>
      </w:r>
      <w:r>
        <w:rPr>
          <w:rFonts w:ascii="Times New Roman" w:cs="Times New Roman" w:eastAsia="Times New Roman" w:hAnsi="Times New Roman"/>
          <w:sz w:val="16"/>
          <w:szCs w:val="16"/>
          <w:color w:val="auto"/>
        </w:rPr>
        <w:t xml:space="preserve"> M. D</w:t>
      </w:r>
      <w:r>
        <w:rPr>
          <w:rFonts w:ascii="Times New Roman" w:cs="Times New Roman" w:eastAsia="Times New Roman" w:hAnsi="Times New Roman"/>
          <w:sz w:val="13"/>
          <w:szCs w:val="13"/>
          <w:color w:val="auto"/>
        </w:rPr>
        <w:t>E</w:t>
      </w:r>
      <w:r>
        <w:rPr>
          <w:rFonts w:ascii="Times New Roman" w:cs="Times New Roman" w:eastAsia="Times New Roman" w:hAnsi="Times New Roman"/>
          <w:sz w:val="16"/>
          <w:szCs w:val="16"/>
          <w:color w:val="auto"/>
        </w:rPr>
        <w:t>M</w:t>
      </w:r>
      <w:r>
        <w:rPr>
          <w:rFonts w:ascii="Times New Roman" w:cs="Times New Roman" w:eastAsia="Times New Roman" w:hAnsi="Times New Roman"/>
          <w:sz w:val="13"/>
          <w:szCs w:val="13"/>
          <w:color w:val="auto"/>
        </w:rPr>
        <w:t>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22225</wp:posOffset>
            </wp:positionV>
            <wp:extent cx="33470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3347085" cy="8255"/>
                    </a:xfrm>
                    <a:prstGeom prst="rect">
                      <a:avLst/>
                    </a:prstGeom>
                    <a:noFill/>
                  </pic:spPr>
                </pic:pic>
              </a:graphicData>
            </a:graphic>
          </wp:anchor>
        </w:drawing>
      </w:r>
    </w:p>
    <w:p>
      <w:pPr>
        <w:spacing w:after="0" w:line="1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Frank M. DeMaria</w:t>
      </w:r>
    </w:p>
    <w:p>
      <w:pPr>
        <w:spacing w:after="0" w:line="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ind w:left="77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124" w:right="45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302 OF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Barry Sloane, certify that:</w:t>
      </w:r>
    </w:p>
    <w:p>
      <w:pPr>
        <w:spacing w:after="0" w:line="214" w:lineRule="exact"/>
        <w:rPr>
          <w:sz w:val="20"/>
          <w:szCs w:val="20"/>
          <w:color w:val="auto"/>
        </w:rPr>
      </w:pPr>
    </w:p>
    <w:p>
      <w:pPr>
        <w:ind w:left="620" w:hanging="181"/>
        <w:spacing w:after="0"/>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NewtekOne, Inc. (the “registrant”).</w:t>
      </w:r>
    </w:p>
    <w:p>
      <w:pPr>
        <w:spacing w:after="0" w:line="213" w:lineRule="exact"/>
        <w:rPr>
          <w:rFonts w:ascii="Times New Roman" w:cs="Times New Roman" w:eastAsia="Times New Roman" w:hAnsi="Times New Roman"/>
          <w:sz w:val="18"/>
          <w:szCs w:val="18"/>
          <w:color w:val="auto"/>
        </w:rPr>
      </w:pPr>
    </w:p>
    <w:p>
      <w:pPr>
        <w:ind w:right="440" w:firstLine="439"/>
        <w:spacing w:after="0" w:line="331" w:lineRule="auto"/>
        <w:tabs>
          <w:tab w:leader="none" w:pos="60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right="400" w:firstLine="439"/>
        <w:spacing w:after="0" w:line="268" w:lineRule="auto"/>
        <w:tabs>
          <w:tab w:leader="none" w:pos="60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68" w:lineRule="exact"/>
        <w:rPr>
          <w:rFonts w:ascii="Times New Roman" w:cs="Times New Roman" w:eastAsia="Times New Roman" w:hAnsi="Times New Roman"/>
          <w:sz w:val="18"/>
          <w:szCs w:val="18"/>
          <w:color w:val="auto"/>
        </w:rPr>
      </w:pPr>
    </w:p>
    <w:p>
      <w:pPr>
        <w:ind w:right="180" w:firstLine="439"/>
        <w:spacing w:after="0" w:line="256" w:lineRule="auto"/>
        <w:tabs>
          <w:tab w:leader="none" w:pos="60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Times New Roman" w:cs="Times New Roman" w:eastAsia="Times New Roman" w:hAnsi="Times New Roman"/>
          <w:sz w:val="18"/>
          <w:szCs w:val="18"/>
          <w:color w:val="auto"/>
        </w:rPr>
      </w:pPr>
    </w:p>
    <w:p>
      <w:pPr>
        <w:ind w:right="280" w:firstLine="873"/>
        <w:spacing w:after="0" w:line="256" w:lineRule="auto"/>
        <w:tabs>
          <w:tab w:leader="none" w:pos="104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Times New Roman" w:cs="Times New Roman" w:eastAsia="Times New Roman" w:hAnsi="Times New Roman"/>
          <w:sz w:val="18"/>
          <w:szCs w:val="18"/>
          <w:color w:val="auto"/>
        </w:rPr>
      </w:pPr>
    </w:p>
    <w:p>
      <w:pPr>
        <w:ind w:right="140" w:firstLine="873"/>
        <w:spacing w:after="0" w:line="256" w:lineRule="auto"/>
        <w:tabs>
          <w:tab w:leader="none" w:pos="105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780" w:firstLine="873"/>
        <w:spacing w:after="0" w:line="268" w:lineRule="auto"/>
        <w:tabs>
          <w:tab w:leader="none" w:pos="104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right="280" w:firstLine="873"/>
        <w:spacing w:after="0" w:line="256" w:lineRule="auto"/>
        <w:tabs>
          <w:tab w:leader="none" w:pos="105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8" w:lineRule="exact"/>
        <w:rPr>
          <w:rFonts w:ascii="Times New Roman" w:cs="Times New Roman" w:eastAsia="Times New Roman" w:hAnsi="Times New Roman"/>
          <w:sz w:val="18"/>
          <w:szCs w:val="18"/>
          <w:color w:val="auto"/>
        </w:rPr>
      </w:pPr>
    </w:p>
    <w:p>
      <w:pPr>
        <w:ind w:right="260" w:firstLine="439"/>
        <w:spacing w:after="0" w:line="268" w:lineRule="auto"/>
        <w:tabs>
          <w:tab w:leader="none" w:pos="60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right="200" w:firstLine="873"/>
        <w:spacing w:after="0" w:line="268" w:lineRule="auto"/>
        <w:tabs>
          <w:tab w:leader="none" w:pos="104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right="160" w:firstLine="873"/>
        <w:spacing w:after="0" w:line="268" w:lineRule="auto"/>
        <w:tabs>
          <w:tab w:leader="none" w:pos="105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20"/>
        <w:spacing w:after="0"/>
        <w:tabs>
          <w:tab w:leader="none" w:pos="7360" w:val="left"/>
          <w:tab w:leader="none" w:pos="772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13970</wp:posOffset>
            </wp:positionV>
            <wp:extent cx="3555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Barry Sloane</w:t>
      </w:r>
    </w:p>
    <w:p>
      <w:pPr>
        <w:spacing w:after="0" w:line="3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6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302 OF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M. DeMaria, certify that:</w:t>
      </w:r>
    </w:p>
    <w:p>
      <w:pPr>
        <w:spacing w:after="0" w:line="214" w:lineRule="exact"/>
        <w:rPr>
          <w:sz w:val="20"/>
          <w:szCs w:val="20"/>
          <w:color w:val="auto"/>
        </w:rPr>
      </w:pPr>
    </w:p>
    <w:p>
      <w:pPr>
        <w:ind w:left="620" w:hanging="181"/>
        <w:spacing w:after="0"/>
        <w:tabs>
          <w:tab w:leader="none" w:pos="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NewtekOne, Inc. (the “registrant”).</w:t>
      </w:r>
    </w:p>
    <w:p>
      <w:pPr>
        <w:spacing w:after="0" w:line="213" w:lineRule="exact"/>
        <w:rPr>
          <w:rFonts w:ascii="Times New Roman" w:cs="Times New Roman" w:eastAsia="Times New Roman" w:hAnsi="Times New Roman"/>
          <w:sz w:val="18"/>
          <w:szCs w:val="18"/>
          <w:color w:val="auto"/>
        </w:rPr>
      </w:pPr>
    </w:p>
    <w:p>
      <w:pPr>
        <w:ind w:right="40" w:firstLine="439"/>
        <w:spacing w:after="0" w:line="331" w:lineRule="auto"/>
        <w:tabs>
          <w:tab w:leader="none" w:pos="609"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3" w:lineRule="exact"/>
        <w:rPr>
          <w:rFonts w:ascii="Times New Roman" w:cs="Times New Roman" w:eastAsia="Times New Roman" w:hAnsi="Times New Roman"/>
          <w:sz w:val="16"/>
          <w:szCs w:val="16"/>
          <w:color w:val="auto"/>
        </w:rPr>
      </w:pPr>
    </w:p>
    <w:p>
      <w:pPr>
        <w:ind w:right="400" w:firstLine="439"/>
        <w:spacing w:after="0" w:line="268" w:lineRule="auto"/>
        <w:tabs>
          <w:tab w:leader="none" w:pos="60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right="180" w:firstLine="439"/>
        <w:spacing w:after="0" w:line="256" w:lineRule="auto"/>
        <w:tabs>
          <w:tab w:leader="none" w:pos="60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Times New Roman" w:cs="Times New Roman" w:eastAsia="Times New Roman" w:hAnsi="Times New Roman"/>
          <w:sz w:val="18"/>
          <w:szCs w:val="18"/>
          <w:color w:val="auto"/>
        </w:rPr>
      </w:pPr>
    </w:p>
    <w:p>
      <w:pPr>
        <w:ind w:right="280" w:firstLine="873"/>
        <w:spacing w:after="0" w:line="256" w:lineRule="auto"/>
        <w:tabs>
          <w:tab w:leader="none" w:pos="104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Times New Roman" w:cs="Times New Roman" w:eastAsia="Times New Roman" w:hAnsi="Times New Roman"/>
          <w:sz w:val="18"/>
          <w:szCs w:val="18"/>
          <w:color w:val="auto"/>
        </w:rPr>
      </w:pPr>
    </w:p>
    <w:p>
      <w:pPr>
        <w:ind w:right="140" w:firstLine="873"/>
        <w:spacing w:after="0" w:line="256" w:lineRule="auto"/>
        <w:tabs>
          <w:tab w:leader="none" w:pos="105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780" w:firstLine="873"/>
        <w:spacing w:after="0" w:line="268" w:lineRule="auto"/>
        <w:tabs>
          <w:tab w:leader="none" w:pos="104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right="280" w:firstLine="873"/>
        <w:spacing w:after="0" w:line="256" w:lineRule="auto"/>
        <w:tabs>
          <w:tab w:leader="none" w:pos="105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8" w:lineRule="exact"/>
        <w:rPr>
          <w:rFonts w:ascii="Times New Roman" w:cs="Times New Roman" w:eastAsia="Times New Roman" w:hAnsi="Times New Roman"/>
          <w:sz w:val="18"/>
          <w:szCs w:val="18"/>
          <w:color w:val="auto"/>
        </w:rPr>
      </w:pPr>
    </w:p>
    <w:p>
      <w:pPr>
        <w:ind w:right="260" w:firstLine="439"/>
        <w:spacing w:after="0" w:line="268" w:lineRule="auto"/>
        <w:tabs>
          <w:tab w:leader="none" w:pos="60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right="200" w:firstLine="873"/>
        <w:spacing w:after="0" w:line="268" w:lineRule="auto"/>
        <w:tabs>
          <w:tab w:leader="none" w:pos="104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right="160" w:firstLine="873"/>
        <w:spacing w:after="0" w:line="268" w:lineRule="auto"/>
        <w:tabs>
          <w:tab w:leader="none" w:pos="105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0" w:lineRule="exact"/>
        <w:rPr>
          <w:sz w:val="20"/>
          <w:szCs w:val="20"/>
          <w:color w:val="auto"/>
        </w:rPr>
      </w:pPr>
    </w:p>
    <w:p>
      <w:pPr>
        <w:ind w:left="20"/>
        <w:spacing w:after="0"/>
        <w:tabs>
          <w:tab w:leader="none" w:pos="7300" w:val="left"/>
          <w:tab w:leader="none" w:pos="772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FRANK M. D</w:t>
      </w:r>
      <w:r>
        <w:rPr>
          <w:rFonts w:ascii="Times New Roman" w:cs="Times New Roman" w:eastAsia="Times New Roman" w:hAnsi="Times New Roman"/>
          <w:sz w:val="13"/>
          <w:szCs w:val="13"/>
          <w:color w:val="auto"/>
        </w:rPr>
        <w:t>E</w:t>
      </w:r>
      <w:r>
        <w:rPr>
          <w:rFonts w:ascii="Times New Roman" w:cs="Times New Roman" w:eastAsia="Times New Roman" w:hAnsi="Times New Roman"/>
          <w:sz w:val="16"/>
          <w:szCs w:val="16"/>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22225</wp:posOffset>
            </wp:positionV>
            <wp:extent cx="35718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3571875" cy="8255"/>
                    </a:xfrm>
                    <a:prstGeom prst="rect">
                      <a:avLst/>
                    </a:prstGeom>
                    <a:noFill/>
                  </pic:spPr>
                </pic:pic>
              </a:graphicData>
            </a:graphic>
          </wp:anchor>
        </w:drawing>
      </w:r>
    </w:p>
    <w:p>
      <w:pPr>
        <w:spacing w:after="0" w:line="1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Frank M. DeMaria</w:t>
      </w:r>
    </w:p>
    <w:p>
      <w:pPr>
        <w:spacing w:after="0" w:line="3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1381"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2025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spacing w:after="0" w:line="179" w:lineRule="exact"/>
        <w:rPr>
          <w:sz w:val="20"/>
          <w:szCs w:val="20"/>
          <w:color w:val="auto"/>
        </w:rPr>
      </w:pPr>
    </w:p>
    <w:p>
      <w:pPr>
        <w:ind w:left="260" w:hanging="255"/>
        <w:spacing w:after="0"/>
        <w:tabs>
          <w:tab w:leader="none" w:pos="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3"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84" w:lineRule="exact"/>
        <w:rPr>
          <w:sz w:val="20"/>
          <w:szCs w:val="20"/>
          <w:color w:val="auto"/>
        </w:rPr>
      </w:pPr>
    </w:p>
    <w:p>
      <w:pPr>
        <w:ind w:left="20"/>
        <w:spacing w:after="0"/>
        <w:tabs>
          <w:tab w:leader="none" w:pos="7360" w:val="left"/>
          <w:tab w:leader="none" w:pos="772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13970</wp:posOffset>
            </wp:positionV>
            <wp:extent cx="3555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Barry Sloane,</w:t>
      </w:r>
    </w:p>
    <w:p>
      <w:pPr>
        <w:spacing w:after="0" w:line="3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68"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2"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2025 (the “Report”) of NewtekOne, Inc. (the “Company”), as filed with the Securities and Exchange Commission on the date hereof, I, Frank M. DeMaria, as Principal Financial Officer of the Company, hereby certify pursuant to 18 U.S.C. §1350, as adopted pursuant to §906 of the Sarbanes-Oxley Act of 2002, that, to the best of my knowledge:</w:t>
      </w:r>
    </w:p>
    <w:p>
      <w:pPr>
        <w:spacing w:after="0" w:line="179" w:lineRule="exact"/>
        <w:rPr>
          <w:sz w:val="20"/>
          <w:szCs w:val="20"/>
          <w:color w:val="auto"/>
        </w:rPr>
      </w:pPr>
    </w:p>
    <w:p>
      <w:pPr>
        <w:ind w:left="260" w:hanging="255"/>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3"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45" w:lineRule="exact"/>
        <w:rPr>
          <w:sz w:val="20"/>
          <w:szCs w:val="20"/>
          <w:color w:val="auto"/>
        </w:rPr>
      </w:pPr>
    </w:p>
    <w:p>
      <w:pPr>
        <w:ind w:left="20"/>
        <w:spacing w:after="0"/>
        <w:tabs>
          <w:tab w:leader="none" w:pos="7380" w:val="left"/>
          <w:tab w:leader="none" w:pos="776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FRANK M. D</w:t>
      </w:r>
      <w:r>
        <w:rPr>
          <w:rFonts w:ascii="Times New Roman" w:cs="Times New Roman" w:eastAsia="Times New Roman" w:hAnsi="Times New Roman"/>
          <w:sz w:val="13"/>
          <w:szCs w:val="13"/>
          <w:color w:val="auto"/>
        </w:rPr>
        <w:t>E</w:t>
      </w:r>
      <w:r>
        <w:rPr>
          <w:rFonts w:ascii="Times New Roman" w:cs="Times New Roman" w:eastAsia="Times New Roman" w:hAnsi="Times New Roman"/>
          <w:sz w:val="16"/>
          <w:szCs w:val="16"/>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22225</wp:posOffset>
            </wp:positionV>
            <wp:extent cx="35718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3571875" cy="8255"/>
                    </a:xfrm>
                    <a:prstGeom prst="rect">
                      <a:avLst/>
                    </a:prstGeom>
                    <a:noFill/>
                  </pic:spPr>
                </pic:pic>
              </a:graphicData>
            </a:graphic>
          </wp:anchor>
        </w:drawing>
      </w:r>
    </w:p>
    <w:p>
      <w:pPr>
        <w:spacing w:after="0" w:line="1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Frank M. DeMaria</w:t>
      </w:r>
    </w:p>
    <w:p>
      <w:pPr>
        <w:spacing w:after="0" w:line="3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13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1"/>
      <w:numFmt w:val="bullet"/>
      <w:start w:val="1"/>
    </w:lvl>
  </w:abstractNum>
  <w:abstractNum w:abstractNumId="2">
    <w:nsid w:val="2463B9EA"/>
    <w:multiLevelType w:val="hybridMultilevel"/>
    <w:lvl w:ilvl="0">
      <w:lvlJc w:val="left"/>
      <w:lvlText w:val="1"/>
      <w:numFmt w:val="bullet"/>
      <w:start w:val="1"/>
    </w:lvl>
  </w:abstractNum>
  <w:abstractNum w:abstractNumId="3">
    <w:nsid w:val="5E884ADC"/>
    <w:multiLevelType w:val="hybridMultilevel"/>
    <w:lvl w:ilvl="0">
      <w:lvlJc w:val="left"/>
      <w:lvlText w:val="2"/>
      <w:numFmt w:val="bullet"/>
      <w:start w:val="1"/>
    </w:lvl>
  </w:abstractNum>
  <w:abstractNum w:abstractNumId="4">
    <w:nsid w:val="51EAD36B"/>
    <w:multiLevelType w:val="hybridMultilevel"/>
    <w:lvl w:ilvl="0">
      <w:lvlJc w:val="left"/>
      <w:lvlText w:val="3"/>
      <w:numFmt w:val="bullet"/>
      <w:start w:val="1"/>
    </w:lvl>
  </w:abstractNum>
  <w:abstractNum w:abstractNumId="5">
    <w:nsid w:val="2D517796"/>
    <w:multiLevelType w:val="hybridMultilevel"/>
    <w:lvl w:ilvl="0">
      <w:lvlJc w:val="left"/>
      <w:lvlText w:val="1"/>
      <w:numFmt w:val="bullet"/>
      <w:start w:val="1"/>
    </w:lvl>
  </w:abstractNum>
  <w:abstractNum w:abstractNumId="6">
    <w:nsid w:val="580BD78F"/>
    <w:multiLevelType w:val="hybridMultilevel"/>
    <w:lvl w:ilvl="0">
      <w:lvlJc w:val="left"/>
      <w:lvlText w:val="2"/>
      <w:numFmt w:val="bullet"/>
      <w:start w:val="1"/>
    </w:lvl>
  </w:abstractNum>
  <w:abstractNum w:abstractNumId="7">
    <w:nsid w:val="153EA438"/>
    <w:multiLevelType w:val="hybridMultilevel"/>
    <w:lvl w:ilvl="0">
      <w:lvlJc w:val="left"/>
      <w:lvlText w:val="1"/>
      <w:numFmt w:val="bullet"/>
      <w:start w:val="1"/>
    </w:lvl>
  </w:abstractNum>
  <w:abstractNum w:abstractNumId="8">
    <w:nsid w:val="3855585C"/>
    <w:multiLevelType w:val="hybridMultilevel"/>
    <w:lvl w:ilvl="0">
      <w:lvlJc w:val="left"/>
      <w:lvlText w:val="1"/>
      <w:numFmt w:val="bullet"/>
      <w:start w:val="1"/>
    </w:lvl>
  </w:abstractNum>
  <w:abstractNum w:abstractNumId="9">
    <w:nsid w:val="70A64E2A"/>
    <w:multiLevelType w:val="hybridMultilevel"/>
    <w:lvl w:ilvl="0">
      <w:lvlJc w:val="left"/>
      <w:lvlText w:val="1"/>
      <w:numFmt w:val="bullet"/>
      <w:start w:val="1"/>
    </w:lvl>
  </w:abstractNum>
  <w:abstractNum w:abstractNumId="10">
    <w:nsid w:val="6A2342EC"/>
    <w:multiLevelType w:val="hybridMultilevel"/>
    <w:lvl w:ilvl="0">
      <w:lvlJc w:val="left"/>
      <w:lvlText w:val="1"/>
      <w:numFmt w:val="bullet"/>
      <w:start w:val="1"/>
    </w:lvl>
  </w:abstractNum>
  <w:abstractNum w:abstractNumId="11">
    <w:nsid w:val="2A487CB0"/>
    <w:multiLevelType w:val="hybridMultilevel"/>
    <w:lvl w:ilvl="0">
      <w:lvlJc w:val="left"/>
      <w:lvlText w:val="1"/>
      <w:numFmt w:val="bullet"/>
      <w:start w:val="1"/>
    </w:lvl>
  </w:abstractNum>
  <w:abstractNum w:abstractNumId="12">
    <w:nsid w:val="1D4ED43B"/>
    <w:multiLevelType w:val="hybridMultilevel"/>
    <w:lvl w:ilvl="0">
      <w:lvlJc w:val="left"/>
      <w:lvlText w:val="1"/>
      <w:numFmt w:val="bullet"/>
      <w:start w:val="1"/>
    </w:lvl>
  </w:abstractNum>
  <w:abstractNum w:abstractNumId="13">
    <w:nsid w:val="725A06FB"/>
    <w:multiLevelType w:val="hybridMultilevel"/>
    <w:lvl w:ilvl="0">
      <w:lvlJc w:val="left"/>
      <w:lvlText w:val="1"/>
      <w:numFmt w:val="bullet"/>
      <w:start w:val="1"/>
    </w:lvl>
  </w:abstractNum>
  <w:abstractNum w:abstractNumId="14">
    <w:nsid w:val="2CD89A32"/>
    <w:multiLevelType w:val="hybridMultilevel"/>
    <w:lvl w:ilvl="0">
      <w:lvlJc w:val="left"/>
      <w:lvlText w:val="1"/>
      <w:numFmt w:val="bullet"/>
      <w:start w:val="1"/>
    </w:lvl>
  </w:abstractNum>
  <w:abstractNum w:abstractNumId="15">
    <w:nsid w:val="57E4CCAF"/>
    <w:multiLevelType w:val="hybridMultilevel"/>
    <w:lvl w:ilvl="0">
      <w:lvlJc w:val="left"/>
      <w:lvlText w:val="2"/>
      <w:numFmt w:val="bullet"/>
      <w:start w:val="1"/>
    </w:lvl>
  </w:abstractNum>
  <w:abstractNum w:abstractNumId="16">
    <w:nsid w:val="7A6D8D3C"/>
    <w:multiLevelType w:val="hybridMultilevel"/>
    <w:lvl w:ilvl="0">
      <w:lvlJc w:val="left"/>
      <w:lvlText w:val="3"/>
      <w:numFmt w:val="bullet"/>
      <w:start w:val="1"/>
    </w:lvl>
  </w:abstractNum>
  <w:abstractNum w:abstractNumId="17">
    <w:nsid w:val="4B588F54"/>
    <w:multiLevelType w:val="hybridMultilevel"/>
    <w:lvl w:ilvl="0">
      <w:lvlJc w:val="left"/>
      <w:lvlText w:val="4"/>
      <w:numFmt w:val="bullet"/>
      <w:start w:val="1"/>
    </w:lvl>
  </w:abstractNum>
  <w:abstractNum w:abstractNumId="18">
    <w:nsid w:val="542289EC"/>
    <w:multiLevelType w:val="hybridMultilevel"/>
    <w:lvl w:ilvl="0">
      <w:lvlJc w:val="left"/>
      <w:lvlText w:val="5"/>
      <w:numFmt w:val="bullet"/>
      <w:start w:val="1"/>
    </w:lvl>
  </w:abstractNum>
  <w:abstractNum w:abstractNumId="19">
    <w:nsid w:val="6DE91B18"/>
    <w:multiLevelType w:val="hybridMultilevel"/>
    <w:lvl w:ilvl="0">
      <w:lvlJc w:val="left"/>
      <w:lvlText w:val="1"/>
      <w:numFmt w:val="bullet"/>
      <w:start w:val="1"/>
    </w:lvl>
  </w:abstractNum>
  <w:abstractNum w:abstractNumId="20">
    <w:nsid w:val="38437FDB"/>
    <w:multiLevelType w:val="hybridMultilevel"/>
    <w:lvl w:ilvl="0">
      <w:lvlJc w:val="left"/>
      <w:lvlText w:val="4"/>
      <w:numFmt w:val="bullet"/>
      <w:start w:val="1"/>
    </w:lvl>
  </w:abstractNum>
  <w:abstractNum w:abstractNumId="21">
    <w:nsid w:val="7644A45C"/>
    <w:multiLevelType w:val="hybridMultilevel"/>
    <w:lvl w:ilvl="0">
      <w:lvlJc w:val="left"/>
      <w:lvlText w:val="1"/>
      <w:numFmt w:val="bullet"/>
      <w:start w:val="1"/>
    </w:lvl>
  </w:abstractNum>
  <w:abstractNum w:abstractNumId="22">
    <w:nsid w:val="32FFF902"/>
    <w:multiLevelType w:val="hybridMultilevel"/>
    <w:lvl w:ilvl="0">
      <w:lvlJc w:val="left"/>
      <w:lvlText w:val="3"/>
      <w:numFmt w:val="bullet"/>
      <w:start w:val="1"/>
    </w:lvl>
  </w:abstractNum>
  <w:abstractNum w:abstractNumId="23">
    <w:nsid w:val="684A481A"/>
    <w:multiLevelType w:val="hybridMultilevel"/>
    <w:lvl w:ilvl="0">
      <w:lvlJc w:val="left"/>
      <w:lvlText w:val="4"/>
      <w:numFmt w:val="bullet"/>
      <w:start w:val="1"/>
    </w:lvl>
  </w:abstractNum>
  <w:abstractNum w:abstractNumId="24">
    <w:nsid w:val="579478FE"/>
    <w:multiLevelType w:val="hybridMultilevel"/>
    <w:lvl w:ilvl="0">
      <w:lvlJc w:val="left"/>
      <w:lvlText w:val="5"/>
      <w:numFmt w:val="bullet"/>
      <w:start w:val="1"/>
    </w:lvl>
  </w:abstractNum>
  <w:abstractNum w:abstractNumId="25">
    <w:nsid w:val="749ABB43"/>
    <w:multiLevelType w:val="hybridMultilevel"/>
    <w:lvl w:ilvl="0">
      <w:lvlJc w:val="left"/>
      <w:lvlText w:val="1"/>
      <w:numFmt w:val="bullet"/>
      <w:start w:val="1"/>
    </w:lvl>
  </w:abstractNum>
  <w:abstractNum w:abstractNumId="26">
    <w:nsid w:val="3DC240FB"/>
    <w:multiLevelType w:val="hybridMultilevel"/>
    <w:lvl w:ilvl="0">
      <w:lvlJc w:val="left"/>
      <w:lvlText w:val="1"/>
      <w:numFmt w:val="bullet"/>
      <w:start w:val="1"/>
    </w:lvl>
  </w:abstractNum>
  <w:abstractNum w:abstractNumId="27">
    <w:nsid w:val="1BA026FA"/>
    <w:multiLevelType w:val="hybridMultilevel"/>
    <w:lvl w:ilvl="0">
      <w:lvlJc w:val="left"/>
      <w:lvlText w:val="2"/>
      <w:numFmt w:val="bullet"/>
      <w:start w:val="1"/>
    </w:lvl>
  </w:abstractNum>
  <w:abstractNum w:abstractNumId="28">
    <w:nsid w:val="79A1DEAA"/>
    <w:multiLevelType w:val="hybridMultilevel"/>
    <w:lvl w:ilvl="0">
      <w:lvlJc w:val="left"/>
      <w:lvlText w:val="3"/>
      <w:numFmt w:val="bullet"/>
      <w:start w:val="1"/>
    </w:lvl>
  </w:abstractNum>
  <w:abstractNum w:abstractNumId="29">
    <w:nsid w:val="75C6C33A"/>
    <w:multiLevelType w:val="hybridMultilevel"/>
    <w:lvl w:ilvl="0">
      <w:lvlJc w:val="left"/>
      <w:lvlText w:val="4"/>
      <w:numFmt w:val="bullet"/>
      <w:start w:val="1"/>
    </w:lvl>
  </w:abstractNum>
  <w:abstractNum w:abstractNumId="30">
    <w:nsid w:val="12E685FB"/>
    <w:multiLevelType w:val="hybridMultilevel"/>
    <w:lvl w:ilvl="0">
      <w:lvlJc w:val="left"/>
      <w:lvlText w:val="5"/>
      <w:numFmt w:val="bullet"/>
      <w:start w:val="1"/>
    </w:lvl>
  </w:abstractNum>
  <w:abstractNum w:abstractNumId="31">
    <w:nsid w:val="70C6A529"/>
    <w:multiLevelType w:val="hybridMultilevel"/>
    <w:lvl w:ilvl="0">
      <w:lvlJc w:val="left"/>
      <w:lvlText w:val="6"/>
      <w:numFmt w:val="bullet"/>
      <w:start w:val="1"/>
    </w:lvl>
  </w:abstractNum>
  <w:abstractNum w:abstractNumId="32">
    <w:nsid w:val="520EEDD1"/>
    <w:multiLevelType w:val="hybridMultilevel"/>
    <w:lvl w:ilvl="0">
      <w:lvlJc w:val="left"/>
      <w:lvlText w:val="1"/>
      <w:numFmt w:val="bullet"/>
      <w:start w:val="1"/>
    </w:lvl>
  </w:abstractNum>
  <w:abstractNum w:abstractNumId="33">
    <w:nsid w:val="374A3FE6"/>
    <w:multiLevelType w:val="hybridMultilevel"/>
    <w:lvl w:ilvl="0">
      <w:lvlJc w:val="left"/>
      <w:lvlText w:val="2"/>
      <w:numFmt w:val="bullet"/>
      <w:start w:val="1"/>
    </w:lvl>
  </w:abstractNum>
  <w:abstractNum w:abstractNumId="34">
    <w:nsid w:val="4F4EF005"/>
    <w:multiLevelType w:val="hybridMultilevel"/>
    <w:lvl w:ilvl="0">
      <w:lvlJc w:val="left"/>
      <w:lvlText w:val="3"/>
      <w:numFmt w:val="bullet"/>
      <w:start w:val="1"/>
    </w:lvl>
  </w:abstractNum>
  <w:abstractNum w:abstractNumId="35">
    <w:nsid w:val="23F9C13C"/>
    <w:multiLevelType w:val="hybridMultilevel"/>
    <w:lvl w:ilvl="0">
      <w:lvlJc w:val="left"/>
      <w:lvlText w:val="1"/>
      <w:numFmt w:val="bullet"/>
      <w:start w:val="1"/>
    </w:lvl>
  </w:abstractNum>
  <w:abstractNum w:abstractNumId="36">
    <w:nsid w:val="649BB77C"/>
    <w:multiLevelType w:val="hybridMultilevel"/>
    <w:lvl w:ilvl="0">
      <w:lvlJc w:val="left"/>
      <w:lvlText w:val="1"/>
      <w:numFmt w:val="bullet"/>
      <w:start w:val="1"/>
    </w:lvl>
  </w:abstractNum>
  <w:abstractNum w:abstractNumId="37">
    <w:nsid w:val="275AC794"/>
    <w:multiLevelType w:val="hybridMultilevel"/>
    <w:lvl w:ilvl="0">
      <w:lvlJc w:val="left"/>
      <w:lvlText w:val="2"/>
      <w:numFmt w:val="bullet"/>
      <w:start w:val="1"/>
    </w:lvl>
  </w:abstractNum>
  <w:abstractNum w:abstractNumId="38">
    <w:nsid w:val="39386575"/>
    <w:multiLevelType w:val="hybridMultilevel"/>
    <w:lvl w:ilvl="0">
      <w:lvlJc w:val="left"/>
      <w:lvlText w:val="1"/>
      <w:numFmt w:val="bullet"/>
      <w:start w:val="1"/>
    </w:lvl>
  </w:abstractNum>
  <w:abstractNum w:abstractNumId="39">
    <w:nsid w:val="1CF10FD8"/>
    <w:multiLevelType w:val="hybridMultilevel"/>
    <w:lvl w:ilvl="0">
      <w:lvlJc w:val="left"/>
      <w:lvlText w:val="2"/>
      <w:numFmt w:val="bullet"/>
      <w:start w:val="1"/>
    </w:lvl>
  </w:abstractNum>
  <w:abstractNum w:abstractNumId="40">
    <w:nsid w:val="180115BE"/>
    <w:multiLevelType w:val="hybridMultilevel"/>
    <w:lvl w:ilvl="0">
      <w:lvlJc w:val="left"/>
      <w:lvlText w:val="3"/>
      <w:numFmt w:val="bullet"/>
      <w:start w:val="1"/>
    </w:lvl>
  </w:abstractNum>
  <w:abstractNum w:abstractNumId="41">
    <w:nsid w:val="235BA861"/>
    <w:multiLevelType w:val="hybridMultilevel"/>
    <w:lvl w:ilvl="0">
      <w:lvlJc w:val="left"/>
      <w:lvlText w:val="4"/>
      <w:numFmt w:val="bullet"/>
      <w:start w:val="1"/>
    </w:lvl>
  </w:abstractNum>
  <w:abstractNum w:abstractNumId="42">
    <w:nsid w:val="47398C89"/>
    <w:multiLevelType w:val="hybridMultilevel"/>
    <w:lvl w:ilvl="0">
      <w:lvlJc w:val="left"/>
      <w:lvlText w:val="1"/>
      <w:numFmt w:val="bullet"/>
      <w:start w:val="1"/>
    </w:lvl>
  </w:abstractNum>
  <w:abstractNum w:abstractNumId="43">
    <w:nsid w:val="354FE9F9"/>
    <w:multiLevelType w:val="hybridMultilevel"/>
    <w:lvl w:ilvl="0">
      <w:lvlJc w:val="left"/>
      <w:lvlText w:val="\endash "/>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upperLetter"/>
      <w:start w:val="68"/>
    </w:lvl>
  </w:abstractNum>
  <w:abstractNum w:abstractNumId="47">
    <w:nsid w:val="10233C99"/>
    <w:multiLevelType w:val="hybridMultilevel"/>
    <w:lvl w:ilvl="0">
      <w:lvlJc w:val="left"/>
      <w:lvlText w:val="1"/>
      <w:numFmt w:val="bullet"/>
      <w:start w:val="1"/>
    </w:lvl>
  </w:abstractNum>
  <w:abstractNum w:abstractNumId="48">
    <w:nsid w:val="3F6AB60F"/>
    <w:multiLevelType w:val="hybridMultilevel"/>
    <w:lvl w:ilvl="0">
      <w:lvlJc w:val="left"/>
      <w:lvlText w:val="1"/>
      <w:numFmt w:val="bullet"/>
      <w:start w:val="1"/>
    </w:lvl>
  </w:abstractNum>
  <w:abstractNum w:abstractNumId="49">
    <w:nsid w:val="61574095"/>
    <w:multiLevelType w:val="hybridMultilevel"/>
    <w:lvl w:ilvl="0">
      <w:lvlJc w:val="left"/>
      <w:lvlText w:val="1"/>
      <w:numFmt w:val="bullet"/>
      <w:start w:val="1"/>
    </w:lvl>
  </w:abstractNum>
  <w:abstractNum w:abstractNumId="50">
    <w:nsid w:val="7E0C57B1"/>
    <w:multiLevelType w:val="hybridMultilevel"/>
    <w:lvl w:ilvl="0">
      <w:lvlJc w:val="left"/>
      <w:lvlText w:val="1"/>
      <w:numFmt w:val="bullet"/>
      <w:start w:val="1"/>
    </w:lvl>
  </w:abstractNum>
  <w:abstractNum w:abstractNumId="51">
    <w:nsid w:val="77AE35EB"/>
    <w:multiLevelType w:val="hybridMultilevel"/>
    <w:lvl w:ilvl="0">
      <w:lvlJc w:val="left"/>
      <w:lvlText w:val="2"/>
      <w:numFmt w:val="bullet"/>
      <w:start w:val="1"/>
    </w:lvl>
  </w:abstractNum>
  <w:abstractNum w:abstractNumId="52">
    <w:nsid w:val="579BE4F1"/>
    <w:multiLevelType w:val="hybridMultilevel"/>
    <w:lvl w:ilvl="0">
      <w:lvlJc w:val="left"/>
      <w:lvlText w:val="3"/>
      <w:numFmt w:val="bullet"/>
      <w:start w:val="1"/>
    </w:lvl>
  </w:abstractNum>
  <w:abstractNum w:abstractNumId="53">
    <w:nsid w:val="310C50B3"/>
    <w:multiLevelType w:val="hybridMultilevel"/>
    <w:lvl w:ilvl="0">
      <w:lvlJc w:val="left"/>
      <w:lvlText w:val="4"/>
      <w:numFmt w:val="bullet"/>
      <w:start w:val="1"/>
    </w:lvl>
  </w:abstractNum>
  <w:abstractNum w:abstractNumId="54">
    <w:nsid w:val="5FF87E05"/>
    <w:multiLevelType w:val="hybridMultilevel"/>
    <w:lvl w:ilvl="0">
      <w:lvlJc w:val="left"/>
      <w:lvlText w:val="5"/>
      <w:numFmt w:val="bullet"/>
      <w:start w:val="1"/>
    </w:lvl>
  </w:abstractNum>
  <w:abstractNum w:abstractNumId="55">
    <w:nsid w:val="2F305DEF"/>
    <w:multiLevelType w:val="hybridMultilevel"/>
    <w:lvl w:ilvl="0">
      <w:lvlJc w:val="left"/>
      <w:lvlText w:val="6"/>
      <w:numFmt w:val="bullet"/>
      <w:start w:val="1"/>
    </w:lvl>
  </w:abstractNum>
  <w:abstractNum w:abstractNumId="56">
    <w:nsid w:val="25A70BF7"/>
    <w:multiLevelType w:val="hybridMultilevel"/>
    <w:lvl w:ilvl="0">
      <w:lvlJc w:val="left"/>
      <w:lvlText w:val="1"/>
      <w:numFmt w:val="bullet"/>
      <w:start w:val="1"/>
    </w:lvl>
  </w:abstractNum>
  <w:abstractNum w:abstractNumId="57">
    <w:nsid w:val="1DBABF00"/>
    <w:multiLevelType w:val="hybridMultilevel"/>
    <w:lvl w:ilvl="0">
      <w:lvlJc w:val="left"/>
      <w:lvlText w:val="1"/>
      <w:numFmt w:val="bullet"/>
      <w:start w:val="1"/>
    </w:lvl>
  </w:abstractNum>
  <w:abstractNum w:abstractNumId="58">
    <w:nsid w:val="4AD084E9"/>
    <w:multiLevelType w:val="hybridMultilevel"/>
    <w:lvl w:ilvl="0">
      <w:lvlJc w:val="left"/>
      <w:lvlText w:val="1"/>
      <w:numFmt w:val="bullet"/>
      <w:start w:val="1"/>
    </w:lvl>
  </w:abstractNum>
  <w:abstractNum w:abstractNumId="59">
    <w:nsid w:val="1F48EAA1"/>
    <w:multiLevelType w:val="hybridMultilevel"/>
    <w:lvl w:ilvl="0">
      <w:lvlJc w:val="left"/>
      <w:lvlText w:val="1"/>
      <w:numFmt w:val="bullet"/>
      <w:start w:val="1"/>
    </w:lvl>
  </w:abstractNum>
  <w:abstractNum w:abstractNumId="60">
    <w:nsid w:val="1381823A"/>
    <w:multiLevelType w:val="hybridMultilevel"/>
    <w:lvl w:ilvl="0">
      <w:lvlJc w:val="left"/>
      <w:lvlText w:val="1"/>
      <w:numFmt w:val="bullet"/>
      <w:start w:val="1"/>
    </w:lvl>
  </w:abstractNum>
  <w:abstractNum w:abstractNumId="61">
    <w:nsid w:val="5DB70AE5"/>
    <w:multiLevelType w:val="hybridMultilevel"/>
    <w:lvl w:ilvl="0">
      <w:lvlJc w:val="left"/>
      <w:lvlText w:val="1"/>
      <w:numFmt w:val="bullet"/>
      <w:start w:val="1"/>
    </w:lvl>
  </w:abstractNum>
  <w:abstractNum w:abstractNumId="62">
    <w:nsid w:val="100F8FCA"/>
    <w:multiLevelType w:val="hybridMultilevel"/>
    <w:lvl w:ilvl="0">
      <w:lvlJc w:val="left"/>
      <w:lvlText w:val="1"/>
      <w:numFmt w:val="bullet"/>
      <w:start w:val="1"/>
    </w:lvl>
  </w:abstractNum>
  <w:abstractNum w:abstractNumId="63">
    <w:nsid w:val="6590700B"/>
    <w:multiLevelType w:val="hybridMultilevel"/>
    <w:lvl w:ilvl="0">
      <w:lvlJc w:val="left"/>
      <w:lvlText w:val="1"/>
      <w:numFmt w:val="bullet"/>
      <w:start w:val="1"/>
    </w:lvl>
  </w:abstractNum>
  <w:abstractNum w:abstractNumId="64">
    <w:nsid w:val="15014ACB"/>
    <w:multiLevelType w:val="hybridMultilevel"/>
    <w:lvl w:ilvl="0">
      <w:lvlJc w:val="left"/>
      <w:lvlText w:val="2"/>
      <w:numFmt w:val="bullet"/>
      <w:start w:val="1"/>
    </w:lvl>
  </w:abstractNum>
  <w:abstractNum w:abstractNumId="65">
    <w:nsid w:val="5F5E7FD0"/>
    <w:multiLevelType w:val="hybridMultilevel"/>
    <w:lvl w:ilvl="0">
      <w:lvlJc w:val="left"/>
      <w:lvlText w:val="3"/>
      <w:numFmt w:val="bullet"/>
      <w:start w:val="1"/>
    </w:lvl>
  </w:abstractNum>
  <w:abstractNum w:abstractNumId="66">
    <w:nsid w:val="98A3148"/>
    <w:multiLevelType w:val="hybridMultilevel"/>
    <w:lvl w:ilvl="0">
      <w:lvlJc w:val="left"/>
      <w:lvlText w:val="4"/>
      <w:numFmt w:val="bullet"/>
      <w:start w:val="1"/>
    </w:lvl>
  </w:abstractNum>
  <w:abstractNum w:abstractNumId="67">
    <w:nsid w:val="799D0247"/>
    <w:multiLevelType w:val="hybridMultilevel"/>
    <w:lvl w:ilvl="0">
      <w:lvlJc w:val="left"/>
      <w:lvlText w:val="%1"/>
      <w:numFmt w:val="decimal"/>
      <w:start w:val="101"/>
    </w:lvl>
  </w:abstractNum>
  <w:abstractNum w:abstractNumId="68">
    <w:nsid w:val="6B94764"/>
    <w:multiLevelType w:val="hybridMultilevel"/>
    <w:lvl w:ilvl="0">
      <w:lvlJc w:val="left"/>
      <w:lvlText w:val="*"/>
      <w:numFmt w:val="bullet"/>
      <w:start w:val="1"/>
    </w:lvl>
    <w:lvl w:ilvl="1">
      <w:lvlJc w:val="left"/>
      <w:lvlText w:val="%2"/>
      <w:numFmt w:val="decimal"/>
      <w:start w:val="104"/>
    </w:lvl>
  </w:abstractNum>
  <w:abstractNum w:abstractNumId="69">
    <w:nsid w:val="42C296BD"/>
    <w:multiLevelType w:val="hybridMultilevel"/>
    <w:lvl w:ilvl="0">
      <w:lvlJc w:val="left"/>
      <w:lvlText w:val="**"/>
      <w:numFmt w:val="bullet"/>
      <w:start w:val="1"/>
    </w:lvl>
    <w:lvl w:ilvl="1">
      <w:lvlJc w:val="left"/>
      <w:lvlText w:val="%2"/>
      <w:numFmt w:val="decimal"/>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59" Type="http://schemas.openxmlformats.org/officeDocument/2006/relationships/hyperlink" Target="https://www.sec.gov/Archives/edgar/data/1587987/000119312514394101/d804521dex99a.htm" TargetMode="External"/><Relationship Id="rId160" Type="http://schemas.openxmlformats.org/officeDocument/2006/relationships/hyperlink" Target="https://www.sec.gov/Archives/edgar/data/1587987/000158798723000021/bylaws-01132023.htm" TargetMode="External"/><Relationship Id="rId161" Type="http://schemas.openxmlformats.org/officeDocument/2006/relationships/hyperlink" Target="https://www.sec.gov/ix?doc=/Archives/edgar/data/0001587987/000158798723000014/newt-20230117.htm" TargetMode="External"/><Relationship Id="rId162" Type="http://schemas.openxmlformats.org/officeDocument/2006/relationships/hyperlink" Target="https://www.sec.gov/Archives/edgar/data/1587987/000158798725000157/exhibit31.htm" TargetMode="External"/><Relationship Id="rId163" Type="http://schemas.openxmlformats.org/officeDocument/2006/relationships/hyperlink" Target="https://www.sec.gov/Archives/edgar/data/1587987/000158798725000169/newtekone-september2025a.htm" TargetMode="External"/><Relationship Id="rId164" Type="http://schemas.openxmlformats.org/officeDocument/2006/relationships/hyperlink" Target="https://www.sec.gov/ix?doc=/Archives/edgar/data/1587987/000158798724000135/newt-202406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2025-11-07T13:54:07Z</dcterms:created>
  <dcterms:modified xsi:type="dcterms:W3CDTF">2025-11-07T13:54:07Z</dcterms:modified>
</cp:coreProperties>
</file>