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ANNUAL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fiscal year ended December 31, 2023</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1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3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21"/>
        </w:trPr>
        <w:tc>
          <w:tcPr>
            <w:tcW w:w="5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5.75% Notes due 2024</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NEWTL</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NEWTZ</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bl>
    <w:p>
      <w:pPr>
        <w:spacing w:after="0" w:line="273" w:lineRule="exact"/>
        <w:rPr>
          <w:sz w:val="24"/>
          <w:szCs w:val="24"/>
          <w:color w:val="auto"/>
        </w:rPr>
      </w:pPr>
    </w:p>
    <w:p>
      <w:pPr>
        <w:spacing w:after="0" w:line="161" w:lineRule="exact"/>
        <w:tabs>
          <w:tab w:leader="none" w:pos="676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p>
      <w:pPr>
        <w:spacing w:after="0" w:line="169" w:lineRule="exact"/>
        <w:rPr>
          <w:sz w:val="24"/>
          <w:szCs w:val="24"/>
          <w:color w:val="auto"/>
        </w:rPr>
      </w:pPr>
    </w:p>
    <w:p>
      <w:pPr>
        <w:spacing w:after="0" w:line="161" w:lineRule="exact"/>
        <w:tabs>
          <w:tab w:leader="none" w:pos="642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p>
      <w:pPr>
        <w:spacing w:after="0" w:line="5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p>
      <w:pPr>
        <w:spacing w:after="0" w:line="18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 w:name="page2"/>
    <w:bookmarkEnd w:id="1"/>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145" w:lineRule="exact"/>
        <w:rPr>
          <w:sz w:val="20"/>
          <w:szCs w:val="20"/>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0"/>
          <w:szCs w:val="20"/>
          <w:color w:val="auto"/>
        </w:rPr>
      </w:pPr>
    </w:p>
    <w:p>
      <w:pPr>
        <w:spacing w:after="0" w:line="161" w:lineRule="exact"/>
        <w:tabs>
          <w:tab w:leader="none" w:pos="6540" w:val="left"/>
          <w:tab w:leader="none" w:pos="7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99" w:lineRule="exact"/>
        <w:rPr>
          <w:sz w:val="20"/>
          <w:szCs w:val="20"/>
          <w:color w:val="auto"/>
        </w:rPr>
      </w:pPr>
    </w:p>
    <w:p>
      <w:pPr>
        <w:ind w:right="340"/>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4" w:lineRule="exact"/>
        <w:rPr>
          <w:sz w:val="20"/>
          <w:szCs w:val="20"/>
          <w:color w:val="auto"/>
        </w:rPr>
      </w:pPr>
    </w:p>
    <w:p>
      <w:pPr>
        <w:ind w:right="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$365.7 million as of the last business day of the registrant’s second fiscal quarter of 2023, based on a closing price on that date of $15.90 on the Nasdaq Global Market. For the purposes of calculating this amount only, all directors and executive officers of the Registrant have been treated as affiliates.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28, 2024, there were 24,708,771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20" w:type="dxa"/>
            <w:vAlign w:val="bottom"/>
            <w:gridSpan w:val="14"/>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13"/>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13"/>
        </w:trPr>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10"/>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w:t>
            </w:r>
          </w:p>
        </w:tc>
        <w:tc>
          <w:tcPr>
            <w:tcW w:w="300" w:type="dxa"/>
            <w:vAlign w:val="bottom"/>
          </w:tcPr>
          <w:p>
            <w:pPr>
              <w:spacing w:after="0"/>
              <w:rPr>
                <w:sz w:val="17"/>
                <w:szCs w:val="17"/>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4360" w:type="dxa"/>
            <w:vAlign w:val="bottom"/>
            <w:gridSpan w:val="21"/>
          </w:tcPr>
          <w:p>
            <w:pPr>
              <w:spacing w:after="0"/>
              <w:rPr>
                <w:sz w:val="17"/>
                <w:szCs w:val="17"/>
                <w:color w:val="auto"/>
              </w:rPr>
            </w:pPr>
          </w:p>
        </w:tc>
        <w:tc>
          <w:tcPr>
            <w:tcW w:w="460" w:type="dxa"/>
            <w:vAlign w:val="bottom"/>
            <w:tcBorders>
              <w:top w:val="single" w:sz="8" w:color="0000FF"/>
            </w:tcBorders>
            <w:gridSpan w:val="3"/>
          </w:tcPr>
          <w:p>
            <w:pPr>
              <w:spacing w:after="0"/>
              <w:rPr>
                <w:sz w:val="17"/>
                <w:szCs w:val="17"/>
                <w:color w:val="auto"/>
              </w:rPr>
            </w:pPr>
          </w:p>
        </w:tc>
        <w:tc>
          <w:tcPr>
            <w:tcW w:w="4920" w:type="dxa"/>
            <w:vAlign w:val="bottom"/>
            <w:gridSpan w:val="6"/>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1A.</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36</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1B.</w:t>
            </w:r>
          </w:p>
        </w:tc>
        <w:tc>
          <w:tcPr>
            <w:tcW w:w="1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8640" w:type="dxa"/>
            <w:vAlign w:val="bottom"/>
            <w:gridSpan w:val="19"/>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72</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E32E1"/>
              </w:rPr>
              <w:t>1C.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E32E1"/>
              </w:rPr>
              <w:t>Cybersecurity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65</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2.</w:t>
            </w:r>
          </w:p>
        </w:tc>
        <w:tc>
          <w:tcPr>
            <w:tcW w:w="300" w:type="dxa"/>
            <w:vAlign w:val="bottom"/>
          </w:tcPr>
          <w:p>
            <w:pPr>
              <w:spacing w:after="0"/>
              <w:rPr>
                <w:sz w:val="17"/>
                <w:szCs w:val="17"/>
                <w:color w:val="auto"/>
              </w:rPr>
            </w:pPr>
          </w:p>
        </w:tc>
        <w:tc>
          <w:tcPr>
            <w:tcW w:w="800" w:type="dxa"/>
            <w:vAlign w:val="bottom"/>
            <w:tcBorders>
              <w:top w:val="single" w:sz="8" w:color="0E32E1"/>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9460" w:type="dxa"/>
            <w:vAlign w:val="bottom"/>
            <w:gridSpan w:val="26"/>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75</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3.</w:t>
            </w:r>
          </w:p>
        </w:tc>
        <w:tc>
          <w:tcPr>
            <w:tcW w:w="300" w:type="dxa"/>
            <w:vAlign w:val="bottom"/>
          </w:tcPr>
          <w:p>
            <w:pPr>
              <w:spacing w:after="0"/>
              <w:rPr>
                <w:sz w:val="17"/>
                <w:szCs w:val="17"/>
                <w:color w:val="auto"/>
              </w:rPr>
            </w:pP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9200" w:type="dxa"/>
            <w:vAlign w:val="bottom"/>
            <w:gridSpan w:val="23"/>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75</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4.</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75</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10"/>
          </w:tcPr>
          <w:p>
            <w:pPr>
              <w:jc w:val="center"/>
              <w:ind w:right="490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5.</w:t>
            </w:r>
          </w:p>
        </w:tc>
        <w:tc>
          <w:tcPr>
            <w:tcW w:w="300" w:type="dxa"/>
            <w:vAlign w:val="bottom"/>
          </w:tcPr>
          <w:p>
            <w:pPr>
              <w:spacing w:after="0"/>
              <w:rPr>
                <w:sz w:val="17"/>
                <w:szCs w:val="17"/>
                <w:color w:val="auto"/>
              </w:rPr>
            </w:pPr>
          </w:p>
        </w:tc>
        <w:tc>
          <w:tcPr>
            <w:tcW w:w="67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and Related Stockholder Matters and Issuer Purchases of Equity Securities</w:t>
            </w:r>
          </w:p>
        </w:tc>
        <w:tc>
          <w:tcPr>
            <w:tcW w:w="34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76</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6.</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[Reserved]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78</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7.</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7A.</w:t>
            </w:r>
          </w:p>
        </w:tc>
        <w:tc>
          <w:tcPr>
            <w:tcW w:w="34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6"/>
          </w:tcPr>
          <w:p>
            <w:pPr>
              <w:spacing w:after="0"/>
              <w:rPr>
                <w:sz w:val="17"/>
                <w:szCs w:val="17"/>
                <w:color w:val="auto"/>
              </w:rPr>
            </w:pPr>
          </w:p>
        </w:tc>
        <w:tc>
          <w:tcPr>
            <w:tcW w:w="5180" w:type="dxa"/>
            <w:vAlign w:val="bottom"/>
            <w:gridSpan w:val="8"/>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105</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8.</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Consolidated Financial Statements and Supplementary Data</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107</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9.</w:t>
            </w:r>
          </w:p>
        </w:tc>
        <w:tc>
          <w:tcPr>
            <w:tcW w:w="300" w:type="dxa"/>
            <w:vAlign w:val="bottom"/>
          </w:tcPr>
          <w:p>
            <w:pPr>
              <w:spacing w:after="0"/>
              <w:rPr>
                <w:sz w:val="17"/>
                <w:szCs w:val="17"/>
                <w:color w:val="auto"/>
              </w:rPr>
            </w:pPr>
          </w:p>
        </w:tc>
        <w:tc>
          <w:tcPr>
            <w:tcW w:w="5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160" w:type="dxa"/>
            <w:vAlign w:val="bottom"/>
            <w:gridSpan w:val="7"/>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9A.</w:t>
            </w: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860" w:type="dxa"/>
            <w:vAlign w:val="bottom"/>
            <w:gridSpan w:val="21"/>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9B.</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5880" w:type="dxa"/>
            <w:vAlign w:val="bottom"/>
            <w:gridSpan w:val="12"/>
          </w:tcPr>
          <w:p>
            <w:pPr>
              <w:jc w:val="center"/>
              <w:ind w:right="444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10.</w:t>
            </w:r>
          </w:p>
        </w:tc>
        <w:tc>
          <w:tcPr>
            <w:tcW w:w="300" w:type="dxa"/>
            <w:vAlign w:val="bottom"/>
          </w:tcPr>
          <w:p>
            <w:pPr>
              <w:spacing w:after="0"/>
              <w:rPr>
                <w:sz w:val="17"/>
                <w:szCs w:val="17"/>
                <w:color w:val="auto"/>
              </w:rPr>
            </w:pPr>
          </w:p>
        </w:tc>
        <w:tc>
          <w:tcPr>
            <w:tcW w:w="4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80" w:type="dxa"/>
            <w:vAlign w:val="bottom"/>
            <w:tcBorders>
              <w:top w:val="single" w:sz="8" w:color="0000FF"/>
            </w:tcBorders>
            <w:gridSpan w:val="8"/>
          </w:tcPr>
          <w:p>
            <w:pPr>
              <w:spacing w:after="0"/>
              <w:rPr>
                <w:sz w:val="17"/>
                <w:szCs w:val="17"/>
                <w:color w:val="auto"/>
              </w:rPr>
            </w:pPr>
          </w:p>
        </w:tc>
        <w:tc>
          <w:tcPr>
            <w:tcW w:w="4860" w:type="dxa"/>
            <w:vAlign w:val="bottom"/>
            <w:gridSpan w:val="3"/>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11.</w:t>
            </w:r>
          </w:p>
        </w:tc>
        <w:tc>
          <w:tcPr>
            <w:tcW w:w="300" w:type="dxa"/>
            <w:vAlign w:val="bottom"/>
          </w:tcPr>
          <w:p>
            <w:pPr>
              <w:spacing w:after="0"/>
              <w:rPr>
                <w:sz w:val="17"/>
                <w:szCs w:val="17"/>
                <w:color w:val="auto"/>
              </w:rPr>
            </w:pPr>
          </w:p>
        </w:tc>
        <w:tc>
          <w:tcPr>
            <w:tcW w:w="32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7040" w:type="dxa"/>
            <w:vAlign w:val="bottom"/>
            <w:gridSpan w:val="16"/>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12.</w:t>
            </w:r>
          </w:p>
        </w:tc>
        <w:tc>
          <w:tcPr>
            <w:tcW w:w="300" w:type="dxa"/>
            <w:vAlign w:val="bottom"/>
          </w:tcPr>
          <w:p>
            <w:pPr>
              <w:spacing w:after="0"/>
              <w:rPr>
                <w:sz w:val="17"/>
                <w:szCs w:val="17"/>
                <w:color w:val="auto"/>
              </w:rPr>
            </w:pPr>
          </w:p>
        </w:tc>
        <w:tc>
          <w:tcPr>
            <w:tcW w:w="57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4520" w:type="dxa"/>
            <w:vAlign w:val="bottom"/>
            <w:gridSpan w:val="2"/>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13.</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Certain Relationships, Related Party Transactions and Director Independence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14.</w:t>
            </w:r>
          </w:p>
        </w:tc>
        <w:tc>
          <w:tcPr>
            <w:tcW w:w="300" w:type="dxa"/>
            <w:vAlign w:val="bottom"/>
          </w:tcPr>
          <w:p>
            <w:pPr>
              <w:spacing w:after="0"/>
              <w:rPr>
                <w:sz w:val="17"/>
                <w:szCs w:val="17"/>
                <w:color w:val="auto"/>
              </w:rPr>
            </w:pPr>
          </w:p>
        </w:tc>
        <w:tc>
          <w:tcPr>
            <w:tcW w:w="43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5880" w:type="dxa"/>
            <w:vAlign w:val="bottom"/>
            <w:gridSpan w:val="12"/>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11"/>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15.</w:t>
            </w:r>
          </w:p>
        </w:tc>
        <w:tc>
          <w:tcPr>
            <w:tcW w:w="300" w:type="dxa"/>
            <w:vAlign w:val="bottom"/>
          </w:tcPr>
          <w:p>
            <w:pPr>
              <w:spacing w:after="0"/>
              <w:rPr>
                <w:sz w:val="17"/>
                <w:szCs w:val="17"/>
                <w:color w:val="auto"/>
              </w:rPr>
            </w:pP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340" w:type="dxa"/>
            <w:vAlign w:val="bottom"/>
            <w:gridSpan w:val="7"/>
          </w:tcPr>
          <w:p>
            <w:pPr>
              <w:spacing w:after="0"/>
              <w:rPr>
                <w:sz w:val="17"/>
                <w:szCs w:val="17"/>
                <w:color w:val="auto"/>
              </w:rPr>
            </w:pPr>
          </w:p>
        </w:tc>
        <w:tc>
          <w:tcPr>
            <w:tcW w:w="540" w:type="dxa"/>
            <w:vAlign w:val="bottom"/>
            <w:tcBorders>
              <w:top w:val="single" w:sz="8" w:color="0000FF"/>
            </w:tcBorders>
            <w:gridSpan w:val="6"/>
          </w:tcPr>
          <w:p>
            <w:pPr>
              <w:spacing w:after="0"/>
              <w:rPr>
                <w:sz w:val="17"/>
                <w:szCs w:val="17"/>
                <w:color w:val="auto"/>
              </w:rPr>
            </w:pPr>
          </w:p>
        </w:tc>
        <w:tc>
          <w:tcPr>
            <w:tcW w:w="4880" w:type="dxa"/>
            <w:vAlign w:val="bottom"/>
            <w:gridSpan w:val="4"/>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111</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Exhibits Index</w:t>
            </w:r>
          </w:p>
        </w:tc>
        <w:tc>
          <w:tcPr>
            <w:tcW w:w="9420" w:type="dxa"/>
            <w:vAlign w:val="bottom"/>
            <w:gridSpan w:val="25"/>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113</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060" w:type="dxa"/>
            <w:vAlign w:val="bottom"/>
            <w:gridSpan w:val="2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rPr>
              <w:t>116</w:t>
            </w:r>
          </w:p>
        </w:tc>
      </w:tr>
      <w:tr>
        <w:trPr>
          <w:trHeight w:val="968"/>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240" w:type="dxa"/>
            <w:vAlign w:val="bottom"/>
            <w:tcBorders>
              <w:bottom w:val="single" w:sz="8" w:color="CCEEFF"/>
            </w:tcBorders>
          </w:tcPr>
          <w:p>
            <w:pPr>
              <w:spacing w:after="0"/>
              <w:rPr>
                <w:sz w:val="16"/>
                <w:szCs w:val="16"/>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 Notes due 2022, redeemed in August 2019</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6.25% Notes due 2023, redeemed in February 2021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due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 due 2025, redeemed in May 2022</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 due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2025 6.85% Notes, the 2025 5.00% Notes and the 8.125% Notes due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3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w:t>
            </w:r>
          </w:p>
        </w:tc>
      </w:tr>
      <w:tr>
        <w:trPr>
          <w:trHeight w:val="19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of NBNYC</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2020</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Equity Distribution Agreement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Distribution Agreement, dated June 25, 2020 by and among the Company and the placement agents, as amended on July 20, 2022</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real estate lending</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Insurance Fund of the FDIC</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dividend reinvestment plan</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2015 Stock Incentive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2023 Stock Incentive Plan</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Program</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679"/>
        </w:trPr>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3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8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National Bank of New York City, which has been renamed 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Small-and-medium sized businesses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Holdco 6, and Capital One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Holdco 6, and Deutsche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Holdco 6, and One Florida Bank</w:t>
            </w:r>
          </w:p>
        </w:tc>
      </w:tr>
      <w:tr>
        <w:trPr>
          <w:trHeight w:val="138"/>
        </w:trPr>
        <w:tc>
          <w:tcPr>
            <w:tcW w:w="30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w:t>
            </w: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 dated August 2, 2021, between the Company, NBNYC and certain NBNYC shareholders to acquire all of the issued</w:t>
            </w:r>
          </w:p>
        </w:tc>
      </w:tr>
      <w:tr>
        <w:trPr>
          <w:trHeight w:val="191"/>
        </w:trPr>
        <w:tc>
          <w:tcPr>
            <w:tcW w:w="3040" w:type="dxa"/>
            <w:vAlign w:val="bottom"/>
            <w:shd w:val="clear" w:color="auto" w:fill="CCEEFF"/>
          </w:tcPr>
          <w:p>
            <w:pPr>
              <w:spacing w:after="0"/>
              <w:rPr>
                <w:sz w:val="16"/>
                <w:szCs w:val="16"/>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outstanding stock of NBNYC, as amended through December 12, 2022</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212"/>
        </w:trPr>
        <w:tc>
          <w:tcPr>
            <w:tcW w:w="3040" w:type="dxa"/>
            <w:vAlign w:val="bottom"/>
          </w:tcPr>
          <w:p>
            <w:pPr>
              <w:spacing w:after="0"/>
              <w:rPr>
                <w:sz w:val="18"/>
                <w:szCs w:val="18"/>
                <w:color w:val="auto"/>
              </w:rPr>
            </w:pPr>
          </w:p>
        </w:tc>
        <w:tc>
          <w:tcPr>
            <w:tcW w:w="8240" w:type="dxa"/>
            <w:vAlign w:val="bottom"/>
          </w:tcPr>
          <w:p>
            <w:pPr>
              <w:spacing w:after="0"/>
              <w:rPr>
                <w:sz w:val="18"/>
                <w:szCs w:val="18"/>
                <w:color w:val="auto"/>
              </w:rPr>
            </w:pPr>
          </w:p>
        </w:tc>
      </w:tr>
      <w:tr>
        <w:trPr>
          <w:trHeight w:val="18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and Joint Ventures</w:t>
            </w:r>
          </w:p>
        </w:tc>
        <w:tc>
          <w:tcPr>
            <w:tcW w:w="8240" w:type="dxa"/>
            <w:vAlign w:val="bottom"/>
            <w:shd w:val="clear" w:color="auto" w:fill="CCEEFF"/>
          </w:tcPr>
          <w:p>
            <w:pPr>
              <w:spacing w:after="0"/>
              <w:rPr>
                <w:sz w:val="15"/>
                <w:szCs w:val="15"/>
                <w:color w:val="auto"/>
              </w:rPr>
            </w:pP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Lending, LLC, a former wholly-owned subsidiary of Newtek Bank merged into SBL on May 2, 2023</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 JV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 a 50% owned joint venture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Holdco 6</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 (formerly Universal Processing Services of Wisconsin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SIDCO</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SIDCO, LLC dba Cloud Nine Services, a former subsidiary of NTS; SIDCO was merged into NTS on December 31, 2023</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Excel WebSolutions, LLC, a former consolidated subsidiary merged into NTS on December 31, 2023</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Business Lending, LLC, a wholly owned subsidiary of Newtek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Insurance Agency,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 Loan Holdings, LLC</w:t>
            </w:r>
          </w:p>
        </w:tc>
      </w:tr>
      <w:tr>
        <w:trPr>
          <w:trHeight w:val="488"/>
        </w:trPr>
        <w:tc>
          <w:tcPr>
            <w:tcW w:w="30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30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spacing w:after="0"/>
        <w:tabs>
          <w:tab w:leader="none" w:pos="3020" w:val="left"/>
        </w:tabs>
        <w:rPr>
          <w:sz w:val="20"/>
          <w:szCs w:val="20"/>
          <w:color w:val="auto"/>
        </w:rPr>
      </w:pPr>
      <w:r>
        <w:rPr>
          <w:rFonts w:ascii="Times New Roman" w:cs="Times New Roman" w:eastAsia="Times New Roman" w:hAnsi="Times New Roman"/>
          <w:sz w:val="14"/>
          <w:szCs w:val="14"/>
          <w:color w:val="auto"/>
        </w:rPr>
        <w:t>POS</w:t>
      </w:r>
      <w:r>
        <w:rPr>
          <w:sz w:val="20"/>
          <w:szCs w:val="20"/>
          <w:color w:val="auto"/>
        </w:rPr>
        <w:tab/>
      </w:r>
      <w:r>
        <w:rPr>
          <w:rFonts w:ascii="Times New Roman" w:cs="Times New Roman" w:eastAsia="Times New Roman" w:hAnsi="Times New Roman"/>
          <w:sz w:val="14"/>
          <w:szCs w:val="14"/>
          <w:color w:val="auto"/>
        </w:rPr>
        <w:t>POS on Cloud, LLC, dba Newtek Payment Systems, a 76.8% consolidated subsidiary</w:t>
      </w:r>
    </w:p>
    <w:p>
      <w:pPr>
        <w:sectPr>
          <w:pgSz w:w="11900" w:h="16838" w:orient="portrait"/>
          <w:cols w:equalWidth="0" w:num="1">
            <w:col w:w="10139"/>
          </w:cols>
          <w:pgMar w:left="320" w:top="761" w:right="1440" w:bottom="1440" w:gutter="0" w:footer="0" w:header="0"/>
        </w:sectPr>
      </w:pP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39"/>
          </w:cols>
          <w:pgMar w:left="320" w:top="761" w:right="1440" w:bottom="1440" w:gutter="0" w:footer="0" w:header="0"/>
          <w:type w:val="continuous"/>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3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In addition, on January 6, 2023, the Company filed with the SEC a Form N-54C, Notification of Withdrawal of Election to be Subject to the 1940 Act, and has ceased to be a BDC effective as of January 6, 2023. As a result of the foregoing, the Company is now a financial holding company, no longer qualifies as a regulated investment company (RIC) for federal income tax purposes, and no longer qualifies for accounting treatment as an investment company. As a result, comparisons to December 31, 2022 and December 31, 2021 include adjustments made to reconcile prior investment company accounting to the current financial holding company accounting requirements. (See NOTE 1—DESCRIPTION OF BUSINESS AND BASIS OF PRESENTATION)</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19"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FORWARD-LOOKING STATEMENTS AND PROJECTIONS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This report contains forward-looking statements that involve substantial risks and uncertainties, including the impact of COVID-19 and related changes in base interest rates and significant market volatility on our business, our subsidiaries, our industry, and the global economy. These forward-looking statements are not historical facts, but rather are based on current expectations, estimates and projections about the Company,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report involve risks and uncertainties, including statements as to:</w:t>
      </w:r>
    </w:p>
    <w:p>
      <w:pPr>
        <w:spacing w:after="0" w:line="1"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our ability to operate our subsidiary Newtek Bank, a national bank regulated and supervised by the OCC, and the increased compliance and other costs associated with such operations; and</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19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5"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our and our subsidiaries’ ability to continue to operate or repay borrowings, which could adversely affect our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which could impair our lending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financial markets and the global macroeconomic and geopolitical environment, including higher inflation and its impacts;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and the impacts on macroeconomic conditions and our funding costs;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continue to originate loans under the SBA 7(a) program, maintain PLP status, and sell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 These risks and uncertainties include those described or identified in “Item 1A. Risk Factors” and elsewhere in this report. 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report are excluded from the safe harbor protection provided by Section 27A of the Securities Act and Section 21E of the Exchange Act.</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Prior to January 6, 2023 and during the entirety of the 2022 fiscal year, we operated as an internally managed non-diversified closed-end management investment company that was regulated as a BDC under the 1940 Act, and was treated as a RIC under the Code for U.S. federal income tax purposes.</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January 6, 2023, we completed the Acquisition of NBNYC, a national bank regulated and supervised by the OCC, pursuant to which we acquired from the NBNYC shareholders all of the issued and outstanding stock of NBNYC. NBNYC has been renamed Newtek Bank, National Association (“Newtek Bank”) and has become a wholly owned subsidiary of the Company. In connection with the completion of the Acquisition, we contributed to Newtek Bank $31 million of cash and two of our subsidiaries, NBL and SBL (subsequently, NBL was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on January 6, 2023, we filed with the SEC a Form N-54C, Notification of Withdrawal of Election to be Subject to the 1940 Act, following approval from our shareholders, and ceased to be a BDC. As a result of the Acquisition, we are now a financial holding company subject to the regulation and supervision of the Federal Reserve and the Federal Reserve Bank of Atlanta. We no longer qualify as a RIC for federal income tax purposes and no longer qualify for accounting treatment as an investment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financial holding company that is a leading business and financial solutions provider to independent business owners/SMBs. We define independent business owners (SMBs) as companies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having revenues of $1.0 million to $100.0 million, and we estimate the SMB market to be over 33 million businesses in the U.S. as of March 2023, according to the SBA. NewtekOne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 provide independent business owners (SMBs) with the following Newtek® branded business and financial solutions: Newtek Bank, Newtek Lending, Newtek Payments, Newtek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Insurance, Newtek Payroll and Newtek Technology. We have an established and reliable platform that is not limited by client size, industry type, or location. As a result, we believe we have a strong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diversified client base across the United States and across a variety of different industries. In addition, we have developed a financial and technology based business model that enables us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acquire and process our independent business owner clients in a very cost effective manner. This capability is supported in large part by NewTracker®, our patented prospect management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software, which is similar to, but we believe better suited for our needs than, the system popularized by Salesforce.com and similar providers. In addition, we have recently launched the Newtek</w:t>
      </w:r>
    </w:p>
    <w:p>
      <w:pPr>
        <w:spacing w:after="0" w:line="209" w:lineRule="auto"/>
        <w:rPr>
          <w:sz w:val="20"/>
          <w:szCs w:val="20"/>
          <w:color w:val="auto"/>
        </w:rPr>
      </w:pPr>
      <w:r>
        <w:rPr>
          <w:rFonts w:ascii="Times New Roman" w:cs="Times New Roman" w:eastAsia="Times New Roman" w:hAnsi="Times New Roman"/>
          <w:sz w:val="14"/>
          <w:szCs w:val="14"/>
          <w:color w:val="auto"/>
        </w:rPr>
        <w:t>Advantage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(patent pending) dashboard, for our depository and non-depository clients. The Newtek Advantage offers NewtekOne’s clients a single online dashboard to access all of NewtekOne’s</w:t>
      </w:r>
    </w:p>
    <w:p>
      <w:pPr>
        <w:spacing w:after="0"/>
        <w:rPr>
          <w:sz w:val="20"/>
          <w:szCs w:val="20"/>
          <w:color w:val="auto"/>
        </w:rPr>
      </w:pPr>
      <w:r>
        <w:rPr>
          <w:rFonts w:ascii="Times New Roman" w:cs="Times New Roman" w:eastAsia="Times New Roman" w:hAnsi="Times New Roman"/>
          <w:sz w:val="14"/>
          <w:szCs w:val="14"/>
          <w:color w:val="auto"/>
        </w:rPr>
        <w:t>business and financial solutions. The Newtek Advantage allows NewtekOne clients to easily interact with NewtekOne subject matter experts in the areas of Banking, Lending, Payments,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Payroll and Insurance. We believe the Newtek Advantage will enable us to grow core retail deposits and provide an advantage to our existing and new clients. We believe that NewtekOne’s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technology and business model distinguishes us from our competitors.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As a result of the Acquisition and the Company’s filing with the SEC a Form N-54C, Notification of Withdrawal of Election to be Subject to the 1940 Act, the Company is now a financial holding company subject to the regulation and supervision of the Federal Reserve and the Federal Reserve Bank of Atlanta. The Company no longer qualifies as a regulated investment company for federal income tax purposes and no longer qualifies for accounting treatment as an investment company. As a result, in addition to Newtek Bank and its consolidated subsidiary, SBL, the following NewtekOne portfolio companies and subsidiaries are now consolidated non-bank subsidiaries in the Company’s financial statements: NSBF; Newtek Merchant Solutions, LLC (NMS); Mobil Money, LLC; CDS Business Services, Inc. d/b/a Newtek Business Credit Solutions (NBC); PMTWorks Payroll, LLC d/b/a Newtek Payroll and Benefits Solutions (PMT); Newtek Insurance Agency, LLC (NIA); Titanium Asset Management LLC (TAM); Newtek Business Services Holdco 6, Inc (Holdco 6); Newtek Commercial Lending, Inc. (NCL); Newtek Technology Solutions, Inc. (NTS), which includes the former entities SIDCO and EWS that were merged into NTS on December 31, 2023 and POS on Cloud, LLC, d/b/a Newtek Payment Systems (POS). In addition, as a result of commitments made to the Federal Reserve, the Company will divest or otherwise terminate the activities conducted by NTS by January 6, 2025, subject to any extension of this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9" w:name="page10"/>
    <w:bookmarkEnd w:id="9"/>
    <w:p>
      <w:pPr>
        <w:ind w:right="20"/>
        <w:spacing w:after="0" w:line="239" w:lineRule="auto"/>
        <w:rPr>
          <w:sz w:val="20"/>
          <w:szCs w:val="20"/>
          <w:color w:val="auto"/>
        </w:rPr>
      </w:pPr>
      <w:r>
        <w:rPr>
          <w:rFonts w:ascii="Times New Roman" w:cs="Times New Roman" w:eastAsia="Times New Roman" w:hAnsi="Times New Roman"/>
          <w:sz w:val="14"/>
          <w:szCs w:val="14"/>
          <w:color w:val="auto"/>
        </w:rPr>
        <w:t>Moreover, on April 13, 2023, the Company, NSBF and the SBA entered into an agreement in connection with NSBF’s and Newtek Bank’s participation in the SBA 7(a) loan program (the "Wind-down Agreement"). The Company’s business plan prepared in connection with the Acquisition provided for all SBA 7(a) loan originations to be transitioned to Newtek Bank and for NSBF to cease originations of SBA 7(a) loans. Pursuant to the Wind-down Agreement, NSBF has begun to wind-down its operations and NSBF’s SBA 7(a) pipeline of new loans was transitioned to Newtek Bank during the second quarter of 2023. During this wind-down process, NSBF will continue to own the SBA 7(a) loans and PPP Loans currently in its SBA loan portfolio to maturity, liquidation, charge-off or (subject to SBA’s prior written approval) sale or transfer. SBL will service and liquidate NSBF’s SBA loan portfolio, including processing forgiveness and loan reviews for PPP Loans,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The Company has guaranteed NSBF’s obligations to the SBA and has funded a $10 million account at Newtek Bank to secure these potential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17, 2023, the Company changed its name from Newtek Business Services Corp. to NewtekOne,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NewtekOne’s Business and Financial Solutions Ecosystem</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Lending</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SBA 7(a) Lending</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Our Newtek Lending platform, which generates a material portion of our revenues, includes loans originated under the federal Section 7(a) loan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such Newtek Bank, or a nonbank lender licensed by the SBA (such as NSBF) underwrites a loan between $5,000 and $5.0 million for a variety of general business purposes based on the SBA’s loan program requirements. The recoveries and expenses on the unguaranteed portions of these loans are shared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between the SBA and the lender, which substantially reduces the loss severity on the unguaranteed portion of a loan for SBA 7(a) loan investors. SBA 7(a) loans are typically between ten and 25 years in maturity and bear interest at the prime rate plus a spread from 1.50% to 6.50%. The Company estimates the duration of these loans to be between four and five years. Since the guaranteed portions of SBA 7(a) loans carry the full faith and credit of the U.S. government, lenders may, and frequently do, sell the guaranteed portion of SBA 7(a) loans in the capital markets, hold the unguaranteed portion and retain all loan servicing rights.</w:t>
      </w:r>
    </w:p>
    <w:p>
      <w:pPr>
        <w:spacing w:after="0" w:line="15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From 2012 through December 31, 2022, our subsidiary NSBF, was consistently the largest non-bank SBA 7(a) lender in the U.S. based on dollar volume of loan approvals, and, as of December 31, 2022, was the third largest SBA 7(a) lender in the United States. As of December 31, 2023 (the SBA’s first quarter of their fiscal year), when combining the loan approvals of Newtek Bank and NSBF, we are the nation’s largest SBA 7(a) lender. Newtek Bank received PLP status in April 2023, a designation whereby the SBA authorizes the most experienced SBA lenders to place SBA guarantees on loans without seeking prior SBA review and approval. PLP status has allowed Newtek Bank (and historically NSBF) to serve our clients in an expedited manner since we are not required to present applications to the SBA for concurrent review and approval. All new SBA 7(a) loan originations were transitioned to Newtek Bank in April 2023. NewtekOne has a dedicated Senior Lending Team (as defined below) that is now supporting Newtek Bank, which originates and services SBA 7(a) loans to qualifying independent business owners and follows the NewtekOne SBA 7(a) loan business model. Prior to the Newtek Bank Acquisition, our SBA 7(a) business model was to: originate SBA 7(a) loans, sell the guaranteed portions of the SBA 7(a) loans, typically within thirty to forty-five days of origination, and retain the unguaranteed portion until accumulating sufficient loans for investment or securitization. In a securitization, the unguaranteed portions of SBA 7(a) loans are transferred to a special purpose vehicle (a “Trust”), which in turn issues notes against the Trust’s assets in private placements. The Trust’s primary source of income for repaying the securitization notes is the cash flows generated from the unguaranteed portion of SBA 7(a) loans owned by the Trust. Principal on the securitization notes is paid by cash flows in excess of that needed to pay various fees related to the operation of the Trust and interest on the debt. Securitization notes have an expected maturity of approximately five years, and the Trust is dissolved when the securitization notes are paid in full, either at or prior to maturity. NSBF has completed thirteen (13) securitizations. Newtek Bank will continue the SBA 7(a) business model utilizing the NewtekOne Senior Lending Team, and Newtek Bank may determine to engage in securitization transactions in the future. NSBF, which is in the process of winding-down its operations, will continue to manage and service its portfolio of guaranteed and unguaranteed SBA 7(a) loans pursuant to a lender servicer provider agreement with SBL.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 w:name="page11"/>
    <w:bookmarkEnd w:id="10"/>
    <w:p>
      <w:pPr>
        <w:ind w:right="300"/>
        <w:spacing w:after="0" w:line="270" w:lineRule="auto"/>
        <w:rPr>
          <w:sz w:val="20"/>
          <w:szCs w:val="20"/>
          <w:color w:val="auto"/>
        </w:rPr>
      </w:pPr>
      <w:r>
        <w:rPr>
          <w:rFonts w:ascii="Times New Roman" w:cs="Times New Roman" w:eastAsia="Times New Roman" w:hAnsi="Times New Roman"/>
          <w:sz w:val="14"/>
          <w:szCs w:val="14"/>
          <w:color w:val="auto"/>
        </w:rPr>
        <w:t>We believe our more than twenty years of experience as one of the largest SBA 7(a) lenders, provides us with a distinct competitive advantage over other lenders that have not overcome these significant barriers-to-entry in our primary loan market. We originated $814.4 million of SBA 7(a) loans during 2023 and $775.6 million of SBA 7(a) loans during 2022. We believe that we will continue to be introduced to a variety of high-quality investment opportunities through our existing loan sourcing channels and our subsidiaries’ relationships with their clients.</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our SBA 7(a) loans shortly after origination and we retain the unguaranteed portions, Historically, NSBF sold SBA guaranteed portions of SBA 7(a) loans at premiums ranging from 106% to 123% of par value, and any portion of the premium that is above 110% of par value is shared equally between NSBF and the SBA. However, there is no guarantee that Newtek Bank will be able to continue to earn premiums of 106% to 123% on future sales of the guaranteed portions of SBA 7(a) loans or will be able to maintain PLP status. See “Item 1A. Risk Factors - Risks Related to SBA Lending - We have specific risks associated with SBA loans.”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addition, NSBF typically retained the unguaranteed portions of SBA 7(a) until accumulating sufficient loans for a securitization. Through NSBF’s securitization program, which began in December 2010, NSBF successfully completed 13 securitization transactions of the unguaranteed portions of SBA 7(a) loans with Standard &amp; Poor’s AA or A ratings and advance rates as high as 83.5% of par value. NSBF’s last securitization occurred in June 2023, when it sold (and we increased our secured borrowings by) $103.9 million of Unguaranteed SBA 7(a) Loan-Backed Notes, Series 2023-1, consisting of $84.3 million of Class A Notes and $19.6 million Class B Notes, rated “A-” and “BBB-”, respectively, by S&amp;P Global, Inc. Newtek Bank intends to use core deposits to fund SBA 7(a) loans and does not currently plan to securitize the unguaranteed portions of SBA 7(a) loans it originates, but may do so in the future. In addition, Newtek Bank may determine to retain the government guaranteed portions of SBA 7(a) loans for longer periods, pending deployment of excess capital.</w:t>
      </w:r>
    </w:p>
    <w:p>
      <w:pPr>
        <w:spacing w:after="0" w:line="16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We have focused on making smaller SBA 7(a) loans, approximately $1.0 million or less, in order to maintain a diversified pool of loans that are dispersed both geographically and among industries, with a goal of limiting our exposure to regional and industry-specific economic downturns. Specifically, as of December 31, 2023, the Company’s loan portfolio consisted of 4,879 loans originated across 50 states in 77 different industries as defined by the North American Industry Classification System (“NAICS”).</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discussed below, in addition to SBA 7(a) lending, our Newtek Lending Platform includes the following loan products originated by Newtek Bank: SBA 504 loans, C&amp;I loans (including ABL and owner occupied commercial real estate (CRE) and investor CRE). In addition, our alternative lending program loans (formerly referred to as non-conforming conventional loans) are originated by NewtekOne nonbank subsidiaries and joint ventures.</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Commercial Banking – Newtek Bank</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have centralized our Newtek Lending Platform within Newtek Bank (except for our alternative lending program business, discussed herein), our commercial bank. As discussed above, Newtek Bank is originating, servicing and selling SBA 7(a) loans in a similar manner to NSBF’s historic business model and is originating and servicing SBA 504 loans, C&amp;I loans (including ABL and owner occupied CRE and investor CRE).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offer depository services and solutions through Newtek Bank. Our commercial banking clients can take advantage of our full offerings via the Newtek Advantage dashboard.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Bank's business lines include:</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SBA 504 Lending</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Newtek Bank originates SBA 504 loans which provide long-term fixed rate financing for major fixed assets such as real estate or equipment. The maximum loan amount for a SBA 504 loan is $5.5 million.</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C&amp;I Lending, CRE Lending and ABL Lending</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Newtek Lending Platform also includes C&amp;I Lending, which includes ABL and owner occupied CRE and investor CRE. Newtek Bank will continue to provide C&amp;I loans and CRE loans to its commercial customers and will originate ABL loans. Prior to the Acquisition, our subsidiary, NBC, provided receivables financing, inventory financing and health care receivables financing to independent business owners through the sale of their trade receivables or the financing of their inventories. NBC has ceased originating new ABL loans and will manage its current portfolio in runoff mode.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11" w:name="page12"/>
    <w:bookmarkEnd w:id="11"/>
    <w:p>
      <w:pPr>
        <w:ind w:left="1020"/>
        <w:spacing w:after="0"/>
        <w:rPr>
          <w:sz w:val="20"/>
          <w:szCs w:val="20"/>
          <w:color w:val="auto"/>
        </w:rPr>
      </w:pPr>
      <w:r>
        <w:rPr>
          <w:rFonts w:ascii="Times New Roman" w:cs="Times New Roman" w:eastAsia="Times New Roman" w:hAnsi="Times New Roman"/>
          <w:sz w:val="14"/>
          <w:szCs w:val="14"/>
          <w:b w:val="1"/>
          <w:bCs w:val="1"/>
          <w:color w:val="auto"/>
        </w:rPr>
        <w:t>Third Party Loan Servicing and Loan Origination Services</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SBL, a former NewtekOne portfolio company which is now a subsidiary of Newtek Bank, provides our affiliates, subsidiaries and third-parties, including banks, credit unions and government agencies, including the FDIC, with loan servicing for SBA and non-SBA loans. In addition, SBL provides our affiliates, subsidiaries and third-parties with outsourced solutions for the entire SBA loan origination process, including credit analysis, structuring and eligibility, packaging, closing compliance and servicing. For example, SBL originates and services loans under our alternative lending program for our Holdco 6 subsidiary and our joint ventures (see below).</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Alternative Lending Program</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On May 20, 2019, the Company and its joint venture partner launched Newtek Conventional Lending, LLC (NCL JV) to provide our alternative lending program loans (formerly known as non-conforming conventional commercial and industrial term loans) to U.S. middle-market companies and small businesses. NCL JV is a 50/50 joint venture between Newtek Commercial Lending, Inc. (NCL) a wholly-owned subsidiary of NewtekOne, and Conventional Lending TCP Holding, LLC, a wholly-owned, indirect subsidiary of BlackRock TCP Capital Corp. (Nasdaq: TCPC). NCL JV ceased funding new alternative lending program loans during 2020. On January 28, 2022, NCL JV closed a securitization with the sale of $56.3 million of Class A Notes, NCL Business Loan Trust 2022-1, Business Loan-Backed Notes, Series 2022-1, secured by a segregated asset pool consisting primarily of NCL JV’s portfolio of alternative lending program loans, including loans secured by liens on commercial or residential mortgaged properties, originated by NCL JV and NBL. The Notes were rated “A” (sf) by DBRS Morningstar. The Notes were priced at a yield of 3.209%. The proceeds of the securitization were used, in part, to repay a Deutsche Bank credit facility and return capital to the NCL JV partners.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5, 2022, NewtekOne launched its second joint venture to invest in alternative lending program loans. Newtek-TSO II Conventional Credit Partners, LP (Newtek-TSO JV). NCL and TSO</w:t>
      </w:r>
    </w:p>
    <w:p>
      <w:pPr>
        <w:spacing w:after="0" w:line="23" w:lineRule="exact"/>
        <w:rPr>
          <w:sz w:val="20"/>
          <w:szCs w:val="20"/>
          <w:color w:val="auto"/>
        </w:rPr>
      </w:pPr>
    </w:p>
    <w:p>
      <w:pPr>
        <w:ind w:right="60" w:firstLine="5"/>
        <w:spacing w:after="0" w:line="257" w:lineRule="auto"/>
        <w:tabs>
          <w:tab w:leader="none" w:pos="13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 joint venture, Newtek-TSO JV, governed by the Amended and Restated Limited Partnership Agreement for the Newtek-TSO JV. NCL and TSO II each committed to contribute an equal share of equity funding to the Newtek-TSO JV and each will have equal voting rights on all material matters. Newtek-TSO JV intends to deploy capital over the course of time with additional leverage supported by a warehouse line of credit. The intended purpose of Newtek-TSO JV is to invest in alternative lending program loans made to middle-market companies as well as independent business owners. Newtek-TSO JV began making investments during the fourth quarter of 2022.</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Deposits and Depository Services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are focused on growing and retaining a stable deposit base and deepening relationships with our current and prospective deposit customers by leveraging our customer-direct, easy-to-use, digital account opening platform. Newtek Bank is a digital direct bank with no branch network that obtains retail deposits directly from customers. Following the Acquisition of NBNYC and its $137 million deposit portfolio, we launched our High Yield Savings and Retail CD product offerings in March and April of 2023. Since that time, we have grown our deposit base rapidly and have offered competitive market rates using an accounting opening process that is straightforward with limited interaction. Newtek Bank has maintained strong customer acquisition and retention rates and expects to continue to drive growth in retail deposits. Additionally, during 2023 we implemented a suite of software solutions that will facilitate gathering and servicing deposits from our existing and prospective independent business owner clients, diversifying our client base. We supplement our customer deposit base with a series of wholesale funding options, which consist of product offerings to community banks and credit unions, as well as fundings in the brokered CD market. At December 31, 2023, Newtek Bank had $519 million of total deposits, which grew approximately $382 million, or 279%, following the Acquisition. The total number of retail deposit customers at December 31, 2023 that opened accounts through our digital opening process during 2023 was over 7,500.</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Payments</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NewtekOne’s business and financial solutions ecosystem also includes its Newtek Payments businesses, which includes NewtekOne’s subsidiaries Newtek Merchant Solutions, LLC (NMS), Mobil Money, LLC (Mobil Money) and POS on Cloud, LLC, d/b/a Newtek Payment Systems (POS).</w:t>
      </w:r>
    </w:p>
    <w:p>
      <w:pPr>
        <w:spacing w:after="0" w:line="14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 xml:space="preserve">NMS markets credit and debit card processing services, check approval services, processing equipment, and software. NMS utilizes a multi-pronged sales approach of both direct and indirect sales. NMS’ primary sales efforts focus on direct sales through our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xml:space="preserve"> brand. Their indirect sales channels consist of alliance partners, principally financial institutions (banks, credit unions, insurance companies and other related businesses), and independent sales agents across the United States. These referring organizations and associations are typically paid a percentage of the processing</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revenue derived from the respective merchants that they successfully refer to NMS. In 2023, NMS processed merchant transactions with sales volumes of $5.4 billion.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NMS has a number of competitive advantages which we believe will enable it to effectively compete in this market. These are:</w:t>
      </w:r>
    </w:p>
    <w:p>
      <w:pPr>
        <w:spacing w:after="0" w:line="20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on non-traditional business generation: referral relationships, wholesale solicitations and financial institutions rather than independent sales agents;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be a market leader in the implementation of technology in the payment processing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its own staff of trained and skilled customer service representatives;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selling the latest in point-of-sale technology hardware and offers processing related cyber-security services.</w:t>
      </w:r>
    </w:p>
    <w:p>
      <w:pPr>
        <w:spacing w:after="0" w:line="20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NMS maintains its principal customer service and sales support offices in Lake Success, New York. NMS’s personnel assist merchants with initial installation of equipment and on-going service, as well as any other special processing needs that they may have.</w:t>
      </w:r>
    </w:p>
    <w:p>
      <w:pPr>
        <w:spacing w:after="0" w:line="1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NMS’ development and growth is focused on selling NMS’ services to internally generated referrals, merchant referrals identified by Newtek alliance partners and by independent sales representatives. We believe NMS is different than most electronic payment processing companies who acquire their clients primarily through independent sales agents. NMS believes that its business model provides it with a competitive advantage by enabling it to acquire new merchant customers at a lower cost level for third-party commissions than the industry average. NMS’ business model allows it to own the customer as well as the stream of residual payments, as opposed to models which rely more heavily on independent sales agents.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Mobil Money provides payment processing for a merchant portfolio of taxi cabs and related licensed payment processing software.</w:t>
      </w:r>
    </w:p>
    <w:p>
      <w:pPr>
        <w:spacing w:after="0" w:line="2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POS is a majority owned subsidiary of NewtekOne which provides a cloud based Point of Sale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independent business owner.</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Insurance</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Newtek Insurance Agency (NIA), is a wholly-owned subsidiary which is a retail and wholesale brokerage insurance agency licensed in all 50 states, specializing in the sale of commercial and health/benefits lines insurance products to independent business owners, as well as the sale of various personal lines of insurance.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Payroll</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PMTWorks Payroll, LLC d/b/a Newtek Payroll and Benefits Solutions (PMT), is a wholly-owned subsidiary which offers an array of industry standard and competitively priced payroll management, and related payment and tax reporting services to independent business owners.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Technology</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Newtek Technology Solutions, Inc. (NTS) is a wholly-owned subsidiary that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well as SMBs. On December 31, 2023, SIDCO and EWS were merged into NTS. As a result of commitments made to the Federal Reserve, the Company will divest or otherwise terminate the activities conducted by NTS by January 6, 2025, subject to any extension of this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Newtek Branding</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 xml:space="preserve">We have developed our branded line of business products and financial solutions to offer a full service suite of business and financial solutions for independent business owners in the United States. We reach potential customers through our integrated multi-channel approach featuring direct, indirect and direct outbound solicitation efforts. We continue to utilize and grow our primary marketing channel of strategic alliance partners as well as a direct marketing strategy to independent business owner customers through our “go to market” brand,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Solution for All Your Business Needs®</w:t>
      </w:r>
      <w:r>
        <w:rPr>
          <w:rFonts w:ascii="Times New Roman" w:cs="Times New Roman" w:eastAsia="Times New Roman" w:hAnsi="Times New Roman"/>
          <w:sz w:val="14"/>
          <w:szCs w:val="14"/>
          <w:color w:val="auto"/>
        </w:rPr>
        <w:t>. Through our web presence,</w:t>
      </w:r>
      <w:r>
        <w:rPr>
          <w:rFonts w:ascii="Times New Roman" w:cs="Times New Roman" w:eastAsia="Times New Roman" w:hAnsi="Times New Roman"/>
          <w:sz w:val="14"/>
          <w:szCs w:val="14"/>
          <w:i w:val="1"/>
          <w:iCs w:val="1"/>
          <w:color w:val="auto"/>
        </w:rPr>
        <w:t xml:space="preserve"> www.newtekone.com</w:t>
      </w:r>
      <w:r>
        <w:rPr>
          <w:rFonts w:ascii="Times New Roman" w:cs="Times New Roman" w:eastAsia="Times New Roman" w:hAnsi="Times New Roman"/>
          <w:sz w:val="14"/>
          <w:szCs w:val="14"/>
          <w:color w:val="auto"/>
        </w:rPr>
        <w:t>, we believe we are establishing ourselves as a preferred “go-to” provider for independent business owner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and business solutions offered by NewtekOne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its subsidiaries, including Newtek Bank</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We believe that our patented NewTracker® system provides for transparency between NewtekOne and referring parties and has been material in our ability to obtain referrals from a wide variety of sources. The NewTracker system allows us and our alliance partners to review in real time the status of any referral as well as to provide real time compliance oversight by the respective alliance partner, which we believe creates confidence among the referred business client, the referring alliance partner and us. We own the NewTracker® patent, as well as all trademarks and other patented intellectual property used by us and our subsidiaries. Additional referrals are obtained from individual professionals in geographic markets that have signed up to provide referrals and earn commissions through our BizExec and TechExec Programs. In addition, we believe that the Newtek Advantage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dashboard, which patent is pending, is designed to be a management tool for our business clientele that can make their businesses more successful and that our clients can depend on. The Newtek Advantage allows clients to access the entire suite of the NewtekOne business and financial solutions, and provide clients analytics, relationships and transactional capability that other banks do not offer. We believe the Newtek Advantage is unique because each of our clients will be assigned a NewtekOne relationship manager and specialist in each Newtek business line, and allow our clients to go into the Newtek Advantage and communicate via video or chat with a NewtekOne business line specialist.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the limited amount of capital and financial products available to independent business owners, coupled with the desire of these businesses for flexible and partnership-oriented sources of capital and other financial products, creates an attractive environment for us to further expand our business and financial products ecosystem and overall brand. We believe the following factors will continue to provide us with opportunities to grow and deliver attractive returns to shareholders.</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independent business owner SMB market represents a large, underserved market. </w:t>
      </w:r>
      <w:r>
        <w:rPr>
          <w:rFonts w:ascii="Times New Roman" w:cs="Times New Roman" w:eastAsia="Times New Roman" w:hAnsi="Times New Roman"/>
          <w:sz w:val="14"/>
          <w:szCs w:val="14"/>
          <w:color w:val="auto"/>
        </w:rPr>
        <w:t>We estimate the independent business owner/SMB market to include over 33 million businesses in the United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States. We believe that SMBs, most of which are privately-held, are relatively underserved by traditional capital providers such as commercial banks, finance companies, hedge funds and collateralized loan obligation funds. Further, we believe that such businesses generally possess conservative capital structures with significant enterprise value cushions, as compared to larger companies with more financing options. While the largest originators of SBA 7(a) loans have traditionally been regional and national banks, from 2012 through 2022, our subsidiary NSBF was consistently the largest non-bank originator of SBA 7(a) loans. When combining the loan approval volume of Newtek Bank and NSBF, we ranked as the largest SBA 7(a) lender based on dollar volume of loan approvals as of December 31, 2023, which is the SBA’s first fiscal quarter. As a result, we believe we are well positioned to provide financing to the types of independent business owners that we have historically targeted and we have the technology and infrastructure in place presently to do it cost effectively in all 50 states and across many industries.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Increased demand for comprehensive, business-critical SMB solutions</w:t>
      </w:r>
      <w:r>
        <w:rPr>
          <w:rFonts w:ascii="Times New Roman" w:cs="Times New Roman" w:eastAsia="Times New Roman" w:hAnsi="Times New Roman"/>
          <w:sz w:val="14"/>
          <w:szCs w:val="14"/>
          <w:color w:val="auto"/>
        </w:rPr>
        <w:t>. Increased competition and rapid technological innovation are creating an increasingly competitive business environment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requires independent business owners to fundamentally change the way they manage critical business processes. This environment is characterized by greater focus on increased quality, lower costs, faster turnaround and heightened regulatory scrutiny. To make necessary changes and adequately address these needs, we believe that companies are focusing on their core competencies and utilizing cost-effective outsourced solutions to improve productivity, lower costs and manage operations more efficiently. We provide critical business solutions such as electronic payment processing, managed IT solutions, personal and commercial insurance services and full-service payroll and benefit solutions, receivables financing, funding of SBA 504 loans, which provide financing of fixed assets such as real estate or equipment, and non-conforming (non-SBA) commercial loans. We believe that each of these market segments are underserved for independent business owners and since we are able to provide comprehensive financial and business solutions under one (the Newtek) platform, we believe that we are well positioned to continue to realize growth from these product offerings.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we are well positioned to take advantage of opportunities to provide business and financial solutions to independent business owners due to the following competitive advantages:</w:t>
      </w:r>
    </w:p>
    <w:p>
      <w:pPr>
        <w:spacing w:after="0" w:line="1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Senior lending Team and Executive Officers. </w:t>
      </w:r>
      <w:r>
        <w:rPr>
          <w:rFonts w:ascii="Times New Roman" w:cs="Times New Roman" w:eastAsia="Times New Roman" w:hAnsi="Times New Roman"/>
          <w:sz w:val="14"/>
          <w:szCs w:val="14"/>
          <w:color w:val="auto"/>
        </w:rPr>
        <w:t>The key members of our Senior Lending Team, many of whom have worked together for more than ten years, each have over 25 years of experience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finance-related fields. These lending professionals have worked together to screen opportunities, underwrite new loans and investments and manage a portfolio of loans and investments in SMBs through two recessions, a credit crunch, the dot-com boom and bust and a historic, leverage-fueled asset valuation bubble and the COVID-19 pandemic. Each member brings a complementary component to a team well-rounded in finance, accounting, operations, strategy, business law and executive management. We are led by our executive officers under the supervision of our Board. Our executive officers have significant experience in our fields of operations.</w:t>
      </w:r>
    </w:p>
    <w:p>
      <w:pPr>
        <w:spacing w:after="0" w:line="16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Model Enables Attractive Risk-Weighted Return on Investment in SBA 7(a) Lending. </w:t>
      </w:r>
      <w:r>
        <w:rPr>
          <w:rFonts w:ascii="Times New Roman" w:cs="Times New Roman" w:eastAsia="Times New Roman" w:hAnsi="Times New Roman"/>
          <w:sz w:val="14"/>
          <w:szCs w:val="14"/>
          <w:color w:val="auto"/>
        </w:rPr>
        <w:t>Our SBA 7(a) loans are structured so as to permit rapid sale of the U.S. government guaranteed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portions, often within weeks of origination, and the unguaranteed portions have been successfully securitized, with the securitization notes being sold, usually within a year of loan origination. The return of principal and premium may result in an advantageous risk-weighted return on our original investment in each loan. Newtek Bank has determined to retain the unguaranteed portions of SBA 7(a) loans, but may seek to securitize or otherwise finance these loans in the future.</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 of the Art Technology. </w:t>
      </w:r>
      <w:r>
        <w:rPr>
          <w:rFonts w:ascii="Times New Roman" w:cs="Times New Roman" w:eastAsia="Times New Roman" w:hAnsi="Times New Roman"/>
          <w:sz w:val="14"/>
          <w:szCs w:val="14"/>
          <w:color w:val="auto"/>
        </w:rPr>
        <w:t>Our patented NewTracker® software enables us to board an SMB customer, process the application or inquiry, assemble necessary documents, complete the transaction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create a daily reporting system that is sufficiently unique as to receive a U.S. patent. NewTracker® enables us to identify a transaction, similar to a merchandise barcode or the customer management system used by SalesForce.com, then process a business transaction and generate internal reports used by management and external reports for strategic referral partners. NewTracker® allows our referral partners to have digital access into our back office and follow on a real time, 24/7 basis the processing of their referred customers. NewTracker® has been applied to all of the business and financial solutions we offer directly or through our subsidiaries.</w:t>
      </w:r>
    </w:p>
    <w:p>
      <w:pPr>
        <w:spacing w:after="0" w:line="1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Established Direct Origination Platform with Extensive Deal Sourcing Infrastructure. </w:t>
      </w:r>
      <w:r>
        <w:rPr>
          <w:rFonts w:ascii="Times New Roman" w:cs="Times New Roman" w:eastAsia="Times New Roman" w:hAnsi="Times New Roman"/>
          <w:sz w:val="14"/>
          <w:szCs w:val="14"/>
          <w:color w:val="auto"/>
        </w:rPr>
        <w:t>We have established a direct loan origination pipeline for opportunities without the necessity for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institutions or brokers as well as broad marketing channels that we believe allow for highly selective underwriting. We believe the combination of our brand, our portal, our patented NewTracker® technology, and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xml:space="preserve"> have created an extensive deal sourcing infrastructure. Although we pay fees for loan originations that are referred to us by our alliance partners, our lending team works directly with the borrower to assemble and underwrite loans. We rarely invest in pre-assembled loans that are sold by investment banks or brokers. As a result, we believe that our unique national origination platform allows us to originate attractive credits at a low cost. During 2023 and 2022 we funded $814.4 million and $775.6 million, respectively, of SBA 7(a) loans. We anticipate that our principal source of loan origination opportunities will continue to be in the same types of independent business owners to which we currently provide financing. Our executive officers and Senior Lending Team also seek to leverage our extensive network of additional referral sources, including law firms, accounting firms, financial, operational and strategic consultants and financial institutions, with whom we have closed opportunities. We believe our current infrastructure and expansive relationships will continue to enable us to review a significant amount of direct (or non-brokered) business opportunities.</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Flexible, Customized Business and Financial Solutions for Seasoned, Independent Business Owners. </w:t>
      </w:r>
      <w:r>
        <w:rPr>
          <w:rFonts w:ascii="Times New Roman" w:cs="Times New Roman" w:eastAsia="Times New Roman" w:hAnsi="Times New Roman"/>
          <w:sz w:val="14"/>
          <w:szCs w:val="14"/>
          <w:color w:val="auto"/>
        </w:rPr>
        <w:t>While Newtek Bank’s primary focus will be to expand its lending activities by providing SBA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7(a) loans to independent business owners, we also seek to offer independent business owners a variety of attractive financial solutions, as well as cost effective and efficient business solutions, to meet their capital needs through Newtek Bank and our nonbank subsidiaries. In particular, we offer larger loans, between $5.0 million and $15.0 million, greater than loans available with the SBA guarantee, but with a higher interest rate to compensate for the increased risk. Unlike many of our competitors, we believe we have the business finance ecosystem that allows us to provide a complete package of business and financial solutions for independent business owners, which allows for cross-selling opportunities and improved client retention. We expect that a large portion of our capital will be loaned to companies that need growth capital, acquisition financing or funding to recapitalize or refinance existing debt facilities. Our lending will continue to focus on making loans to independent business owners that:</w:t>
      </w:r>
    </w:p>
    <w:p>
      <w:pPr>
        <w:spacing w:after="0" w:line="16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3 to 10 years of operational history;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experience in management;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worthy owners who provide a personal guarantee for our investment;</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a strong balance sheet to collateralize our investments;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sufficient cash flow to be able to service the payments on our investments comfortably.</w:t>
      </w:r>
    </w:p>
    <w:p>
      <w:pPr>
        <w:spacing w:after="0" w:line="20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Although we may make loans to start-up businesses, we generally seek to avoid lending to high-risk, early-stage enterprises that are only beginning to develop their market share or build their management and operational infrastructure with limited collateral.</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Disciplined Underwriting Policies and Rigorous Portfolio Management</w:t>
      </w:r>
      <w:r>
        <w:rPr>
          <w:rFonts w:ascii="Times New Roman" w:cs="Times New Roman" w:eastAsia="Times New Roman" w:hAnsi="Times New Roman"/>
          <w:sz w:val="14"/>
          <w:szCs w:val="14"/>
          <w:color w:val="auto"/>
        </w:rPr>
        <w:t>. We pursue rigorous due diligence of all prospective loans originated through our Business Lending Platform. Our Senior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Lending Team has developed what we believe to be an extensive underwriting due diligence process, which includes a review of the operational, financial, legal and industry performance and outlook for the prospective investment, including quantitative and qualitative stress tests, review of industry data and when necessary, consultation with outside experts regarding the creditworthiness of the borrower. These processes continue during the portfolio monitoring process, when we will conduct field examinations, when appropriate, review all compliance certificates and covenants and regularly assess the financial and business conditions and prospects of our borrowers. In addition, SBL, an S&amp;P rated servicer, is a third-party servicer for commercial, SBA 7(a) and other government guaranteed investments, whose exceptional servicing capabilities with compact timelines for loan resolutions and dispositions has attracted various third-party portfolios to SBL. SBL services the loans funded by Newtek Bank, Holdco 6, NSBF and our joint ventures, and provides loan origination and closing services to our joint ventures and affiliates.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Prior Business Development Company History</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predecessor was formed on June 29, 1999 under the laws of the State of New York and, on November 12, 2014, in connection with our election to be regulated as a BDC, merged with and into us for the purpose of reincorporating under the laws of the State of Maryland.</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From November 12, 2014 to January 6, 2023, we operated as a BDC and a RIC. As a BDC, we were required to meet certain regulatory tests, including the requirement to invest at least 70% of our gross assets in “qualifying assets.” In addition, as a BDC, we were not permitted to incur indebtedness unless immediately after such borrowing we have an asset coverage for total borrowings of at least 150% (i.e., the amount of debt may not exceed 66 2/3% of the value of our total assets). Additionally, as a RIC, we generally did not have to pay corporate-level U.S. federal income taxes on any ordinary income or capital gains that we timely distribute to our shareholders.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Although we maintained our status as a BDC and a RIC through the entirety of our 2022 fiscal and tax years, upon completing the Acquisition, we filed with the SEC Form N-54C, Notification of Withdrawal of Election to be Subject to the 1940 Act, and ceased to be a BDC. As a result, we are no longer subject to regulation as a BDC under the 1940 Act, and no longer qualify for tax treatment as a RIC under the Code.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and Supervision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U.S. financial services and banking industry is highly regulated. The bank regulatory regime is intended primarily for the protection of customers, the public, the financial system and the DIF, rather than our stockholders or creditors.</w:t>
      </w:r>
    </w:p>
    <w:p>
      <w:pPr>
        <w:spacing w:after="0" w:line="13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The legal and regulatory regime affects virtually all aspects of our operations. Statutes, regulations and policies govern, among other things, the scope of activities that we may conduct and the manner in which we may conduct them; our business plan and growth; our board, management, and risk management infrastructure; the type, terms, and pricing of our products and services; our loan and investment portfolio; our capital and liquidity levels; our reserves against deposits; our ability to pay dividends, repurchase our stock or distribute capital; and our ability to engage in mergers, acquisitions and other strategic initiatives. The legal and regulatory regime is continually under review by legislatures, regulators and other governmental bodies, and changes regularly occur through the enactment or amendment of laws and regulations or through shifts in policy, implementation or enforcement. Changes are difficult to predict and could have significant effects on our business. See “Item 1A Risk Factors - Risks Related to Operating as a Financial Holding Company - The banking industry is highly regulated, and the regulatory framework, together with any future legislative or regulatory changes, may have a significant adverse effect on our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6" w:name="page17"/>
    <w:bookmarkEnd w:id="16"/>
    <w:p>
      <w:pPr>
        <w:ind w:right="20"/>
        <w:spacing w:after="0" w:line="270" w:lineRule="auto"/>
        <w:rPr>
          <w:sz w:val="20"/>
          <w:szCs w:val="20"/>
          <w:color w:val="auto"/>
        </w:rPr>
      </w:pPr>
      <w:r>
        <w:rPr>
          <w:rFonts w:ascii="Times New Roman" w:cs="Times New Roman" w:eastAsia="Times New Roman" w:hAnsi="Times New Roman"/>
          <w:sz w:val="14"/>
          <w:szCs w:val="14"/>
          <w:color w:val="auto"/>
        </w:rPr>
        <w:t>The material regulatory requirements that are applicable to us and our subsidiaries are summarized below. The description below, as well as other descriptions of laws and regulations in this Form 10-K, are not intended to summarize all laws and regulations applicable to us and our subsidiaries, and are based upon the statutes, regulations, policies, interpretive letters and other written guidance that are in effect as of the date of this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Framework</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are subject to regulation and supervision by multiple regulatory bodies. As a bank holding company electing financial holding company status, the Company is subject to the BHCA and is subject to ongoing and comprehensive supervision, regulation, examination and enforcement by the Federal Reserve. The Federal Reserve’s jurisdiction also extends to any company that is directly or indirectly controlled by a bank holding company.</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As a national bank, Newtek Bank is subject to ongoing and comprehensive supervision, regulation, examination and enforcement by the OCC. The OCC charges fees to national banks, including Newtek Bank, in connection with its supervisory activities.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Newtek Bank’s deposits are insured by the Depositors Insurance Fund (DIF) up to applicable legal limits. As an FDIC-insured depository institution, Newtek Bank is subject under certain circumstances to supervision, regulation and examination by the FDIC. The FDIC charges deposit insurance assessments to FDIC-insured institutions, including Newtek Bank, to fund and support the DIF. The rate of these deposit insurance assessments is based on, among other things, the risk characteristics of Newtek Bank. The FDIC has the power to terminate Newtek Bank’s deposit insurance if it determines Newtek Bank is engaging in unsafe or unsound practices. Federal banking laws provide for the appointment of the FDIC as receiver in the event Newtek Bank were to fail, such as in connection with undercapitalization, insolvency, unsafe or unsound condition or other financial distress. In a receivership, the claims of Newtek Bank’s depositors (and those of the FDIC as subrogee of Newtek Bank) would have priority over other general unsecured claims against Newtek Bank.</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During the COVID-19 pandemic, the amount of total estimated insured deposits grew very rapidly while the funds in the DIF grew at a normal rate, causing the DIF reserve ratio to fall below the statutory minimum of 1.35%.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2 basis points, beginning with the first quarterly assessment period of 2023. The increased assessment rate schedules will remain in effect unless and until the reserve ratio of the DIF meets or exceeds 2%. As a result of this rule, the FDIC insurance costs of insured depository institutions, including Newtek Bank, have generally increased.</w:t>
      </w:r>
    </w:p>
    <w:p>
      <w:pPr>
        <w:spacing w:after="0" w:line="15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On November 29, 2023, the FDIC issued a final rule that imposes a special deposit insurance assessment on insured depository institutions in order to recover losses that the DIF has incurred in the receiverships of Silicon Valley Bank and Signature Bank. The rule requires the payment of the special assessment over eight quarterly assessment periods beginning in the first quarter of 2024, subject to adjustments if the total amount collected is insufficient to cover the DIF’s costs. Each quarterly special assessment is equal to 3.36 basis points (0.0336%) of the amount of an institution’s estimated uninsured deposits that exceeded $5 billion as of December 31, 2023. As of December 31, 2023, Newtek Bank’s estimated amount of uninsured deposits was $66.5 million and therefore, Newtek Bank is not required to pay any amount of the special assessment.</w:t>
      </w:r>
    </w:p>
    <w:p>
      <w:pPr>
        <w:spacing w:after="0" w:line="16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We are subject to the disclosure and regulatory requirements of the Securities Act and the Exchange Act, both as administered by the SEC. Our common stock is listed on the Nasdaq Global Market under the ticker symbol “NEWT” and therefore we are also subject to the rules of Nasdaq Global Market for listed companies. 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 See “Item 1A Risk Factors - Risks Related to Operating as a Financial Holding Company - The banking industry is highly regulated, and the regulatory framework, together with any future legislative or regulatory changes, may have a significant adverse effect on our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Broad Powers to Ensure Safety and Soundness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A principal objective of the U.S. bank regulatory system is to ensure the safety and soundness of banking organizations. Safety and soundness is a broad concept that includes financial, operational, compliance and reputational considerations, including matters such as capital, asset quality, quality of board and management oversight, earnings, liquidity, and sensitivity to market and interest rate risk. As part of its commitment to maintain safety and soundness, at the time we acquired Newtek Bank, Newtek Bank entered into an Operating Agreement with the OCC (the “Operating Agreement”). The Operating Agreement sets forth key parameters within which Newtek Bank must operate, such as with respect to its business plan, minimum capital, minimum liquidity, risk management and compliance.</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banking and financial regulators have broad examination and enforcement authority. The regulators require banking organizations to file detailed periodic reports and regularly examine the operations of banking organizations. Banking organizations that do not meet the regulators’ supervisory expectations can be subjected to increased scrutiny and supervisory criticism. The regulators have various remedies available, which may be public or of a confidential supervisory nature, if they determine that an institution’s condition, management, operations or risk profile is unsatisfactory. The regulators may also take action if they determine that the banking organization or its management is violating or has violated any law or regulation. The regulators have the power to, among other things:</w:t>
      </w:r>
    </w:p>
    <w:p>
      <w:pPr>
        <w:spacing w:after="0" w:line="16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affirmative actions to correct any violation or practice;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administrative orders that can be judicially enforced;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increases in capital;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the sale of subsidiaries or other assets;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dividends and distributions;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growth and activities;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parameters, obligations and/or limitations with respect to the operation of our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 civil monetary penalties;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 officers and directors;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deposit insurance.</w:t>
      </w:r>
    </w:p>
    <w:p>
      <w:pPr>
        <w:spacing w:after="0" w:line="2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Engaging in unsafe or unsound practices or failing to comply with applicable laws, regulations and supervisory agreements (including the Operating Agreement) could subject us and our subsidiaries or their officers, directors and institution-affiliated parties to a broad variety of sanctions or remedies, including those described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Limits on Activities and Approval Requirements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BHCA generally restricts the Company’s ability, directly or indirectly, to engage in, or acquire more than 5% of any class of voting securities of a company engaged in activities other than those determined by the Federal Reserve to be so closely related to banking as to be a proper incident thereto. The Gramm-Leach-Bliley Act of 1999 authorized a bank holding company that meets specified conditions, including being “well capitalized” and “well managed,” to opt to become a “financial holding company” and thereby engage in a broader array of financial activities than previously permitted. The Company has elected to become a financial holding company, allowing it to engage in a broader array of financial activities than bank holding companies.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bank regulatory regime, including through the Operating Agreement, requires that we obtain prior approval of one or more regulators for various initiatives or corporate actions, including acquisitions or minority investments, the establishment of branches, certain dividends or capital distributions, and significant deviations from Newtek Bank’s previously approved business plan. Regulators take into account a range of factors in determining whether to grant a requested approval, including the supervisory status of the applicant and its affiliates. Thus, there is no guarantee that a particular proposal by us would receive the required regulatory approvals.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ind w:right="100"/>
        <w:spacing w:after="0" w:line="264" w:lineRule="auto"/>
        <w:rPr>
          <w:sz w:val="20"/>
          <w:szCs w:val="20"/>
          <w:color w:val="auto"/>
        </w:rPr>
      </w:pPr>
      <w:r>
        <w:rPr>
          <w:rFonts w:ascii="Times New Roman" w:cs="Times New Roman" w:eastAsia="Times New Roman" w:hAnsi="Times New Roman"/>
          <w:sz w:val="14"/>
          <w:szCs w:val="14"/>
          <w:color w:val="auto"/>
        </w:rPr>
        <w:t>The CRA requires federal banking regulators, in their review of certain applications by banking organizations, to take into account the applicant’s record in helping meet the credit needs of its community, including low- and moderate-income neighborhoods. Newtek Bank is subject to periodic examination under the CRA by the OCC, which will assign ratings based on the methodologies set forth in its regulations and guidance. Less favorable CRA ratings, or concerns raised under the CRA, may adversely affect Newtek Bank’s ability to obtain approval for certain types of applications. Newtek Bank’s latest rating by the OCC under the CRA is “Satisfactory”.</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October 2023, the Federal Reserve, the FDIC and the OCC issued a joint rule to modernize regulations implementing the CRA. Under the final rules, the agencies will evaluate bank performance across the varied activities they conduct and communities in which they operate. This includes evaluating lending outside traditional assessment areas generated by the growth of non-branch delivery systems, such as online and mobile banking, branchless banking and hybrid models. The final rule adopts a new metrics-based approach to evaluating bank retail lending and community development financing, using benchmarks based on peer and demographic data. The final rule also clarifies eligible CRA activities, such as affordable housing, that are focused on low- and moderate-income, underserved, native and rural communities. Most of the requirements of the final rule take effect January 1, 2026, while the data requirements will take effect January 1, 2027. We are continuing to evaluate the potential impact of the new rule to our business, financial condition and results of operations, which cannot be predicted at this time.</w:t>
      </w:r>
    </w:p>
    <w:p>
      <w:pPr>
        <w:spacing w:after="0" w:line="157"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4"/>
          <w:szCs w:val="14"/>
          <w:color w:val="auto"/>
        </w:rPr>
        <w:t>See “Item 1A Risk Factors - Risks Related to Operating as a Financial Holding Company - The banking industry is highly regulated, and the regulatory framework, together with any future legislative or regulatory changes, may have a significant adverse effect on our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Company as Source of Strength for Newtek Bank</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regulators could require the Company to provide additional capital or liquidity support, or take other action, in support of Newtek Bank, even if doing so is not otherwise in the best interest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Capital Requirements and Prompt Corrective Action</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banking regulators view capital levels as important indicators of an institution’s financial soundness. As a general matter, FDIC-insured depository institutions and their holding companies are required to maintain a specified level of capital relative to the amount and types of assets they hold. While capital can serve as an important cushion against losses, higher capital requirements can also adversely affect an institution’s ability to grow and/or increase leverage through deposit-gathering or other sources of funding.</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and Newtek Bank are each subject to generally similar capital requirements adopted by the Federal Reserve and the OCC, respectively. These requirements establish required minimum ratios for common equity tier 1 risk-based capital, Tier 1 risk-based capital, total risk-based capital and a Tier 1 leverage ratio; set risk-weighting for assets and certain other items for purposes of the risk-based capital ratios; require an additional capital conservation buffer over the minimum required capital ratios in order to avoid certain limitations on paying dividends, engaging in share repurchases, and paying discretionary bonuses; and define what qualifies as capital for purposes of meeting the capital requirements. Specifically, the capital thresholds in order to be regarded as a well-capitalized institution under the Basel Committee on Banking Supervision standardized approach for U.S. banking organizations are as follows: a common equity tier 1 risk-based capital ratio of 6.5%, a Tier 1 risk-based capital ratio of 8.0%, a total risk-based capital ratio of 10.0% and a Tier 1 leverage ratio of 5.0%.</w:t>
      </w:r>
    </w:p>
    <w:p>
      <w:pPr>
        <w:spacing w:after="0" w:line="1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regulators assess any particular institution’s capital adequacy based on numerous factors and may require a particular banking organization to maintain capital at levels higher than the generally applicable minimums. In this regard, and unless otherwise directed by the OCC, we have made commitments for Newtek Bank to maintain a tier 1 leverage ratio of no less than 10% and a total risk-based capital ratio of 11.5% for the term of the Operating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19" w:name="page20"/>
    <w:bookmarkEnd w:id="19"/>
    <w:p>
      <w:pPr>
        <w:ind w:right="60"/>
        <w:spacing w:after="0" w:line="264" w:lineRule="auto"/>
        <w:rPr>
          <w:sz w:val="20"/>
          <w:szCs w:val="20"/>
          <w:color w:val="auto"/>
        </w:rPr>
      </w:pPr>
      <w:r>
        <w:rPr>
          <w:rFonts w:ascii="Times New Roman" w:cs="Times New Roman" w:eastAsia="Times New Roman" w:hAnsi="Times New Roman"/>
          <w:sz w:val="14"/>
          <w:szCs w:val="14"/>
          <w:color w:val="auto"/>
        </w:rPr>
        <w:t>The Federal Deposit Insurance Act provides for a system of “prompt corrective action” (“PCA”). The PCA regime provides for capitalization categories ranging from “well-capitalized” to “critically undercapitalized.” An institution’s PCA category is determined primarily by its regulatory capital ratios. The PCA regime requires remedial actions and imposes limitations that become increasingly stringent as an institution’s condition deteriorates and its PCA capitalization category declines. Among other things, institutions that are less than well-capitalized become subject to increasingly stringent restrictions on their ability to accept and/or rollover brokered deposits.</w:t>
      </w:r>
    </w:p>
    <w:p>
      <w:pPr>
        <w:spacing w:after="0" w:line="16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addition to capital requirements, depository institutions are required to maintain non-interest bearing reserves at specified levels against their transaction accounts and certain non-personal time deposits.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Limits on Dividends and Distributions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ability of the Company or Newtek Bank to pay dividends, repurchase stock and make other capital distributions is limited by regulatory capital rules and other aspects of the regulatory regime. For example, a policy statement of the Federal Reserve provides that, among other things, a bank holding company generally should not pay dividends if its net income for the past year is not sufficient to cover both the cash dividends and a rate of earnings retention that is consistent with the company’s capital needs, asset quality, and overall financial condition.</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Dividends and capital distributions by Newtek Bank are also limited by the regulatory regimes. For example, the Operating Agreement requires Newtek Bank to be in compliance with certain capital levels before paying a dividend. Other laws and regulations generally applicable to national banks also limit the amount of dividends and capital distributions that may be made by a national bank and/or require prior approval of the OCC.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Home Loan Bank System</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Newtek Bank is a member of the FHLB, which consists of 11 regional Federal Home Loan Banks. The FHLB provides a central credit facility primarily for member institutions. Newtek Bank, as a member of the FHLB of Atlanta, is required to acquire and hold shares of capital stock in the FHLB. Newtek Bank is in compliance with this requirement with an investment in FHLB capital stock of $168,400.00 as of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are subject to a broad array of federal, state and local laws and regulations that govern almost every aspect of our business relationships with consumers. These laws relate to, among other things, the content and adequacy of disclosures, pricing and fees, fair lending, anti-discrimination, privacy, cybersecurity, usury, mortgages and housing finance, lending to service members, escheatment, debt collection, loan servicing, collateral secured lending, and unfair, deceptive or abusive acts or practices.</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CFPB is generally responsible for rulemaking with respect to certain federal laws related to the provision of financial products and services to consumers. In addition, the CFPB has examination and primary enforcement authority with respect to federal consumer financial protection laws with respect to banking organizations with assets of $10 billion or more. Newtek Bank has assets less than $10 billion; therefore, we are not currently subject to the examination and enforcement jurisdiction of the CFPB. However, many consumer protection rules adopted or amended by the CFPB do apply to us and are the subject of examination and enforcement with respect to us by the OCC.</w:t>
      </w:r>
    </w:p>
    <w:p>
      <w:pPr>
        <w:spacing w:after="0" w:line="1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If we fail to comply with these laws and regulations, we may be subject to significant penalties, judgments, other monetary or injunctive remedies, lawsuits (including putative class action lawsuits and actions by state and local attorneys general or other officials), customer rescission rights, supervisory or enforcement actions, and civil or criminal liability. See “Item 1A Risk Factors - Risks Related to Operating as a Financial Holding Company - The banking industry is highly regulated, and the regulatory framework, together with any future legislative or regulatory changes, may have a significant adverse effect on our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Anti-Money Laundering, Sanctions and Financial Crime</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subject to a wide range of laws related to anti-money laundering, economic sanctions and prevention of financial crime, including the Bank Secrecy Act, the USA PATRIOT Act and economic sanctions programs. We are required to, among other things, maintain an effective anti-money laundering and counter-terrorist compliance program, identify and file suspicious activity and currency transaction reports, and block transactions with sanctioned persons or jurisdictions. Compliance with these laws requires significant investment of management attention and resources. These laws are enforced by a number of regulatory authorities, including the Federal Reserve, OCC, Office of Foreign Assets Control,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Relationship Risk Management</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utilize third-party service providers to perform a wide range of operations and other functions, which may present various risks. Our regulators will expect us to maintain an effective program for managing risk arising from third-party relationships, which should be commensurate with the level of risk and complexity of our business and our third-party relationships. If not managed effectively, the use of third-party service providers may expose us to risks that could result in regulatory action, financial loss, litigation and reputational harm. On June 6, 2023, the FDIC, the Federal Reserve and the OCC issued final guidance providing sound principles that support a risk-based approach to third-party risk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Information Technology and Cybersecurity</w:t>
      </w:r>
    </w:p>
    <w:p>
      <w:pPr>
        <w:spacing w:after="0" w:line="19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We are subject to various laws related to the privacy of consumer information. For example, we and our subsidiaries are required under federal law periodically to disclose to their retail clients our policies and practices with respect to the sharing of nonpublic client information with their affiliates and others, and the confidentiality and security of that information. In some cases, Newtek Bank must obtain a consumer’s consent before sharing information with an unaffiliated third party, and Newtek Bank must allow a consumer to opt out of Newtek Bank’s sharing of information with its affiliates for marketing and certain other purposes. We are also subject to laws and regulatory requirements related to information technology and cybersecurity. For example, the FFIEC, which is a council comprised of the primary federal banking regulators, has issued guidance and supervisory expectations for banking organizations with respect to information technology and cybersecurity.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 Our regulators will regularly examine us for compliance with applicable laws, and adherence to industry best practices, with respect to these topics. For example, they will evaluate our security of user and customer credentials, business continuity planning, and the ability to identify and thwart cyber-attacks.</w:t>
      </w:r>
    </w:p>
    <w:p>
      <w:pPr>
        <w:spacing w:after="0" w:line="21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State regulators have also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 For example, the California Privacy Rights Act of 2020 became fully operative on January 1, 2023. We expect this trend of state-level activity in those areas to continue, and are continually monitoring developments in the states in which our clients are located.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Transactions with Affiliates and Loans to Insiders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Banks are subject to restrictions on their ability to conduct transactions with affiliates and other related parties under federal banking laws. For example, federal banking laws impose quantitative limits, qualitative requirements, and collateral standards on certain extensions of credit and other transactions by an insured depository institution with, or for the benefit of, its affiliates. In addition, most types of transactions by an insured depository institution with, or for the benefit of, an affiliate must be on terms substantially the same or at least as favorable to the insured depository institution as if the transaction were conducted with an unaffiliated third party. Federal banking laws also impose restrictions and procedural requirements in connection with the extension of credit by an insured depository institution to directors, executive officers, principal stockholders (including the Company) and their related interests. In addition, purchases and sales of assets between an insured depository institution and its executive officers, directors, and principal stockholders may also be limited under such laws. The Sarbanes-Oxley Act generally prohibits loans by public companies to their executive officers and directors. However, there is a specific exception for loans by financial institutions, such as Newtek Bank, to its executive officers and directors that are made in compliance with federal</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banking 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a Significant Interest in the Company</w:t>
      </w:r>
    </w:p>
    <w:p>
      <w:pPr>
        <w:spacing w:after="0" w:line="19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Banking laws impose various regulatory requirements on parties that may seek to acquire a significant interest in the Company. For example, the Change in Bank Control Act of 1978 would generally require that any party file a formal notice with, and obtain non-objection of, the Federal Reserve prior to acquiring (directly or indirectly, whether alone or acting in concert with any other party) 10% or more of any class of voting securities of the Company. Further approval requirements and significant ongoing regulatory consequences would apply to any company that (directly or indirectly, whether alone or as part of an association with another company) seeks to acquire “control” of the Company or Newtek Bank for purposes of the BHCA. The determination whether a party “controls” a depository institution or its holding company for purposes of these laws is based on applicable regulations and all of the facts and circumstances surrounding the investment. See “Item 1A Risk Factors - Risks Related to Operating as a Financial Holding Company - Federal law may discourage certain acquisitions of our common stock which could have a material adverse effect on our shareholders.”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on Economic Environment</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policies of regulatory authorities, including the monetary policy of the Federal Reserve, have a significant effect on the operating results of bank holding companies and their subsidiaries. Among the means available to the Federal Reserve to affect the money supply are open market operations in U.S. government securities, changes in the discount rate on borrowings and changes in reserve requirements with respect to deposits. These means are used in varying combinations to influence overall growth and distribution of bank loans, investments and deposits, and their use may affect interest rates charged on loans or paid for deposits. The Federal Reserve monetary policies have materially affected the operating results of commercial banks in the past and are expected to continue to do so in the future. Although we conduct stress tests to measure and prepare for the impact of potential changes in monetary policy, we cannot predict with certainty the nature of future monetary policies and the effect of such policies on our business and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NSBF’s Regulation as a Small Business Lending Company and the Transition of SBA 7(a) Lending to Newtek Bank</w:t>
      </w:r>
    </w:p>
    <w:p>
      <w:pPr>
        <w:spacing w:after="0" w:line="19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Our wholly-owned subsidiary, NSBF, is licensed by the SBA as an SBLC that originated loans through the SBA 7(a) Program. As a result of the Acquisition, all SBA 7(a) loan originations were transitioned to Newtek Bank in April 2023, and NSBF ceased the origination of SBA 7(a) loans, relinquished its PLP status and is winding-down its operations. During this wind down process, NSBF is required to continue to own the SBA 7(a) loans and PPP Loans in its SBA loan portfolio to maturity, liquidation, charge-off, or (subject to SBA’s prior written approval), sale or transfer. NSBF is further required to continue to service and liquidate its SBA loan portfolio, including processing forgiveness and loan reviews for PPP Loans, pursuant to an SBA approved lender service provider agreement with SBL. During the wind down process, NSBF is required to maintain minimum capital requirements established by the SBA, required to maintain certain amounts of restricted cash available to meet any obligations to the SBA, and has restrictions on its ability to make dividends and distributions to its parent, and will remain liable to SBA for post-purchase denials and repairs, from the proceeds generated by NSBF’s SBA loan portfolio. The Company has guaranteed NSBF’s obligations to the SBA and has funded a $10 million account at Newtek Bank to secure these potential obligations. Any future post-purchase denials and repairs demands on NSBF could negatively impact our results of operations.</w:t>
      </w:r>
    </w:p>
    <w:p>
      <w:pPr>
        <w:spacing w:after="0" w:line="17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Newtek Bank has been granted PLP status. The SBA grants PLP status to certain lenders originating SBA 7(a) loans based on achievement of certain standards in lending which are regularly monitored by the SBA. As a Preferred Lender, Newtek Bank is authorized to place SBA guarantees on SBA 7(a) loans without seeking prior SBA review and approval. Designated PLP lenders are delegated the authority to process, close, service, and liquidate most SBA guaranteed loans without prior SBA review. PLP lenders are authorized to make SBA guaranteed loans, subject only to a brief eligibility review and assignment of a loan number by SBA. In addition, PLP lenders are expected to handle servicing and liquidation of all of their SBA loans with limited involvement of SBA. If Newtek Bank fails to maintain PLP status, it would have a material adverse impact on Newtek Bank’s ability to originate SBA 7(a) loans at NSBF’s historic levels. See “Item 1A. Risk Factors - Risks Related to SBA Lending - There can be no guarantee that Newtek Bank and NSBF will be able to maintain their SBA 7(a) lending licenses.”</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Pursuant to the SBA’s regulations, the SBA is released from liability on its guaranty of an SBA 7(a) loan and may, in its sole discretion, refuse to honor a guaranty purchase request in full or in part, or recover all or part of the funds already paid in connection with a guaranty purchase, if the lender failed to comply materially with a SBA Loan Program Requirement; failed to make, close, service or liquidate the loan in a prudent manner; placed the SBA at risk through improper action or inaction; failed to disclose a material fact to the SBA in a timely manner; or misrepresented a material fact to the SBA regarding the loan. In certain instances, the SBA may refuse to honor a guaranty purchase request in full (referred to by the SBA as a “denial”) or in part (referred to by the SBA as a “repair”), or recover all or part of the funds already paid in connection with a guaranty purchase. In the event of a repair or denial, liability on the guaranty, in whole or in part, would be transferred to NSBF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ind w:right="80"/>
        <w:spacing w:after="0" w:line="253" w:lineRule="auto"/>
        <w:rPr>
          <w:sz w:val="20"/>
          <w:szCs w:val="20"/>
          <w:color w:val="auto"/>
        </w:rPr>
      </w:pPr>
      <w:r>
        <w:rPr>
          <w:rFonts w:ascii="Times New Roman" w:cs="Times New Roman" w:eastAsia="Times New Roman" w:hAnsi="Times New Roman"/>
          <w:sz w:val="14"/>
          <w:szCs w:val="14"/>
          <w:color w:val="auto"/>
        </w:rPr>
        <w:t>Newtek Bank as the originator of the loan, as the case may be. Even though NSBF has ceased originating new SBA 7(a) loans, it has retained and may be exposed to repair and denial liability to the SBA for SBA 7(a) loans in NSBF’s portfolio. The incurrence of repairs and denials while NSBF is no longer generating income from the sales of guaranteed portions of SBA 7(a) loans can have a material negative impact on our financial results and liquidity. In addition, changes in SBA regulations and economic factors may adversely impact NSBF’s or Newtek Bank’s repair and denial rates. See “Item 1A. Risk Factors - Risks Related to SBA Lending - NSBF and Newtek Bank, our wholly-owned subsidiaries, are subject to regulation by the SBA, which has specific risks.”</w:t>
      </w:r>
    </w:p>
    <w:p>
      <w:pPr>
        <w:spacing w:after="0" w:line="15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In connection with NSBF’s 2018 examination by the SBA, NSBF entered into a voluntary agreement with the SBA pursuant to NSBF’s commitment to operate under the SBA Loan Program Requirements. Consistent with the terms of the agreement, NSBF has established a segregated restricted cash account in the amount of $10 million to account for potential post-purchase repairs and denials of guaranteed portions of SBA 7(a) loans, and agreed to take certain actions to, among other things, demonstrate the sufficiency of NSBF’s liquidity.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30, 2023, the CFPB finalized a rule under Section 1071 of the Dodd-Frank Act requiring lenders to collect and report data regarding small business lending activity.</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are evaluating the impact of this new rule. The rule was scheduled to take effect on August 29, 2023, and would have required compliance by October 1, 2024, April 1, 2025, or January 1, 2026, depending on the number of covered small business loans that a covered lender originates. On July 31, 2023, the U.S. District Court for the Southern District of Texas enjoined the CFPB from implementing and enforcing the rule with respect to American Bankers Association members, which includes the Company, pending the U.S. Supreme Court’s consideration of the constitutionality of the CFPB’s funding structure in a separate case.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Lending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engage in various business and lending strategies in order to achieve our overall business objectives. See “Item 1A. Risk Factors – Risks Relating to Our Business and Structure.”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Lending Opportunity Characteristics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and will continue to target loans that generate both current income and capital appreciation. In each case, the following criteria and guidelines are applied to the review of a potential lending opportunity; however, not all criteria are met in every single loan, nor do we guarantee that all criteria will be met in the loans we will make in the future. We have and will continue to limit our lending to the independent business owner/SMB market.</w:t>
      </w:r>
    </w:p>
    <w:p>
      <w:pPr>
        <w:spacing w:after="0" w:line="15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Experienced Management with Meaningful Investment. </w:t>
      </w:r>
      <w:r>
        <w:rPr>
          <w:rFonts w:ascii="Times New Roman" w:cs="Times New Roman" w:eastAsia="Times New Roman" w:hAnsi="Times New Roman"/>
          <w:sz w:val="14"/>
          <w:szCs w:val="14"/>
          <w:color w:val="auto"/>
        </w:rPr>
        <w:t>We seek to lend to businesses in which senior or key managers have significant company-or industry-level experience and have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ownership. We have found that these more seasoned managers are more committed to the businesses’ success and more likely to manage the business in a manner that protects our investments.</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Invested Capital. </w:t>
      </w:r>
      <w:r>
        <w:rPr>
          <w:rFonts w:ascii="Times New Roman" w:cs="Times New Roman" w:eastAsia="Times New Roman" w:hAnsi="Times New Roman"/>
          <w:sz w:val="14"/>
          <w:szCs w:val="14"/>
          <w:color w:val="auto"/>
        </w:rPr>
        <w:t>We believe that the existence of an appropriate amount of equity in the businesses we lend to provides valuable support for our loans. In addition, the degree to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particular loan is a meaningful one for the businesses’ owners (and their ability and willingness to invest additional equity capital as and to the extent necessary) are also important considerations.</w:t>
      </w:r>
    </w:p>
    <w:p>
      <w:pPr>
        <w:spacing w:after="0" w:line="141"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Appropriate Capital Structures. </w:t>
      </w:r>
      <w:r>
        <w:rPr>
          <w:rFonts w:ascii="Times New Roman" w:cs="Times New Roman" w:eastAsia="Times New Roman" w:hAnsi="Times New Roman"/>
          <w:sz w:val="14"/>
          <w:szCs w:val="14"/>
          <w:color w:val="auto"/>
        </w:rPr>
        <w:t>We seek to lend to businesses that are appropriately capitalized. First, we examine the amount of equity that is being invested by the business’ equity owners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 whether there is a sufficient capital cushion beneath our loans. We also analyze the amount of senior debt and collateral with lien priority over the loan. A key consideration is a strong balance sheet and sufficient historical or projected free cash flow to service any debt we may invest.</w:t>
      </w:r>
    </w:p>
    <w:p>
      <w:pPr>
        <w:spacing w:after="0" w:line="1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Strong Competitive Position. </w:t>
      </w:r>
      <w:r>
        <w:rPr>
          <w:rFonts w:ascii="Times New Roman" w:cs="Times New Roman" w:eastAsia="Times New Roman" w:hAnsi="Times New Roman"/>
          <w:sz w:val="14"/>
          <w:szCs w:val="14"/>
          <w:color w:val="auto"/>
        </w:rPr>
        <w:t>We seek to lend to businesses that have developed strong, defensible product or service offerings within their respective market segment(s). These businesses should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well positioned to capitalize on organic and strategic growth opportunities, and should compete in industries with strong fundamentals and meaningful barriers to entry. We further analyze prospective lending opportunities in order to identify competitive advantages within their industry, which may result in superior operating margins or industry-leading growth.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and Supplier Diversification. </w:t>
      </w:r>
      <w:r>
        <w:rPr>
          <w:rFonts w:ascii="Times New Roman" w:cs="Times New Roman" w:eastAsia="Times New Roman" w:hAnsi="Times New Roman"/>
          <w:sz w:val="14"/>
          <w:szCs w:val="14"/>
          <w:color w:val="auto"/>
        </w:rPr>
        <w:t>We expect to lend to businesses with sufficiently diverse customer and supplier bases. We believe these businesses will be better able to endure industry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consolidation, economic contraction and increased competition than those that are not sufficiently diversified. However, we also recognize that from time to time, an attractive lending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risk-weighted pricing scenario.</w:t>
      </w:r>
    </w:p>
    <w:p>
      <w:pPr>
        <w:spacing w:after="0" w:line="16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target our loans made through our business finance ecosystem under the SBA 7(a) program, to produce generally, a coupon rate of prime plus 3.0% to 6.50% which enables us to generate rapid sales of the guaranteed portions of SBA 7(a) loans in the secondary market, which have historically produced gains and a yield on investment in excess of 30%.</w:t>
      </w:r>
    </w:p>
    <w:p>
      <w:pPr>
        <w:spacing w:after="0" w:line="14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Collateral and Sources of Repayment. </w:t>
      </w:r>
      <w:r>
        <w:rPr>
          <w:rFonts w:ascii="Times New Roman" w:cs="Times New Roman" w:eastAsia="Times New Roman" w:hAnsi="Times New Roman"/>
          <w:sz w:val="14"/>
          <w:szCs w:val="14"/>
          <w:color w:val="auto"/>
        </w:rPr>
        <w:t>We typically structure our loans with the maximum seniority and collateral along with personal guarantees from business owners, in many cases collateralized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other assets including real estate. In most cases, our loans will be collateralized by a first lien on the assets of the business and a first or second lien on assets of guarantors, in both cases primarily real estate. All SBA 7(a) loans are made with personal guarantees from any owner(s) of 20% or more of the business’ equity. As of December 31, 2023, substantially all of our SBA 7(a) loans at fair value consisted of loans that were secured by first or second priority liens on the assets of the business.</w:t>
      </w:r>
    </w:p>
    <w:p>
      <w:pPr>
        <w:spacing w:after="0" w:line="159" w:lineRule="exact"/>
        <w:rPr>
          <w:sz w:val="20"/>
          <w:szCs w:val="20"/>
          <w:color w:val="auto"/>
        </w:rPr>
      </w:pPr>
    </w:p>
    <w:p>
      <w:pPr>
        <w:ind w:left="520" w:right="360" w:hanging="260"/>
        <w:spacing w:after="0" w:line="271" w:lineRule="auto"/>
        <w:tabs>
          <w:tab w:leader="none" w:pos="51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First Lien Loans. </w:t>
      </w:r>
      <w:r>
        <w:rPr>
          <w:rFonts w:ascii="Times New Roman" w:cs="Times New Roman" w:eastAsia="Times New Roman" w:hAnsi="Times New Roman"/>
          <w:sz w:val="14"/>
          <w:szCs w:val="14"/>
          <w:color w:val="auto"/>
        </w:rPr>
        <w:t>Our first lien loans generally have terms of one to 25 years, provide for a variable interest rate, contain no prepayment penalties (however, the SBA will charge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 a prepayment fee if the loan has a maturity of 15 or more years and is prepaid during the first three years) and are secured by a first priority security interest in all existing and future assets of the borrower. Our first lien loans may take many forms, including revolving lines of credit, term loans.</w:t>
      </w:r>
    </w:p>
    <w:p>
      <w:pPr>
        <w:spacing w:after="0" w:line="154" w:lineRule="exact"/>
        <w:rPr>
          <w:rFonts w:ascii="Times New Roman" w:cs="Times New Roman" w:eastAsia="Times New Roman" w:hAnsi="Times New Roman"/>
          <w:sz w:val="14"/>
          <w:szCs w:val="14"/>
          <w:i w:val="1"/>
          <w:iCs w:val="1"/>
          <w:color w:val="auto"/>
        </w:rPr>
      </w:pPr>
    </w:p>
    <w:p>
      <w:pPr>
        <w:ind w:left="520" w:right="20" w:hanging="260"/>
        <w:spacing w:after="0" w:line="265" w:lineRule="auto"/>
        <w:tabs>
          <w:tab w:leader="none" w:pos="51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Second Lien Loans. </w:t>
      </w:r>
      <w:r>
        <w:rPr>
          <w:rFonts w:ascii="Times New Roman" w:cs="Times New Roman" w:eastAsia="Times New Roman" w:hAnsi="Times New Roman"/>
          <w:sz w:val="14"/>
          <w:szCs w:val="14"/>
          <w:color w:val="auto"/>
        </w:rPr>
        <w:t>Our second lien loans generally have terms of five to 25 years, also primarily provide for a variable interest rate, contain no prepayment penalties (however, the SBA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 the borrower a prepayment fee if the loan has a maturity of 15 or more years and is prepaid during the first three years) and are secured by a second priority security interest in all existing and future assets of the borrower. We typically take second lien positions on additional collateral when first lien positions exist. All loans are secured by a lien on all available collateral of the business or any owner 20% or greater.</w:t>
      </w:r>
    </w:p>
    <w:p>
      <w:pPr>
        <w:spacing w:after="0" w:line="16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We typically structure our loans to include non-financial covenants that seek to minimize our risk of capital loss such as lien protection and prohibitions against change of control. Our loans are typically structured to have strong protections, including default penalties, information rights and, in some cases, affirmative, negative and financial covenants.</w:t>
      </w:r>
    </w:p>
    <w:p>
      <w:pPr>
        <w:spacing w:after="0" w:line="14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addition to loans originated under the SBA 7(a) program. our Newtek Lending Platform includes the following loan products originated by Newtek Bank: SBA 504 loans, C&amp;I loans (including ABL and owner occupied CRE and investor CRE). In addition, our alternative lending program loans (formerly referred to as non-conforming conventional loans) are originated by NewtekOne nonbank subsidiaries and joint ventures.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SBA 504 loans provide long-term fixed rate financing for major fixed assets such as real estate or equipment. The maximum loan amount for a SBA 504 loan is $5.5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C&amp;I Lending, CRE Lending and ABL. Newtek Bank provides C&amp;I loans, which includes ABL and owner occupied CRE and investor CRE loans, to its commercial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“ITEM 7. MANAGEMENT'S DISCUSSION AND ANALYSIS OF FINANCIAL CONDITION AND RESULTS OF OPERATIONS. ”</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Investments to Expand or Enhance the NewtekOne Business and Financial Solutions Ecosystem</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While the vast majority of our lending opportunities have been structured as loans, we have in the past and expect in the future to make selective equity investments primarily as either strategic investments to enhance the integrated operating platform or, to a lesser degree, under the Capco programs. Historically, for investments in our subsidiaries, we focused more on tailoring them to the long-term growth needs of the companies than to immediate return. Our objective with these companies was to foster the development of the businesses as a part of the integrated operational platform of serving the independent business owner market, so we may have sought to reduce the burden on these companies to enable them to grow faster than they would otherwise as another means of supporting their development and that of the integrated whole.</w:t>
      </w:r>
    </w:p>
    <w:p>
      <w:pPr>
        <w:spacing w:after="0" w:line="1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Capco investments, we have made debt investments in conjunction with being granted equity in the company in the same class of security as the business owner receives upon funding. We have generally sought to structure our equity investments to provide us with minority rights provisions and event-driven put rights.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Origination Process</w:t>
      </w:r>
    </w:p>
    <w:p>
      <w:pPr>
        <w:spacing w:after="0" w:line="202"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The following discussion relates to the Company’s loan origination selection process in connection with SBA 7(a) lending. For more information, see “Item 7— Management’s Discussion and Analysis of Financial Condition and Results of Operations.” The members of our Senior Lending Team and our executive officers are responsible for all aspects of our loan origination selection process. The discussion below describes our procedures. The stages of our selection process for loan originations are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Deal Generation/Origination</w:t>
      </w:r>
    </w:p>
    <w:p>
      <w:pPr>
        <w:spacing w:after="0" w:line="2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 xml:space="preserve">We believe that the combination of our brand, our portal, our patented NewTracker® technology, and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have created an extensive loan and deal sourcing infrastructure. This is maximized through long-standing and extensive relationships with industry contacts, commercial and investment bankers, entrepreneurs, services providers (such as lawyers and accountants), as well as current and former clients and our extensive network of strategic alliance partners. We supplement our relationships by the selective use of advertising aimed primarily at lending to the SMB market. We believe we have developed a reputation as a knowledgeable and reliable source of capital, providing value-added advice, prompt processing, and management and operations support to our clients.</w:t>
      </w:r>
    </w:p>
    <w:p>
      <w:pPr>
        <w:spacing w:after="0" w:line="16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 xml:space="preserve">We market our business and financial solutions through referrals from our alliance partners such as Stifel Bank, Axiom Bank, Credit Union National Association, ENT Federal Credit Union, Legacy Bank, Morgan Stanley Smith Barney, Flagstar Bank, Raymond James, Randolph Brooks Federal Credit Union, UBS, Meineke Dealers Purchasing Cooperative, Regions Bank, Hartford Insurance, Bank United, US Century Bank, Anderson Capital Advisors, Transworld Business Advisors, Army Navy Federal Credit Union, Teachers Federal Credit Union, Spire Federal Credit Union, Aamco, 1800 Accountants, and True Value Company, among others using our patented NewTracker® referral system as well as direct referrals from our web presence, </w:t>
      </w:r>
      <w:r>
        <w:rPr>
          <w:rFonts w:ascii="Times New Roman" w:cs="Times New Roman" w:eastAsia="Times New Roman" w:hAnsi="Times New Roman"/>
          <w:sz w:val="14"/>
          <w:szCs w:val="14"/>
          <w:i w:val="1"/>
          <w:iCs w:val="1"/>
          <w:color w:val="auto"/>
        </w:rPr>
        <w:t>www.newtekone.com</w:t>
      </w:r>
      <w:r>
        <w:rPr>
          <w:rFonts w:ascii="Times New Roman" w:cs="Times New Roman" w:eastAsia="Times New Roman" w:hAnsi="Times New Roman"/>
          <w:sz w:val="14"/>
          <w:szCs w:val="14"/>
          <w:color w:val="auto"/>
        </w:rPr>
        <w:t>. The patent for our NewTracker® referral system is a software application patent covering the systems and methods for tracking, reporting and performing processing activities and transactions in association with referral data and related information for a variety of product and service offerings in a business-to-business environment providing further for security and transparency between referring parties. NewTracker® allows us and our alliance partners to review in real time the status of any referral as well as to provide real time compliance oversight by the respective alliance partner, which we believe creates confidence between the referred business client, the referring alliance partner and us.</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Additional deal sourcing and referrals are obtained from individual professionals in geographic markets that have signed up to provide referrals and earn commissions through our BizExec and TechExec Programs. The BizExecs and TechExecs are traditionally information technology professionals, CPAs, independent insurance agents and sales and/or marketing professionals. In addition, electronic payment processing services are marketed through independent sales representatives and web technology and eCommerce services are marketed through internet-based marketing and third-party resellers. A common thread across all business lines of our subsidiaries and subsidiaries relates to acquiring customers at low cost. We seek to bundle our marketing efforts through our brand, our portal, NewTracker®,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and one easy entry point of contact. We expect that this approach will allow us to continue to cross-sell the business and financial solutions of our subsidiaries and subsidiaries to our customers and customers of our subsidiaries, and to build upon our extensive deal sourcing infrastructure.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Screening</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screen all potential loan opportunities that we receive for suitability and consistency with our underwriting criteria. See “Lending Opportunity Characteristics,” above. In screening potential loan opportunities, our Senior Lending Team and our executive officers utilize a value-oriented lending philosophy and commit resources to managing downside exposure. If a potential lending opportunity meets our basic underwriting criteria, a business service specialist or other member of our team is assigned to perform preliminary due diligence.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Lending Procedures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Newtek Bank originates (and prior to January 6, 2023, for 20 years NSBF originated) loans under the SBA 7(a) Program (authorized by section 7(a) of the Small Business Act, 15 U.S.C. 636(a)), in accordance with our credit and underwriting policy, which incorporates by reference the applicable regulations and the SBA Standard Operating Procedures, Lender and Development Company Loan Program (“SOP 50 10 and 50 57”) (collectively, “SBA Loan Program Requirements”) as they relate to the financing and servicing of such loans. Following the Acquisition, NBSF continues to service its current portfolio of SBA 7(a) loans via a lender servicer provider agreement with SBL, and new SBA 7(a) loan originations are being made by Newtek Bank. However, there can be no guarantee that Newtek Bank and NSBF will be able to maintain their SBA 7(a) lending licenses. See “Risk Factors - Risks Related to SBA Lending - There can be no guarantee that Newtek Bank and NSBF will be able to maintain their SBA 7(a) lending licenses.”</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During the initial application process for a loan originated under the SBA 7(a) Program, a NewtekOne business service specialist assists and guides the applicant through the application process, beginning with the submission of an online form through our customized loan portal. The online loan processing system collects required information and ensures that all necessary forms are provided to the applicant and filled out. The system conducts automatic screenings that focus primarily on whether (i) the requested loan is for an eligible purpose, (ii) the requested loan is for an eligible amount and (iii) the applicant is an eligible borrower. If the applicant is eligible to fill out the entire application, the online system pre-qualifies the applicant based on preset credit parameters meeting the standards of the Company and the SBA.</w:t>
      </w:r>
    </w:p>
    <w:p>
      <w:pPr>
        <w:spacing w:after="0" w:line="164"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Once the online form and the application materials are completed, our underwriting department (the “Underwriting Department”) becomes primarily responsible for reviewing and analyzing the application in order to accurately assess the level of risk that would be undertaken in making a loan. The Underwriting Department is responsible for assuring that all information necessary to prudently analyze the risk associated with a loan application has been obtained and considered. Credit files are developed and maintained with the documentation received during the application process in such a manner as to facilitate file review during subsequent developments during the life of the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Required Information</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For a loan originated under the SBA 7(a) Program, the primary application document to assess eligibility is SBA Form 1919 (Borrower Information Form) (“Form 1919”). Among other things, Form 1919 requires identifying information about the applicant, loan request, indebtedness, principals, beneficial owners, current and/or previous government financing, and certain other certifications used to determine the applicant’s eligibility. For loans submitted using a Lender’s delegated authority, the Lender may now accept the eligibility information provided by the applicant as true when submitting a loan to SBA for validation using the newly implemented Risk Mitigation Framework.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Form 1919, the following additional information is required in order for our Underwriting Department to have the necessary information to make a decision on the loan application::</w:t>
      </w:r>
    </w:p>
    <w:p>
      <w:pPr>
        <w:spacing w:after="0" w:line="189" w:lineRule="exact"/>
        <w:rPr>
          <w:sz w:val="20"/>
          <w:szCs w:val="20"/>
          <w:color w:val="auto"/>
        </w:rPr>
      </w:pPr>
    </w:p>
    <w:p>
      <w:pPr>
        <w:ind w:left="520" w:right="14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SBA Form 413 (Personal Financial Statement), signed and dated with 120 days of submission to the SBA, for all owners of 20% or more (including the assets of the owner’s spouse and any minor children), and proposed guarantors;</w:t>
      </w:r>
    </w:p>
    <w:p>
      <w:pPr>
        <w:spacing w:after="0" w:line="156" w:lineRule="exact"/>
        <w:rPr>
          <w:rFonts w:ascii="Times New Roman" w:cs="Times New Roman" w:eastAsia="Times New Roman" w:hAnsi="Times New Roman"/>
          <w:sz w:val="14"/>
          <w:szCs w:val="14"/>
          <w:color w:val="auto"/>
        </w:rPr>
      </w:pPr>
    </w:p>
    <w:p>
      <w:pPr>
        <w:ind w:left="520" w:right="120" w:hanging="260"/>
        <w:spacing w:after="0" w:line="251" w:lineRule="auto"/>
        <w:tabs>
          <w:tab w:leader="none" w:pos="514"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color w:val="auto"/>
        </w:rPr>
        <w:t>tax transcripts in accordance with SBA Loan Program Requirements and either business financial statements or tax returns for the prior three years for the applicant and any affiliates, dated within 120 days prior to submission to SBA. Financials should consist of (a) year-end balance sheets for the last three years, including detailed debt schedule, (b) year-end profit &amp; loss (P&amp;L) statements for the last three years, (c) reconciliation of net worth, (d) interim balance sheet, including a detailed debt schedule, and (e) interim P&amp;L statements;</w:t>
      </w:r>
    </w:p>
    <w:p>
      <w:pPr>
        <w:spacing w:after="0" w:line="169" w:lineRule="exact"/>
        <w:rPr>
          <w:rFonts w:ascii="Calibri" w:cs="Calibri" w:eastAsia="Calibri" w:hAnsi="Calibri"/>
          <w:sz w:val="16"/>
          <w:szCs w:val="16"/>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formation documents for all obligor entities to validate existence and structure;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applicant’s original business license or certificate of doing business;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records of any loans the applicant may have applied for in the past;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signed personal and business U.S. federal income tax returns of the principals of the applicant’s business for previous three years;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resumes for each principal;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history of the business and its challenges, including an explanation of why the SBA loan is needed and how it will help the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applicant’s business lease, or note from the applicant’s landlord, giving terms of proposed lease; and</w:t>
      </w:r>
    </w:p>
    <w:p>
      <w:pPr>
        <w:spacing w:after="0" w:line="19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purchasing an existing business, (a) current balance sheet and P&amp;L statement of business to be purchased, (b) previous two years’ U.S. federal income tax returns of the business, (c) proposed Bill of Sale including Terms of Sale, and (d) asking price with schedule of inventory, machinery and equipment, furniture and fixtures.</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We view current financial information as the foundation of sound credit analysis. To that end, verification of all business income tax returns with the Internal Revenue Service is required, and after the loan closes, we request financial statements be submitted on an annual basis. For business entities or business guarantors, we request U.S. federal income tax returns for each fiscal year-end to meet the prior three-year submission requirement. For interim periods, management-prepared financial statements are accepted. The most recent financial information may not be more than 120 days old at the time of submission to the SBA for approval of the loan, but we generally request that the most recent financial information not be older than 90 days in order to provide time for underwriting and submission to SBA for guaranty approval, if required. For individuals or personal guarantors, we require a personal financial statement dated within 120 days of the application (sixty days is preferred) and personal income tax returns for the prior three years. In connection with each yearly update of business financial information, the personal financial information of each principal must also be updated. Spouses are required to sign all personal financial statements in order for the Underwriting Department to verify compliance with the SBA’s personal resource test. In addition, the Underwriting Department will ensure that there has been no adverse impact on the financial condition of the applicant or its principals since the approval of the loan. If closing does not occur within ninety days of the date on which the loan is approved, updated business and personal financial statements must be obtained and any adverse change must be addressed before the proceeds of the loan may be disbursed. If closing does not occur within six months of the date on which the loan is approved, the applicant is generally required to reapply for the loan.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Stress Test</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standard underwriting process requires a stress test on the applicant’s interest rate to gauge the amount of increase that the applicant’s cash flow can withstand and still provide sufficient cash to service the debt. The applicant’s cash flow is tested up to a 2% increase in interest rate. If the applicant’s debt service coverage ratio decreases to 1:1 or less than 1:1, the loan may only be made as an exception to our Underwriting Guidelines and would require the approval of our credit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Required Site Visit</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No loan will be funded without an authorized representative of Newtek Bank first making a site visit to the business premises. We generally use a contracted vendor to make the required site visit but may from time to time send our own employees to perform this function. Each site visit will generate a narrative of the business property as well as photographs of the business property. Additional site visits will be made when a physical on-site inspection is warranted.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Assessment of Applicant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requests are assessed primarily based upon an analysis of the character, cash flow, capital, liquidity and collateral involved in the transaction.</w:t>
      </w:r>
    </w:p>
    <w:p>
      <w:pPr>
        <w:spacing w:after="0" w:line="1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Character: </w:t>
      </w:r>
      <w:r>
        <w:rPr>
          <w:rFonts w:ascii="Times New Roman" w:cs="Times New Roman" w:eastAsia="Times New Roman" w:hAnsi="Times New Roman"/>
          <w:sz w:val="14"/>
          <w:szCs w:val="14"/>
          <w:color w:val="auto"/>
        </w:rPr>
        <w:t>We require a personal credit report to be obtained on any principal or guarantor involved in a loan transaction. Emphasis is placed upon the importance of individual credit histories, as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 primary indicator of an individual’s willingness and ability to repay debt. Any material negative credit information must be explained in writing by the principal, and must be attached to the personal credit report in the credit file. No loan will be made where an individual’s credit history calls into question the repayment ability of the business operation. A loan request from an applicant who has declared bankruptcy within the ten years preceding the loan application will require special consideration. A thorough review of the facts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7" w:name="page28"/>
    <w:bookmarkEnd w:id="27"/>
    <w:p>
      <w:pPr>
        <w:ind w:right="120"/>
        <w:spacing w:after="0" w:line="270" w:lineRule="auto"/>
        <w:rPr>
          <w:sz w:val="20"/>
          <w:szCs w:val="20"/>
          <w:color w:val="auto"/>
        </w:rPr>
      </w:pPr>
      <w:r>
        <w:rPr>
          <w:rFonts w:ascii="Times New Roman" w:cs="Times New Roman" w:eastAsia="Times New Roman" w:hAnsi="Times New Roman"/>
          <w:sz w:val="14"/>
          <w:szCs w:val="14"/>
          <w:color w:val="auto"/>
        </w:rPr>
        <w:t>behind the bankruptcy and impact on creditors will be undertaken in determining whether the principal has demonstrated the necessary willingness and ability to repay debts. In addition, we will examine whether the applicant and its principals and guarantors have abided by the laws of their community. Any situation where a serious question concerning a principal’s character exists will be reviewed on a case-by-case basis. Unresolved character issues are grounds for declining a loan request regardless of the applicant’s financial condition or performance.</w:t>
      </w:r>
    </w:p>
    <w:p>
      <w:pPr>
        <w:spacing w:after="0" w:line="1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Cash Flow: </w:t>
      </w:r>
      <w:r>
        <w:rPr>
          <w:rFonts w:ascii="Times New Roman" w:cs="Times New Roman" w:eastAsia="Times New Roman" w:hAnsi="Times New Roman"/>
          <w:sz w:val="14"/>
          <w:szCs w:val="14"/>
          <w:color w:val="auto"/>
        </w:rPr>
        <w:t>We recognize that cash flow is the primary and desired source of repayment on any loan, and therefore is the primary focus of the credit decision. Any transaction in which the repayment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not reasonably assured through cash flow will be declined, regardless of other possible credit strengths. At a minimum, combined EBITDA will be used to evaluate repayment ability. Other financial analysis techniques will be employed as needed to establish the reasonableness of repayment. Where repayment is based on past experience, the applicant must demonstrate minimum combined cash flow coverage of 1.15 times based upon the most recent fiscal year-end financial statement. A determination of the ability to repay will not be based solely upon interim operating results. Where repayment ability is not evident from historical combined earnings (including new businesses and changes of ownership), projections will be analyzed to determine whether repayment ability is reasonably assured. For changes in ownership, monthly cash flow forecasts will be analyzed to determine adequacy to meet all of the borrower’s needs.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business acquisition applications, the applicant will be required to submit projections and support such projections by detailed assumptions made for all major revenue and expense categories and an explanation of how the projections will be met. Analysis must include comparisons with relevant Risk Management Association (“RMA”) industry averages. EBITDA must be reasonably forecast to exceed debt service requirements by at least 1.15 times, after accounting for the initial phase of operations. For change of ownership applications, projections will also be measured against the actual historical financial results of the seller of the business concern. Projections must demonstrate repayment ability of not less than 1.15 times.</w:t>
      </w:r>
    </w:p>
    <w:p>
      <w:pPr>
        <w:spacing w:after="0" w:line="160"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Capital: </w:t>
      </w:r>
      <w:r>
        <w:rPr>
          <w:rFonts w:ascii="Times New Roman" w:cs="Times New Roman" w:eastAsia="Times New Roman" w:hAnsi="Times New Roman"/>
          <w:sz w:val="14"/>
          <w:szCs w:val="14"/>
          <w:color w:val="auto"/>
        </w:rPr>
        <w:t>Capital is a strong traditional indicator of the financial health of a business. For going concern entities, the pro-forma leverage position, as measured by the debt to tangible net worth ratio,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not exceed the RMA industry median or 4 to 1, whichever is greater. For change of ownership transactions, generally 25% of total project costs should be contributed as equity resulting in debt to tangible net worth ratio of 3 to 1.</w:t>
      </w:r>
    </w:p>
    <w:p>
      <w:pPr>
        <w:spacing w:after="0" w:line="15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In determining the legitimacy of the business value, the loan underwriter reviews a third-party valuation prepared by a Company approved valuation firm. If the business value is found to be acceptable, and the equity injection into the project is within our requirements as outlined herein, then the capital position will be considered satisfactory.</w:t>
      </w:r>
    </w:p>
    <w:p>
      <w:pPr>
        <w:spacing w:after="0" w:line="14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As a general rule, shareholder and affiliate loans may be added back to net worth only if such loans will be subordinated for the life of the SBA loan, with no principal or interest payments to be made. Financing by the seller of the business may also be considered as equity if the loan will be placed on full standby for the life of the SBA loan. Adjustments to net worth to account for the difference between the book value and appraised value of fixed assets may be made only when supported by a current appraisal. Appraisals on a “subject to” basis are not acceptable.</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Liquidity: </w:t>
      </w:r>
      <w:r>
        <w:rPr>
          <w:rFonts w:ascii="Times New Roman" w:cs="Times New Roman" w:eastAsia="Times New Roman" w:hAnsi="Times New Roman"/>
          <w:sz w:val="14"/>
          <w:szCs w:val="14"/>
          <w:color w:val="auto"/>
        </w:rPr>
        <w:t>Liquidity, as measured by the current ratio, must be in line with the RMA industry average. An assessment of the adequacy of working capital is required. An assessment of the liquidity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business is essential in determining the ability to meet future obligations. Lending to cash businesses such as hotels and restaurants requires less analysis of the liquidity of the business due to the timing of cash receipts. Industries with large receivables, payables, and inventory accounts require thorough review of the cash cycle of the business and evaluation of the applicant’s ability to manage these accounts. The current and quick ratios and turnover of receivables, payables and inventory are measured against the RMA industry median in determining the adequacy of these liquidity measures.</w:t>
      </w:r>
    </w:p>
    <w:p>
      <w:pPr>
        <w:spacing w:after="0" w:line="1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Collateral: </w:t>
      </w:r>
      <w:r>
        <w:rPr>
          <w:rFonts w:ascii="Times New Roman" w:cs="Times New Roman" w:eastAsia="Times New Roman" w:hAnsi="Times New Roman"/>
          <w:sz w:val="14"/>
          <w:szCs w:val="14"/>
          <w:color w:val="auto"/>
        </w:rPr>
        <w:t>We are required to reasonably secure each loan transaction with all worthwhile and available assets. Pursuant to SBA SOP 50 10, we may not (and will not) decline a loan if the only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weakness in the application is the value of collateral in relation to the loan amount, provided that all assets available to the business and its principals have been pledged. As set forth in SBA SOP 50 10, the SBA considers a loan to be fully secured if the lender has taken a security interest in all available fixed assets with a combined “net book value” adjusted up to the loan amounts below. For 7(a) loans, “fixed assets” means real estate, including land and structures and machinery and equipment owned by the business. “Net book value” is defined as an asset’s original price minus depreciation and amortization.</w:t>
      </w:r>
    </w:p>
    <w:p>
      <w:pPr>
        <w:spacing w:after="0" w:line="16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attempt to secure each loan transaction with as much real estate and liquid asset collateral as necessary; however, all fixed assets must be evaluated. Fixed assets are evaluated on the basis of the net book value to determine the realizable value among collateral types. Valuation factors are applied as follows: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28" w:name="page29"/>
    <w:bookmarkEnd w:id="28"/>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real estate — 75%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real estate — 85%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Vacant land — 50%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Machinery &amp; Equipment — 50%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Furniture &amp; Fixtures — 10%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&amp; inventory —10%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 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Deposit — 100%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Licenses — will vary dependent upon type of license and geographic area. The liquidation rate used must be fully justified.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an assessment of the criteria specified above, there are certain special industry-specific requirements that will be considered in the loan application decision.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Change of Ownership: </w:t>
      </w:r>
      <w:r>
        <w:rPr>
          <w:rFonts w:ascii="Times New Roman" w:cs="Times New Roman" w:eastAsia="Times New Roman" w:hAnsi="Times New Roman"/>
          <w:sz w:val="14"/>
          <w:szCs w:val="14"/>
          <w:color w:val="auto"/>
        </w:rPr>
        <w:t>The minimum equity injection required in a change of ownership transaction is 10%.</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the event of financing from the seller of the business, the applicant must inject not less than 10% of the project cost; the seller of the business may provide the balance on a complete standby basis for the life of the SBA loan. Exceptions to the equity requirement are reviewed on a case-by-case basis.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a change of ownership transaction, the application must be accompanied by a business plan including reasonable financial projections. The financial performance of the seller of the business must be evaluated based upon three years of corporate income tax returns and a current interim financial statement. Projections for the applicant must be in line with the historical financial performance at the business location. In cases where financial performance of the seller of the business is poor, a satisfactory explanation must be provided to detail the circumstances of performance. Projections for the applicant must be accompanied by detailed assumptions and be supported by information contained in the business plan.</w:t>
      </w:r>
    </w:p>
    <w:p>
      <w:pPr>
        <w:spacing w:after="0" w:line="1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Management should have related experience in the industry and demonstrate the ability to successfully operate the business. In the absence of satisfactory related experience, an assessment of management’s experience and capabilities, given the complexity and nature of the business, will be made. In the case of a franchise, we will generally take into account the reputation of a franchisor for providing worthwhile management assistance to its franchisees.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carefully review change of ownership transactions. The loan underwriter will review the contract for sale, which will be included in the credit file. The contract for sale must include a complete breakdown of the purchase price, which must be justified through either a third party appraisal or directly by the loan underwriter through an approved valuation method specified in SBA SOP 50 10. The contract of sale must evidence an arm’s length transaction (but transactions between related parties are permitted so long as they are on an arm’s-length basis) which will preserve the existence of the small business or promote its sound development. In addition, a satisfactory reason for the sale of the business must be provided. The seller of the business must provide the prior three years of business tax returns and a current interim financial statement, as applicable.</w:t>
      </w:r>
    </w:p>
    <w:p>
      <w:pPr>
        <w:spacing w:after="0" w:line="1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As part of due diligence for a change of ownership transaction, the closing department will order and review lien searches run on the seller as well as the borrower/buyer. If such a search identifies any adverse information or unexpected liens, the credit will be referred back to underwriting so that a prudent credit decision may be made on the application in light of the new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Real Estate Transactions: </w:t>
      </w:r>
      <w:r>
        <w:rPr>
          <w:rFonts w:ascii="Times New Roman" w:cs="Times New Roman" w:eastAsia="Times New Roman" w:hAnsi="Times New Roman"/>
          <w:sz w:val="14"/>
          <w:szCs w:val="14"/>
          <w:color w:val="auto"/>
        </w:rPr>
        <w:t>Loan proceeds for the acquisition or refinancing of land or an existing building or for renovation or reconstruction of an existing building must meet the following criteria:</w:t>
      </w:r>
    </w:p>
    <w:p>
      <w:pPr>
        <w:spacing w:after="0" w:line="202"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must be at least 51% owner-occupied pursuant to SBA policies;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proceeds may not be used to remodel or convert any rental space in the property.</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9" w:name="page30"/>
    <w:bookmarkEnd w:id="29"/>
    <w:p>
      <w:pPr>
        <w:ind w:right="140"/>
        <w:spacing w:after="0" w:line="255" w:lineRule="auto"/>
        <w:rPr>
          <w:sz w:val="20"/>
          <w:szCs w:val="20"/>
          <w:color w:val="auto"/>
        </w:rPr>
      </w:pPr>
      <w:r>
        <w:rPr>
          <w:rFonts w:ascii="Times New Roman" w:cs="Times New Roman" w:eastAsia="Times New Roman" w:hAnsi="Times New Roman"/>
          <w:sz w:val="14"/>
          <w:szCs w:val="14"/>
          <w:color w:val="auto"/>
        </w:rPr>
        <w:t>For new construction, the applicant must occupy 60% of the rentable property, may permanently lease to a third party up to 20% and temporarily lease an additional 20% with the intention of using some of the additional 20% within 3 years and all of it within 10 years.</w:t>
      </w:r>
    </w:p>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Newtek Bank’s policy regarding the use of real estate appraisals and environmental reports is intended to provide for a secure, orderly and independent process for the ordering, receipt and approval of independent valuation and environmental reports. Commercial real estate appraisals are required on all primary collateral prior to the loan closing. In general, appraisals will be required as follows:</w:t>
      </w:r>
    </w:p>
    <w:p>
      <w:pPr>
        <w:spacing w:after="0" w:line="146"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greater than $500,000 secured by commercial real property;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$500,000 or less secured by commercial real property, an appraisal will be required if such appraisal is necessary for appropriate evaluation of creditworthiness.</w:t>
      </w:r>
    </w:p>
    <w:p>
      <w:pPr>
        <w:spacing w:after="0" w:line="189" w:lineRule="exact"/>
        <w:rPr>
          <w:rFonts w:ascii="Times New Roman" w:cs="Times New Roman" w:eastAsia="Times New Roman" w:hAnsi="Times New Roman"/>
          <w:sz w:val="14"/>
          <w:szCs w:val="14"/>
          <w:color w:val="auto"/>
        </w:rPr>
      </w:pPr>
    </w:p>
    <w:p>
      <w:pPr>
        <w:ind w:left="520" w:right="220" w:hanging="260"/>
        <w:spacing w:after="0" w:line="255"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appraiser must be either State-licensed or State-certified (except when the property’s estimated value is over $1,000,000, when the appraiser must be State-certified) and the appraisal report must conform to Uniform Standards of Professional Appraisal Practice (USPAP);</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reviews are required for all commercial real estate with an appraised value of $500,000 or more conducted by a licensed/certified and independent MAI appraiser.</w:t>
      </w:r>
    </w:p>
    <w:p>
      <w:pPr>
        <w:spacing w:after="0" w:line="18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An environmental investigation is performed of all commercial properties upon which a security interest such as a mortgage, deed of trust, or leasehold deed of trust is offered as security for a loan or debenture when SBA loan proceeds are used to acquire, refinance, or improve the real estate.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type and depth of an environmental investigation to be performed varies with the risks of Contamination.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environmental reports are required as follows:</w:t>
      </w:r>
    </w:p>
    <w:p>
      <w:pPr>
        <w:spacing w:after="0" w:line="232" w:lineRule="exact"/>
        <w:rPr>
          <w:sz w:val="20"/>
          <w:szCs w:val="20"/>
          <w:color w:val="auto"/>
        </w:rPr>
      </w:pPr>
    </w:p>
    <w:p>
      <w:pPr>
        <w:jc w:val="both"/>
        <w:ind w:left="520" w:right="20" w:hanging="260"/>
        <w:spacing w:after="0" w:line="244"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a NAICS code match to an environmentally sensitive industry identified in the applicable Appendix of SBA SOP 50 10, the environmental investigation must begin with a Phase I, regardless of the amount of the loan. If the NAICS code begins with 457 (gas stations with or without convenience stores), the environmental investigation must begin with a Phase I and the SBA lender must also refer to and, if applicable, comply with “Environmental Investigation Requirements for Gas Station Loans” in the applicable Appendix of SBA SOP 50 10;</w:t>
      </w:r>
    </w:p>
    <w:p>
      <w:pPr>
        <w:spacing w:after="0" w:line="194"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not a NAICS code match to an environmentally sensitive industry, or if the property is a unit in a multi-unit building, the SBA lender must proceed as follows:</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the loan amount is up to and including $250,000, the environmental investigation may begin with an environmental questionnaire.</w:t>
      </w:r>
    </w:p>
    <w:p>
      <w:pPr>
        <w:spacing w:after="0" w:line="2" w:lineRule="exact"/>
        <w:rPr>
          <w:rFonts w:ascii="Arial" w:cs="Arial" w:eastAsia="Arial" w:hAnsi="Arial"/>
          <w:sz w:val="17"/>
          <w:szCs w:val="17"/>
          <w:color w:val="auto"/>
        </w:rPr>
      </w:pPr>
    </w:p>
    <w:p>
      <w:pPr>
        <w:ind w:left="1020" w:hanging="251"/>
        <w:spacing w:after="0"/>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 amount is more than $250,000, the environmental investigation must, at a minimum, begin with an environmental questionnaire and records search with risk assessment.</w:t>
      </w:r>
    </w:p>
    <w:p>
      <w:pPr>
        <w:spacing w:after="0" w:line="18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Medical Professionals: </w:t>
      </w:r>
      <w:r>
        <w:rPr>
          <w:rFonts w:ascii="Times New Roman" w:cs="Times New Roman" w:eastAsia="Times New Roman" w:hAnsi="Times New Roman"/>
          <w:sz w:val="14"/>
          <w:szCs w:val="14"/>
          <w:color w:val="auto"/>
        </w:rPr>
        <w:t>In connection with a loan application relating to the financing of a medical business, all medical licenses will be verified, with the loss or non-renewal of license constituting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grounds for denial of the application. In addition, medical professionals must provide evidence of malpractice liability insurance of at least $2.0 million or the loan amount, whichever is higher. Malpractice insurance must be maintained for the life of the loan.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Package</w:t>
      </w:r>
    </w:p>
    <w:p>
      <w:pPr>
        <w:spacing w:after="0" w:line="19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For each loan application, the loan underwriter will prepare a credit package (the “Credit Package”). All credit and collateral issues are addressed in the Credit Package, including but not limited to, the terms and conditions of the loan request, use of proceeds, collateral adequacy, financial condition of the applicant and business, management strength, repayment ability and conditions precedent. The Underwriting Department will recommend approval, denial or modification of the loan application. The Credit Package is submitted to our credit committee for further review and final decision regarding the loan application.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rejections for ineligibility of the applicant, the type of business or the loan purpose, we may decline a loan application for the following reasons: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0" w:right="339" w:bottom="1440" w:gutter="0" w:footer="0" w:header="0"/>
        </w:sectPr>
      </w:pPr>
    </w:p>
    <w:bookmarkStart w:id="30" w:name="page31"/>
    <w:bookmarkEnd w:id="30"/>
    <w:p>
      <w:pPr>
        <w:ind w:left="520" w:right="24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taking into consideration prior liens and considered along with other credit factors, the net value of the collateral offered as security is not sufficient to protect the interest of the U.S. Government;</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of ability to repay loan (and other obligations) from earnings;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the business can be operated at a rate of profit sufficient to repay the loan (and other obligations) from earnings;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disproportion of loan requested and of debts to tangible net worth before and after the loan;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working capital after the disbursement of the loan;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 of granting the financial assistance requested would be to replenish funds distributed to the owners, partners, or shareholders;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 portion of the loan requested would be to refinance existing indebtedness presently financed through normal lending channels;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commensurate with applicant’s tangible net worth is already being provided on terms considered reasonable;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disproportion between owner’s actual investment and the loan requested;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applicant will comply with the terms of the loan agreement;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experience on an existing loan; 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or physical injury not substantiated.</w:t>
      </w:r>
    </w:p>
    <w:p>
      <w:pPr>
        <w:spacing w:after="0" w:line="1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If a loan application is accepted, we enter the terms and conditions of the proposed SBA 7(a) loan into SBA’s ETRAN portal for review and approval. SBA will take on the responsibility for verification of the applicant eligibility requirements using SBA’s Risk Mitigation Framework, which uses processes in place across the financial services industry. SBA’s Risk Mitigation Framework will conduct compliance checks and should an error code be returned, we must clear the code in order to proceed. Once the code is cleared and SBA has issued an SBA loan number, we may continue processing the loan.</w:t>
      </w:r>
    </w:p>
    <w:p>
      <w:pPr>
        <w:spacing w:after="0" w:line="16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The closing of a loan is handled by SBL’s closing and legal department, consisting of loan closer, in-house attorneys and paralegals, whose primary responsibility is to close the loan in accordance with prudent lending standards and in compliance with SBA requirements thereby seeking to preserve SBA’s guaranty of repayment. Before loan proceeds are disbursed, the closing staff will review all required documentation (including but not limited to entity documentation, proof of insurance and licensing, environmental reports and appraisals), and will verify the applicant’s required capital injection, ensure that loan proceeds are being used as authorized and obtain required lien positions.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Maintenance of Credit Files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files (consisting of credit files, due diligence, loan closing documentation) are maintained and administered in the Newtek Loan Portal and permanently stored in the Newtek File Vault. The loan file contains all documentation necessary to show: (a) the basis and purpose of the loan, (b) compliance with policy, regulation, loan conditions (such as rate, terms of repayment, collateral), and (c) the authority for granting the loan. The loan file is subject to review or audit by the SBA at any time. The files are organized pursuant to a specified format which facilitates the consistency and readability of the documentation for reviewers and/or auditors. Portfolio and servicing documentation are also administered in the Newtek Loan Portal and permanently stored in the Newtek File Vault.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of Guaranteed Portions of SBA 7(a) Loans in the Secondary Market</w:t>
      </w:r>
    </w:p>
    <w:p>
      <w:pPr>
        <w:spacing w:after="0" w:line="18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Newtek Bank’s SBA 7(a) loans shortly after origination and Newtek Bank retains the unguaranteed portions, Historically, NSBF sold SBA guaranteed portions of SBA 7(a) loans at premiums ranging from 106% to 123% of par value. Any portion of the premium that is above 110% of par value is shared equally with the SBA. However, there is no guarantee that Newtek Bank will be able to continue to earn premiums of 106% to 123% on future sales of the guaranteed portions of SBA 7(a) loans or will be able to maintain PLP status. See “Item 1A. Risk Factors - Risks Related to SBA Lending - We have specific risks associated with SBA loans.”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compete for SBA 7(a) and other SMB loans with other financial institutions and various nonbank lenders, as well as other sources of funding. Additionally, competition for investment opportunities has emerged among alternative investment vehicles, such as collateralized loan obligations, some of which are sponsored by other alternative asset investors, as these entities have begun to focus on making investments in SMBs. As a result of these new entrants, competition for our lending opportunities may intensify. Many of these entities have greater financial and managerial resources than we do, but we believe that they invariably lack the ability to process loans as quickly as we can and do not have the depth of our customer service capabilities. We believe we will be able to compete with these entities primarily on the basis of our financial technology infrastructure, our experience and reputation, our deep industry knowledge and ability to provide customized business and financial solutions, our willingness to make smaller loans than specialty finance companies, the breadth of our contacts, our responsive and efficient underwriting analysis and decision-making processes, and the lending terms we offer.</w:t>
      </w:r>
    </w:p>
    <w:p>
      <w:pPr>
        <w:spacing w:after="0" w:line="16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and our subsidiaries compete in a large number of markets for the sale of financial and business solutions to independent business owners. We compete not only against suppliers in its particular state or region of the country but also against suppliers operating on a national or even a multi-national scale. None of the markets in which we compete are dominated by a small number of companies that could materially alter the terms of the competition.</w:t>
      </w:r>
    </w:p>
    <w:p>
      <w:pPr>
        <w:spacing w:after="0" w:line="15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Our electronic payment processing subsidiaries compete with entities including Fiserv, Global Payments, Worldpay, Elavon, First National Bank of Omaha and Paymentech, L.P. Our managed technology solutions subsidiaries competes with 1&amp;1, Hosting.com, Discount ASP, Maxum ASP, GoDaddy®, Yahoo!®, BlueHost®, iPowerWeb®, Amazon Web Services®, Microsoft® Azure, Google®, and RackSpace among others.</w:t>
      </w:r>
    </w:p>
    <w:p>
      <w:pPr>
        <w:spacing w:after="0" w:line="1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Our business finance ecosystem competes with regional and national banks and non-bank lenders. Other companies, including Intuit®, are bundling electronic payment processing, web hosting and payroll services similar to ours in offerings that compete in the same SMB market. In addition, Newtek Bank competes with national banks, regional banks and digital banks to acquire and retain deposits. During 2023, the growing competition for deposits in general saw U.S. banks raising rates offered on deposits, which tended to increase weighted average deposit rates. To the extent that competition for deposits remains elevated relative to historical norms or increases from levels observed in 2023, we believe that our deposit costs could increase. Deposit costs are based on multiple factors that impact businesses and consumers and can diverge from observed market indices (e.g. Prime or SOFR). To the extent deposit costs increase without a corresponding increase in the Prime rate, our profitability and net interest margins can be negatively impacted.</w:t>
      </w:r>
    </w:p>
    <w:p>
      <w:pPr>
        <w:spacing w:after="0" w:line="1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many cases, we believe that our competitors are not as able as we are to take advantage of changes in business practices due to technological developments and, for those with a larger size, are unable to offer the personalized service that many independent business owners and operators desire.</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While we compete with many different providers in our various businesses, we have been unable to identify any direct and comprehensive competitors that deliver the same broad suite of services focused on the needs of the independent business owner market with the same marketing strategy as we do. We believe that some of the competitive advantages of our platform include:</w:t>
      </w:r>
    </w:p>
    <w:p>
      <w:pPr>
        <w:spacing w:after="0" w:line="145" w:lineRule="exact"/>
        <w:rPr>
          <w:sz w:val="20"/>
          <w:szCs w:val="20"/>
          <w:color w:val="auto"/>
        </w:rPr>
      </w:pPr>
    </w:p>
    <w:p>
      <w:pPr>
        <w:ind w:left="520" w:right="2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compatible products such as our e-commerce offerings that we are able to bundle to increase sales, reduce costs and reduce risks for our customers and enable us to sell two, three, or four products at the same time;</w:t>
      </w:r>
    </w:p>
    <w:p>
      <w:pPr>
        <w:spacing w:after="0" w:line="145" w:lineRule="exact"/>
        <w:rPr>
          <w:rFonts w:ascii="Times New Roman" w:cs="Times New Roman" w:eastAsia="Times New Roman" w:hAnsi="Times New Roman"/>
          <w:sz w:val="14"/>
          <w:szCs w:val="14"/>
          <w:color w:val="auto"/>
        </w:rPr>
      </w:pPr>
    </w:p>
    <w:p>
      <w:pPr>
        <w:ind w:left="520" w:right="26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patented NewTracker® referral system, which allows us to process new business utilizing a web-based, centralized processing point and provides back end scalability, and allows our alliance partners to offer a centralized access point for their independent business owner clients as part of their larger strategic approach to marketing, thus demonstrating their focus on providing a suite of services to this market in addition to their core service;</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developing and marketing business solutions and financial products and services aimed at the independent business owner market;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scalability, which allows us to size our business solutions capabilities very quickly to meet customer and market needs;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personalized service and competitive rates;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strategy of multiple channel distribution, which gives us maximum exposure in the marketplace;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quality customer service 24/7/365 across all business lines, with a focus primarily on absolute customer service and;</w:t>
      </w:r>
    </w:p>
    <w:p>
      <w:pPr>
        <w:spacing w:after="0" w:line="199"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telephonic interview process, as opposed to requiring handwritten or data-typing processes, which allows us to offer high levels of customer service and satisfaction, particularly for independent business owner who do not get this service from our competitors.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including Senior Lending Team and Executive Officers</w:t>
      </w:r>
    </w:p>
    <w:p>
      <w:pPr>
        <w:spacing w:after="0" w:line="20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The long-term success of our Company depends on our people. Our team comprises experienced lending professionals, executive officers and treasury, finance, risk management, administrative support, IT and human resources professionals.</w:t>
      </w:r>
    </w:p>
    <w:p>
      <w:pPr>
        <w:spacing w:after="0" w:line="1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The key members of our senior lending team (“Senior Lending Team”), many of whom have worked together for more than ten years, each have over 25 years of experience in finance-related fields. These investment professionals have worked together to screen opportunities, underwrite new loans and manage a portfolio of loans made to independent business owner through two recessions, a credit crunch, the dot-com boom and bust and a historic, leverage-fueled asset valuation bubble and the COVID-19 pandemic. Each member brings a complementary component to a team well-rounded in lending, finance, accounting, operations, strategy, business law and executive management.</w:t>
      </w:r>
    </w:p>
    <w:p>
      <w:pPr>
        <w:spacing w:after="0" w:line="15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Our executive officers also oversees our subsidiaries and, to the extent that we may make additional equity investments in the future, the executive officers will also have primary responsibility for the identification, screening, review and completion of such investments. We do not expect to focus our resources on investing in additional stand-alone equity investments, but may elect to do so from time to time on an opportunistic basis, if such opportunities arise. Our CEO and Chief Lending Officer, Messrs. Sloane and Downs, have been involved together in the structuring and management of loans and equity investments for the past 20 years.</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retention of our Senior Lending Team and executive officers is material to the management of our business. The departure of key management personnel could adversely affect our business. As such, we believe that we offer a competitive compensation and benefits structure that we believe is attractive to our current and prospective professionals. As we hire and develop individuals, we take succession planning into account and have succession plans in place for each of our senior leaders.</w:t>
      </w:r>
    </w:p>
    <w:p>
      <w:pPr>
        <w:spacing w:after="0" w:line="1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As of December 31, 2023, our workforce consisted of 528 professionals. We strive to continue to create a welcoming and inclusive work environment for our employees. We are committed to recruiting, motivating and developing a diversity of talent and to creating an inclusive community where all individuals are welcomed, valued, respected, and heard. In order to support a culture of learning, we provide many training opportunities for our employees to continue to build their skills and increase their effectiveness as members of a team, including offering a variety of external and internal classes and training sessions as well as hands-on learning and one-on-one mentorship. We continue to encourage dialogue between managers and employees.</w:t>
      </w:r>
    </w:p>
    <w:p>
      <w:pPr>
        <w:spacing w:after="0" w:line="1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We are committed to fostering a workplace conducive to the open communication of any concerns regarding unethical, fraudulent or illegal activities. Feedback from employees on matters related to their employment or our operations including its financial statement disclosures, accounting, internal accounting controls or auditing matters is greatly appreciated and helps to build a stronger organization. Each director, officer, regular full-time, part-time and temporary employee of the Company has the ability to report confidentially under the Company’s whistleblower policy: (a) questionable or improper accounting, internal controls, auditing matters, disclosure, or fraudulent business practices and (b) illegal or unethical behavior that has occurred, is ongoing, or is about to occur of an applicable law, rule, regulation or policy of the Company. We protect the confidentiality of those making reports of possible misconduct to the maximum extent permitted by law. Our no retaliation policy prohibits retaliation against those who report activities believed in good faith to be a violation of any law, rule, regulation or internal policy.</w:t>
      </w:r>
    </w:p>
    <w:p>
      <w:pPr>
        <w:spacing w:after="0" w:line="16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 xml:space="preserve">We maintain and ensure compliance of all directors, officers and employees to our Code of Business Conduct and Ethics (the “Code of Ethics”) which is acknowledged in writing on joining and annually by all our employees, as a continued condition of employment. Our Code of Ethics establishes applicable policies, guidelines, and procedures that promote ethical practices and conduct by the Company and all its employees, officers, and directors. Our Code of Ethics can be found on our website at </w:t>
      </w:r>
      <w:r>
        <w:rPr>
          <w:rFonts w:ascii="Times New Roman" w:cs="Times New Roman" w:eastAsia="Times New Roman" w:hAnsi="Times New Roman"/>
          <w:sz w:val="14"/>
          <w:szCs w:val="14"/>
          <w:i w:val="1"/>
          <w:iCs w:val="1"/>
          <w:color w:val="auto"/>
        </w:rPr>
        <w:t>https:/investor.newtekbusinessservices.com/corporate-governance</w:t>
      </w:r>
      <w:r>
        <w:rPr>
          <w:rFonts w:ascii="Times New Roman" w:cs="Times New Roman" w:eastAsia="Times New Roman" w:hAnsi="Times New Roman"/>
          <w:sz w:val="14"/>
          <w:szCs w:val="14"/>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33" w:name="page34"/>
    <w:bookmarkEnd w:id="33"/>
    <w:p>
      <w:pPr>
        <w:ind w:right="60"/>
        <w:spacing w:after="0" w:line="250" w:lineRule="auto"/>
        <w:rPr>
          <w:sz w:val="20"/>
          <w:szCs w:val="20"/>
          <w:color w:val="auto"/>
        </w:rPr>
      </w:pPr>
      <w:r>
        <w:rPr>
          <w:rFonts w:ascii="Times New Roman" w:cs="Times New Roman" w:eastAsia="Times New Roman" w:hAnsi="Times New Roman"/>
          <w:sz w:val="14"/>
          <w:szCs w:val="14"/>
          <w:color w:val="auto"/>
        </w:rPr>
        <w:t>We aim to provide a safe environment at work. During the COVID-19 pandemic, the safety of our employees, clients, customers, and vendors was at the forefront of our decisions regarding a remote work policy. As a result, we made our offices accessible to those who preferred to work in the office and also supported a remote work environment. We have continued to support remote work as an option. In addition to protecting the physical safety of our employees, we seek to promote a safe environment that is free of harassment or bullying. We do not tolerate discrimination and harassment of any kind including but not limited to sexual, gender identity, race, religion, ethnicity, age, or disability, among others. We emphasize employee engagement by encouraging ongoing dialogue with managers, colleagues and leaders. Communications are frequent and help us understand our employees’ diverse needs. We monitor our attrition and analyze reasons for leaving the Company. We value employee feedback and make adjustments to employees’ needs and concerns as they are raised.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SEC and in accordance with those requirements file reports, proxy statements and other information with the SEC. The SEC maintains a web site that contains reports, proxy and information statements and other information regarding registrants that file electronically with the SEC. The address of the SEC’s web site is http://www.sec.gov. Our principal offices are located at 4800 T Rex Avenue, Suite 120, Boca Raton, Florida and our telephone number is (212) 356-9500. Our website may be directly accessed at </w:t>
      </w:r>
      <w:r>
        <w:rPr>
          <w:rFonts w:ascii="Times New Roman" w:cs="Times New Roman" w:eastAsia="Times New Roman" w:hAnsi="Times New Roman"/>
          <w:sz w:val="14"/>
          <w:szCs w:val="14"/>
          <w:u w:val="single" w:color="auto"/>
          <w:color w:val="auto"/>
        </w:rPr>
        <w:t>http://www.newtekone.com</w:t>
      </w:r>
      <w:r>
        <w:rPr>
          <w:rFonts w:ascii="Times New Roman" w:cs="Times New Roman" w:eastAsia="Times New Roman" w:hAnsi="Times New Roman"/>
          <w:sz w:val="14"/>
          <w:szCs w:val="14"/>
          <w:color w:val="auto"/>
        </w:rPr>
        <w:t xml:space="preserve">. We make available through our website, free of charge,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These documents may be directly accessed at </w:t>
      </w:r>
      <w:r>
        <w:rPr>
          <w:rFonts w:ascii="Times New Roman" w:cs="Times New Roman" w:eastAsia="Times New Roman" w:hAnsi="Times New Roman"/>
          <w:sz w:val="14"/>
          <w:szCs w:val="14"/>
          <w:u w:val="single" w:color="auto"/>
          <w:color w:val="auto"/>
        </w:rPr>
        <w:t>https://investor.newtekbusinessservices.com.</w:t>
      </w:r>
      <w:r>
        <w:rPr>
          <w:rFonts w:ascii="Times New Roman" w:cs="Times New Roman" w:eastAsia="Times New Roman" w:hAnsi="Times New Roman"/>
          <w:sz w:val="14"/>
          <w:szCs w:val="14"/>
          <w:color w:val="auto"/>
        </w:rPr>
        <w:t xml:space="preserve"> Information contained on our website is not a part of this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We have adopted a code of ethics pursuant to Section 5610 of the Nasdaq Corporate Governance Requirements that establishes procedures for personal investments and restricts certain transactions by our personnel. Our code of ethics generally does not permit investments by our employees in securities that may be purchased or held by us. The code of ethics is published and available on the Company’s website at https://investor.newtekbusinessservices.com/corporate-governance, is attached as an exhibit and is available on the EDGAR Database on the SEC’s Internet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obtain copies of the code of ethics, after paying a duplicating fee, by electronic request at the following email address: publicinfo@sec.gov.</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Principles</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are committed to maintaining the privacy of our shareholders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shareholders, although certain non-public personal information of our shareholders may become available to us. We do not disclose any non-public personal information about our shareholders or former shareholders to anyone, except as permitted by law or as is necessary in order to service shareholder accounts (for example, to a transfer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Sarbanes-Oxley Act of 2002 (the “Sarbanes-Oxley Act”) imposes a wide variety of regulatory requirements on publicly-held companies and their insiders. Many of these requirements affect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w:t>
      </w:r>
    </w:p>
    <w:p>
      <w:pPr>
        <w:spacing w:after="0" w:line="185" w:lineRule="exact"/>
        <w:rPr>
          <w:sz w:val="20"/>
          <w:szCs w:val="20"/>
          <w:color w:val="auto"/>
        </w:rPr>
      </w:pPr>
    </w:p>
    <w:p>
      <w:pPr>
        <w:ind w:left="520" w:right="28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13a-14 of the Exchange Act, our Chief Executive Officer and Chief Financial Officer must certify the accuracy of the consolidated financial statements contained in our periodic reports;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307 of Regulation S-K, our periodic reports must disclose our conclusions about the effectiveness of our disclosure controls and procedures;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13a-15 of the Exchange Act, our management must prepare a report regarding its assessment of our internal controls over financial reporting; and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ind w:left="520" w:right="18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308 of Regulation S-K and Rule 13a-15 of the Exchange Act, our periodic reports must disclose whether there were significant changes in our internal controls or in other factors that could significantly affect these controls subsequent to the date of their evaluation, including any corrective actions with regard to significant deficiencies and material weaknesses.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periodically examined by the SEC for compliance with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 Global Market Requirements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SBA Regulation of SBA 7(a) Lenders</w:t>
      </w:r>
    </w:p>
    <w:p>
      <w:pPr>
        <w:spacing w:after="0" w:line="20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Our wholly-owned subsidiary, NSBF, is licensed by the SBA as an SBLC that originated loans through the SBA 7(a) Program. NSBF is currently winding down its operations and is no longer originating new SBA 7(a) loans, but remains subject to SBA regulation during its wind-down process. (See Wind-down Agreement below.) Newtek Bank is licensed to make loans under the SBA 7(a) Program.</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SBA generally reduces risks to lenders by guaranteeing major portions of qualified loans made to small businesses. This enables lenders to provide financing to small businesses when funding may otherwise be unavailable or not available on reasonable terms. Under the SBA 7(a) Program, the SBA typically guarantees 75% of qualified loans over $150,000. The eligibility requirements of the SBA 7(a) Program vary by the industry of the borrower and affiliates and other factors.</w:t>
      </w:r>
    </w:p>
    <w:p>
      <w:pPr>
        <w:spacing w:after="0" w:line="15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The SBA grants PLP status to certain lenders originating SBA 7(a) loans based on achievement of certain standards in lending which are regularly monitored by the SBA. Newtek Bank has been granted national PLP status and originates, sells and services SBA 7(a) loans. As a Preferred Lender, Newtek Bank is authorized to place SBA guarantees on SBA 7(a) loans without seeking prior SBA review and approval. Designated PLP lenders are delegated the authority to process, close, service, and liquidate most SBA guaranteed loans without prior SBA review. PLP lenders are authorized to make SBA guaranteed loans, subject only to a brief eligibility review and assignment of a loan number by SBA. In addition, they are expected to handle servicing and liquidation of all of their SBA loans with limited involvement of SBA. If Newtek Bank were to lose PLP status, it would have a material adverse impact on its ability to originate loans at current levels. See “Item 1A. Risk Factors - Risks Related to SBA Lending - There can be no guarantee that Newtek Bank and NSBF will be able to maintain their SBA 7(a) lending licenses.”</w:t>
      </w:r>
    </w:p>
    <w:p>
      <w:pPr>
        <w:spacing w:after="0" w:line="1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Pursuant to the SBA’s regulations, the SBA is released from liability on its guaranty of a 7(a) loan and may, in its sole discretion, refuse to honor a guaranty purchase request in full or in part, or recover all or part of the funds already paid in connection with a guaranty purchase, if the lender failed to comply materially with an SBA Loan Program Requirement; failed to make, close, service or liquidate the loan in a prudent manner; placed the SBA at risk through improper action or inaction; failed to disclose a material fact to the SBA in a timely manner; or misrepresented a material fact to the SBA regarding the loan. In certain instances, the SBA may refuse to honor a guaranty purchase request in full (referred to by the SBA as a “denial”) or in part (referred to by the SBA as a “repair”), or recover all or part of the funds already paid in connection with a guaranty purchase. In the event of a repair or denial, liability on the guaranty, in whole or part, would be transferred to NSBF or Newtek Bank. In addition, the growth in the number of loans made by Newtek Bank, changes in SBA regulations and economic factors may adversely impact our current repair and denial rates. See “Item 1A. Risk Factors - Risks Related to SBA Lending - We have specific risks associated with SBA loans.”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has begun to wind-down its operations and NSBF’s SBA 7(a) pipeline of new loans were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as a Financial Holding Company</w:t>
      </w:r>
    </w:p>
    <w:p>
      <w:pPr>
        <w:spacing w:after="0" w:line="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As a BDC, prior to our conversion on January 6, 2023 to a financial holding company, for any taxable year in which we qualified as a RIC and satisfied the Annual Distribution Requirement, we generally were not be subject to U.S. federal income tax on the portion of our income we distributed to our stockholders. In order to comply with these requirements, we maintained a dividend policy of making quarterly distributions in an amount that approximated 90 - 100% of the Company's annual taxable income.</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For 2023, the Company and its subsidiaries will no longer qualify as a RIC and will file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w:t>
      </w:r>
    </w:p>
    <w:p>
      <w:pPr>
        <w:spacing w:after="0" w:line="2" w:lineRule="exact"/>
        <w:rPr>
          <w:sz w:val="20"/>
          <w:szCs w:val="20"/>
          <w:color w:val="auto"/>
        </w:rPr>
      </w:pPr>
    </w:p>
    <w:p>
      <w:pPr>
        <w:jc w:val="both"/>
        <w:ind w:right="120" w:firstLine="5"/>
        <w:spacing w:after="0" w:line="257" w:lineRule="auto"/>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income tax rates impacting the amounts and timing of cash flows and the amounts of income tax expense recorded by the Company, because such rates will be dependent upon the nature and amount of future income and expenses as well as actual investments generating investment tax credits and transactions with discrete tax effects.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following is a summary of the risk factors that we believe are most relevant to our business. These are factors that, individually or in the aggregate, we think could cause our actual results to differ significantly from anticipated or historical results. If any of the following risks occur, our business, financial condition and results of operations could be materially and adversely affected. In that case, the value of our common stock could decline and shareholders may lose all or part of their investment. You should understand that it is not possible to predict or identify all such factors. Consequently, you should not consider the following to be a complete discussion of all potential risks or uncertainties. We undertake no obligation to publicly update forward-looking statements, whether as a result of new information, future events, or otherwise, unless required by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investment in our securities involves risks. The following is a summary of the principal risks that you should carefully consider before investing in our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Operation as a Financial Holding Company</w:t>
      </w:r>
    </w:p>
    <w:p>
      <w:pPr>
        <w:spacing w:after="0" w:line="191" w:lineRule="exact"/>
        <w:rPr>
          <w:sz w:val="20"/>
          <w:szCs w:val="20"/>
          <w:color w:val="auto"/>
        </w:rPr>
      </w:pPr>
    </w:p>
    <w:p>
      <w:pPr>
        <w:ind w:left="520" w:right="340" w:hanging="260"/>
        <w:spacing w:after="0" w:line="24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environment and are subject to extensive regulation and supervision as a financial holding company, and if we are found to be in violation of any of the federal, state or local laws or regulations applicable to us, our business could suffer.</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governing our operations may adversely affect our business or cause us to alter our business strategy.</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regulation under the 1940 Act.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pass-through tax treatment substantially reduces net assets and income available for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Economy</w:t>
      </w:r>
    </w:p>
    <w:p>
      <w:pPr>
        <w:spacing w:after="0" w:line="202" w:lineRule="exact"/>
        <w:rPr>
          <w:sz w:val="20"/>
          <w:szCs w:val="20"/>
          <w:color w:val="auto"/>
        </w:rPr>
      </w:pPr>
    </w:p>
    <w:p>
      <w:pPr>
        <w:ind w:left="520" w:right="400" w:hanging="260"/>
        <w:spacing w:after="0" w:line="26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social and market conditions, including uncertainty about the financial stability of the United States could have a significant adverse effect on our business, operating results and financial condition.</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may adversely affect our business, operating results and financial condition.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acts of war, global health emergencies or natural disasters may impact the businesses in which we invest and harm our business, operating results and financial condition.</w:t>
      </w:r>
    </w:p>
    <w:p>
      <w:pPr>
        <w:spacing w:after="0" w:line="8" w:lineRule="exact"/>
        <w:rPr>
          <w:rFonts w:ascii="Times New Roman" w:cs="Times New Roman" w:eastAsia="Times New Roman" w:hAnsi="Times New Roman"/>
          <w:sz w:val="14"/>
          <w:szCs w:val="14"/>
          <w:color w:val="auto"/>
        </w:rPr>
      </w:pPr>
    </w:p>
    <w:p>
      <w:pPr>
        <w:ind w:left="520" w:right="380" w:hanging="260"/>
        <w:spacing w:after="0" w:line="266"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obtain additional capital because of either regulatory or market price constraints, we could be forced to curtail or cease our new lending activities and the value of our loan portfolio value could decrease and our level liquidity and distributions could be affected adversely.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Structure</w:t>
      </w:r>
    </w:p>
    <w:p>
      <w:pPr>
        <w:spacing w:after="0" w:line="202" w:lineRule="exact"/>
        <w:rPr>
          <w:sz w:val="20"/>
          <w:szCs w:val="20"/>
          <w:color w:val="auto"/>
        </w:rPr>
      </w:pPr>
    </w:p>
    <w:p>
      <w:pPr>
        <w:ind w:left="520" w:hanging="260"/>
        <w:spacing w:after="0" w:line="25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Senior Lending Team and our executive officers for our future success, and if we are unable to hire and retain qualified personnel or if we lose any member of our Senior Lending Team or our executive officers our ability to achieve our business could be significantly harmed.</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the soundness of other financial institutions.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for clients, which could reduce returns and result in losses.</w:t>
      </w:r>
    </w:p>
    <w:p>
      <w:pPr>
        <w:ind w:left="520" w:hanging="260"/>
        <w:spacing w:after="0" w:line="221"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acquire and process clients effectively, we may be unable to achieve our investment objective.</w:t>
      </w:r>
    </w:p>
    <w:p>
      <w:pPr>
        <w:ind w:left="520" w:hanging="260"/>
        <w:spacing w:after="0" w:line="23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adversely affected if our risk management framework does not effectively identify, assess and mitigate risk.</w:t>
      </w:r>
    </w:p>
    <w:p>
      <w:pPr>
        <w:ind w:left="520" w:hanging="260"/>
        <w:spacing w:after="0" w:line="23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maintain adequate liquidity could jeopardize our business and financial condition.</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acquisitions and other strategic transactions, including the Acquisition, may not yield the intended benefits.</w:t>
      </w:r>
    </w:p>
    <w:p>
      <w:pPr>
        <w:spacing w:after="0" w:line="7" w:lineRule="exact"/>
        <w:rPr>
          <w:rFonts w:ascii="Times New Roman" w:cs="Times New Roman" w:eastAsia="Times New Roman" w:hAnsi="Times New Roman"/>
          <w:sz w:val="14"/>
          <w:szCs w:val="14"/>
          <w:color w:val="auto"/>
        </w:rPr>
      </w:pPr>
    </w:p>
    <w:p>
      <w:pPr>
        <w:ind w:left="500" w:hanging="240"/>
        <w:spacing w:after="0" w:line="223" w:lineRule="auto"/>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If we and our subsidiaries are unable to protect our intellectual property rights, our business and prospects could be harmed</w:t>
      </w:r>
      <w:r>
        <w:rPr>
          <w:rFonts w:ascii="Times New Roman" w:cs="Times New Roman" w:eastAsia="Times New Roman" w:hAnsi="Times New Roman"/>
          <w:sz w:val="16"/>
          <w:szCs w:val="16"/>
          <w:color w:val="auto"/>
        </w:rPr>
        <w:t>.</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use of Artificial Intelligence (“AI”) present risks and challenges that may adversely impact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U.S. Federal Income Tax</w:t>
      </w:r>
    </w:p>
    <w:p>
      <w:pPr>
        <w:spacing w:after="0" w:line="201"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cannot predict how new tax legislation will affect us, our investments, or our stockholders, and any such legislation could adversely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Securities</w:t>
      </w:r>
    </w:p>
    <w:p>
      <w:pPr>
        <w:spacing w:after="0" w:line="19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price may be volatile and may decrease substantially.</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RISKS RELATED TO OPERATING AS A FINANCIAL HOLDING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as a financial holding company.</w:t>
      </w:r>
    </w:p>
    <w:p>
      <w:pPr>
        <w:spacing w:after="0" w:line="19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4"/>
          <w:szCs w:val="14"/>
          <w:color w:val="auto"/>
        </w:rPr>
        <w:t>Although we and our predecessor have operated since 1999, we converted to a financial holding company effective January 6, 2023. Accordingly, we have a limited operating history upon which to evaluate our business and future prospects as a financial holding company. Our lending prospects may significantly differ from our investment prospects as a BDC, and it is difficult to predict future operating results and to assess the likelihood of the success of our business as a financial holding company. As a new financial holding company, we may be subject to risks and levels of risk that are often greater than those encountered by financial institutions with longer established operations and relationships. We may also require significant capital from sources other than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banking industry is highly regulated, and the regulatory framework, together with any future legislative or regulatory changes, may have a significant adverse effect on our operations.</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banking industry is extensively regulated and supervised under both federal and state laws and regulations that are intended primarily for the protection of depositors, customers, federal deposit insurance funds, and the banking system as a whole, not for the protection of security holders. We are subject to regulation and supervision by the FDIC, OCC and Federal Reserve.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maintenance of adequate capital and liquidity, changes in the control of Newtek Bank, N.A. and us, restrictions on dividends, and establishment of new offices. We must obtain approval from our regulators before engaging in certain activities or acquisitions, and there is the risk that such approvals may not be obtained, either in a timely manner or at all. Our regulators also have the ability to compel us to take,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civil money penalties, or damage to our reputation, all of which could have a material adverse effect on our business, financial condition or results of operations.</w:t>
      </w:r>
    </w:p>
    <w:p>
      <w:pPr>
        <w:spacing w:after="0" w:line="17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Federal and state banking laws and regulations, as well as interpretations and implementations of these laws and regulations, are continually undergoing substantial review and change. Financial institutions generally have also been subject to increased scrutiny from regulatory authorities. These changes and increased scrutiny have resulted and may continue to result in increased costs of doing business and may in the future result in decreased revenues and net income, reduce our ability to effectively compete to attract and retain customers, or make it less attractive for us to continue providing certain products and services. Any future changes in federal and state law and regulations, as well as the interpretations and implementations, or modifications or repeals, of such laws and regulations, could affect us in substantial and unpredictable ways, including those listed above or other ways that could have a material adverse effect on our business, financial condition or results of operations.</w:t>
      </w:r>
    </w:p>
    <w:p>
      <w:pPr>
        <w:spacing w:after="0" w:line="169"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4"/>
          <w:szCs w:val="14"/>
          <w:color w:val="auto"/>
        </w:rPr>
        <w:t>Our inability to remain in compliance with regulatory requirements could have a material adverse effect on our operations in that market and on our reputation generally. No assurance can be given that applicable laws or regulations will not be amended or construed differently or that new laws and regulations will not be adopted, either of which could materially adversely affect our business, financial condition or results of operations.</w:t>
      </w:r>
    </w:p>
    <w:p>
      <w:pPr>
        <w:spacing w:after="0" w:line="238" w:lineRule="auto"/>
        <w:rPr>
          <w:sz w:val="20"/>
          <w:szCs w:val="20"/>
          <w:color w:val="auto"/>
        </w:rPr>
      </w:pPr>
      <w:r>
        <w:rPr>
          <w:rFonts w:ascii="Times New Roman" w:cs="Times New Roman" w:eastAsia="Times New Roman" w:hAnsi="Times New Roman"/>
          <w:sz w:val="14"/>
          <w:szCs w:val="14"/>
          <w:color w:val="auto"/>
        </w:rPr>
        <w:t>The USA PATRIOT Act of 2001 and the Bank Secrecy Act, or the BSA, require financial institutions to design and implement programs to prevent financial institutions from being used for money laundering and terrorist activities. If such activities are detected, financial institutions are obligated to file suspicious activity reports with FinCEN. These rules require financial institutions to establish procedures for identifying and verifying the identity of customers and beneficial owners of certain legal entity customers seeking to open new financial accounts. Federal and state bank regulators also have focused on compliance with Bank Secrecy Act and anti-money laundering regulations. Failure to comply with these regulations could result in fines or sanctions, including restrictions on conducting acquisitions or expanding activities. During the last several years, several banking institutions have received large fines for non-compliance with these laws and regulations. Although we have policies and procedures designed to assist in compliance with the BSA and other anti-money laundering laws and regulations, there can be no assurance that such policies or procedures will work effectively all of the time or protect us against liability for actions taken by our employees, agents, and intermediaries with respect to our business or any businesses that we may acquire. Failure to maintain and implement adequate programs to combat money laundering and terrorist financing could also have serious reputational consequences for us, which could have a material adverse effect on our business, financial condition or results of operations.</w:t>
      </w:r>
    </w:p>
    <w:p>
      <w:pPr>
        <w:spacing w:after="0" w:line="16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Any changes in the Presidential Administration or control of Congress also increases the likelihood of further changes to laws, regulations and supervisory practices affecting financial institutions, which could include more stringent requirements and greater scrutiny from regulatory authorities.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regulations, or policies may adversely affect our business.</w:t>
      </w:r>
    </w:p>
    <w:p>
      <w:pPr>
        <w:spacing w:after="0" w:line="191"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We are unable to predict all of the ways in which any change in the regulatory environment could impact our anticipated business models or objectives. The laws and regulations governing lending, servicing, and debt collection activities or the regulatory or enforcement environment at the federal level or in any of the states in which we anticipate operating may change at any time which may have an adverse effect on our current or anticipated business.</w:t>
      </w:r>
    </w:p>
    <w:p>
      <w:pPr>
        <w:spacing w:after="0" w:line="15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For example, the federal banking agencies issued a final rule in October 2023 that largely begins to apply in January 2026 and may make it more challenging and/or costly for insured depository institutions to achieve an Outstanding or Satisfactory CRA rating. If Newtek Bank is unable to maintain at least a “Satisfactory” CRA rating, its ability to complete the acquisition of another financial institution or open a new branch will be adversely impacted. Newtek Bank received a rating of “Satisfactory” in its most recent CRA performance evaluation. We are unable to predict how future legislative proposals or programs will be administered or implemented or in what form, or whether any additional or similar changes to statutes or regulations, including the interpretation or implementation thereof, will occur in the future. Any such action could affect us in substantial and unpredictable ways and could have an adverse effect on our anticipated business operations.</w:t>
      </w:r>
    </w:p>
    <w:p>
      <w:pPr>
        <w:spacing w:after="0" w:line="1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Our inability to comply with regulatory requirements in a particular jurisdiction could have a material adverse effect on our anticipated operations in that market and on our reputation generally. No assurance can be given that applicable laws or regulations will not be amended or construed differently or that new laws and regulations will not be adopted, either of which could materially adversely affect our anticipated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and supervision as a financial holding company, which may adversely affect our business.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Upon becoming a financial holding company, we became subject to a wide range of statutory and regulatory restrictions and requirements that will affect many aspects of our business, including our lending practices, capital structure, investment practices, dividend policy and growth. We may be required to restructure, terminate or divest certain of our businesses to comply with applicable requirements, which may impose additional costs and adversely affect our business, results of operations or financial condition. Failure to comply with laws, regulations, policies or other regulatory guidance could result in civil or criminal sanctions by regulatory agencies, civil monetary penalties and damage to our reputation. In addition, we will be required to serve as a “source of strength” to Newtek Bank.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Congress and federal regulatory agencies continually review banking laws, regulations, policies and other supervisory guidance for possible changes. Other changes in the laws or regulations that will be applicable to us as a financial holding company, including changes in the interpretation or implementation of those regulations or policies, may negatively impact the profitability of our business activities, require us to change certain of our business practices, materially affect our business model, limit the activities in which we may engage, affect retention of key personnel, require us to raise additional regulatory capital, increase the amount of liquid assets that we hold, otherwise affect our funding profile or expose us to additional costs (including increased compliance costs). Any such changes may also require us to invest significant management attention and resources to make any necessary changes and may adversely affect our ability to conduct our business as previously conducted or our results of operations or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increased governmental and regulatory scrutiny or negative publicity.</w:t>
      </w:r>
    </w:p>
    <w:p>
      <w:pPr>
        <w:spacing w:after="0" w:line="19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Political and public sentiment regarding financial institutions has in the past resulted and may in the future result in a significant amount of adverse press coverage, as well as adverse statements or charges by regulators or other government officials. Press coverage and other public statements that assert some form of wrongdoing (including, in some cases, press coverage and public statements that do not directly involve us) often result in some type of investigation by regulators, legislators and law enforcement officials or in lawsuits. Adverse publicity, governmental scrutiny and legal and enforcement proceedings can also have a negative impact on our reputation and on the morale and performance of our employees, which could adversely affect our business and results of operations.</w:t>
      </w:r>
    </w:p>
    <w:p>
      <w:pPr>
        <w:spacing w:after="0" w:line="16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The financial services industry generally has been subject to negative publicity. Our reputation and business may be adversely affected by negative publicity or information regarding our business and personnel, whether or not accurate or true, that may be posted on social media or other internet forums or published by news organizations. Postings on these types of forums may also adversely impact risk positions of our clients and other parties that owe us money, securities or other assets and increase the chance that they will not perform their obligations to us or reduce the revenues we receive from their use of our services. The speed and pervasiveness with which information can be disseminated through these channels, in particular social media, may magnify risks relating to negative publicity.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4"/>
          <w:szCs w:val="14"/>
          <w:color w:val="auto"/>
        </w:rPr>
        <w:t>The rapid dissemination of negative information through social media, in part, is believed to have led to the collapse of Silicon Valley Bank, Signature Bank and First Republic Bank. These banks suffered a level of deposit withdrawals within a time period not previously experienced by a financial institution. We could also be subject to rapid deposit withdrawals or other outflows as a result of negative social media posts or other negative publicity.</w:t>
      </w:r>
    </w:p>
    <w:p>
      <w:pPr>
        <w:spacing w:after="0" w:line="15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spacing w:after="0" w:line="1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If we do not comply with applicable laws, regulations or commitments, if we are deemed to have engaged in unsafe or unsound conduct, or if we do not satisfy our regulators’ supervisory expectations, then we may be subject to increased scrutiny, supervisory criticism, governmental or private litigation and/or a wide range of potential monetary penalties or consequences, enforcement actions, criminal liability and/or reputational harm. Such actions could be public or of a confidential nature, and arise even if we are acting in good faith or operating under a reasonable interpretation of the law and could include, for example, monetary penalties, payment of damages or other monetary relief, restitution or disgorgement of profits, directives to take remedial action or to cease or modify practices, restrictions on growth or expansionary proposals, denial or refusal to accept applications, removal of officers or directors, prohibition on dividends or capital distributions, increases in capital or liquidity requirements and/or termination of Newtek Bank’s deposit insurance. Additionally, compliance with applicable laws, regulations and commitments requires significant investment of management attention and resources. Any failure to comply with applicable laws, regulations or commitments could have an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law may discourage certain acquisitions of our common stock which could have a material adverse effect on our shareholders.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Federal law may make it more difficult for someone to acquire our common stock in certain circumstances. Under federal law and subject to certain exemptions, a person, entity or group must notify the federal banking agencies before acquiring control of a bank holding company. An acquisition of 10% or more of any class of voting stock of a bank holding company generally creates a rebuttable presumption that the acquirer will “control” the bank holding company. In addition, a bank holding company must obtain the prior approval of the Board of Governors of the Federal Reserve System before, among other things, acquiring direct or indirect ownership or control of more than 5 percent of the voting shares of any bank or bank holding company. These provisions could delay or prevent a third party from acquiring us, despite the possible benefit to our shareholders, or otherwise adversely affect the market price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no longer subject to regulation under the 1940 Act.</w:t>
      </w:r>
    </w:p>
    <w:p>
      <w:pPr>
        <w:spacing w:after="0" w:line="18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As of January 6, 2023, we are no longer regulated as a BDC and are no longer be subject to the regulatory provisions of the 1940 Act, which is designed to protect the interests of investors in investment companies, including certain laws and regulations related to insurance, custody, capital structure, composition of the Board, affiliated transactions, leverage limitations, and compensation arrangements. We do, however, continue to be subject to certain 1940 Act provisions related to asset coverage in relation to the 2024 and 2026 Notes. See “Item 1A. Risk Factors - Risks Related to Our Notes - We are subject to 150% asset coverage requirements due to covenants contained in the indentures under which the 2024 and 2026 Notes were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withdrawal of the Company’s election to be regulated as a BDC has resulted in a significant change in our accounting and financial reporting requirements.</w:t>
      </w:r>
    </w:p>
    <w:p>
      <w:pPr>
        <w:spacing w:after="0" w:line="22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color w:val="auto"/>
        </w:rPr>
        <w:t>Due to the Company’s withdrawal of its election to be regulated as a BDC on January 6, 2023, the Company is no longer subject to FASB Accounting Standards Codification Topic 946, Financial Services – Investment Companies, which has resulted in a significant change in our accounting and financial reporting requirements. As a BDC, we were precluded from consolidating any entity other than another investment company that acted as an extension of our investment operations and facilitated the execution of our investment strategy or an investment in a controlled operating company that provided substantially all of its services to us. Beginning with the first quarter of 2023, we were required to consolidate the financial statements of certain of our controlled or majority-owned investments (now consolidated subsidiaries), which is a significant change in our accounting and financial reporting requirements. Our management has been and continues to be required to expend significant efforts in order to implement this change in accounting and financial reporting requirements, which could adversely affect the time and attention devoted to other aspects of our business and operations.</w:t>
      </w:r>
    </w:p>
    <w:p>
      <w:pPr>
        <w:spacing w:after="0" w:line="16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These significant changes in our accounting and financial reporting requirements resulted in failures by the Company to adequately and timely identify financial reporting risks and the associated identification of key controls in connection therewith. As a result,we have identified material weaknesses in our internal controls that impacted the overall effectiveness of our internal controls over financial reporting. We have taken actions to enhance our internal controls over financial reporting relating to the</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4"/>
          <w:szCs w:val="14"/>
          <w:color w:val="auto"/>
        </w:rPr>
        <w:t>material weaknesses identified as of the date of this Annual Report, and are still in the process of implementing a comprehensive remediation plan. See “Item 9A. Controls and Procedures” and “Item 1A. Risk Factors - Risks Related to Our Business and Structure - We have identified material weaknesses in our internal control over financial reporting which could, if not remediated, adversely affect our ability to report our financial condition and results of operations in a timely and accurate manner, investor confidence in our company and, as a result, the value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shareholders no longer have the protections of the 1940 Act, as the Company withdrew election to be regulated as a BDC.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the Company ceased to operate as a BDC, our shareholders no longer have the following protections of the 1940 Act:</w:t>
      </w:r>
    </w:p>
    <w:p>
      <w:pPr>
        <w:spacing w:after="0" w:line="189" w:lineRule="exact"/>
        <w:rPr>
          <w:sz w:val="20"/>
          <w:szCs w:val="20"/>
          <w:color w:val="auto"/>
        </w:rPr>
      </w:pPr>
    </w:p>
    <w:p>
      <w:pPr>
        <w:ind w:left="520" w:right="280" w:hanging="260"/>
        <w:spacing w:after="0" w:line="241"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provisions of the 1940 Act prohibiting us from protecting any director or officer against any liability to the Company or our shareholders arising from willful malfeasance, bad faith, gross negligence, or reckless disregard of the duties involved in the conduct of that person’s office;</w:t>
      </w:r>
    </w:p>
    <w:p>
      <w:pPr>
        <w:ind w:left="520" w:hanging="260"/>
        <w:spacing w:after="0" w:line="23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required to provide and maintain an investment company blanket bond issued by a reputable fidelity insurance company to protect us against larceny and embezzlement;</w:t>
      </w:r>
    </w:p>
    <w:p>
      <w:pPr>
        <w:ind w:left="520" w:right="60" w:hanging="260"/>
        <w:spacing w:after="0" w:line="23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majority of our directors are still required to be “independent” under applicable NASDAQ regulations, we are no longer required to ensure that a majority of our directors are persons who are not “interested persons,” as defined in the 1940 Act, and certain persons who were prevented from serving on our Board when we were a BDC are now able to serve on our Board;</w:t>
      </w:r>
    </w:p>
    <w:p>
      <w:pPr>
        <w:ind w:left="520" w:hanging="260"/>
        <w:spacing w:after="0" w:line="23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provisions of the 1940 Act regulating transactions between BDCs and certain affiliates;</w:t>
      </w:r>
    </w:p>
    <w:p>
      <w:pPr>
        <w:ind w:left="520" w:hanging="260"/>
        <w:spacing w:after="0" w:line="23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provisions of the 1940 Act restricting our ability to issue shares below net asset value or in exchange for services or to issue warrants and options;</w:t>
      </w:r>
    </w:p>
    <w:p>
      <w:pPr>
        <w:ind w:left="520" w:hanging="260"/>
        <w:spacing w:after="0" w:line="23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required to disclose the Company’s net asset value per share in our financial statements;</w:t>
      </w:r>
    </w:p>
    <w:p>
      <w:pPr>
        <w:ind w:left="520" w:right="20" w:hanging="260"/>
        <w:spacing w:after="0" w:line="23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provisions of the 1940 Act restricting our ability to change the nature of our business or fundamental investment policies without having to obtain the approval of our shareholders;</w:t>
      </w:r>
    </w:p>
    <w:p>
      <w:pPr>
        <w:ind w:left="520" w:right="120" w:hanging="260"/>
        <w:spacing w:after="0" w:line="23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the provisions of the 1940 Act limiting our ability to grant stock based compensation to officers, directors and employees or to provide a profit sharing program for them; and</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 longer subject to the other protective provisions set out in the 1940 Act and the rules and regulations promulgated under the 1940 Act.</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In addition, we are very much affected by the legal, regulatory, tax and accounting regimes under which we operate. We periodically evaluate whether those regimes and our existing corporate structure are the optimum means for the operation and capitalization of our business. As a result of these evaluations, we may decide to proceed with structural and organizational changes (certain of which may require the approval of our shareholders), which could result in material dispositions of various assets, changes in our corporate form or other fundamental changes. We may incur certain costs in completing these evaluations and may receive no benefit from these expenditures, particularly if we do not proceed with any changes.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deemed to be an investment company under the Investment Company Act of 1940, we will not be able to successfully execute our business strategy.</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Certain of our subsidiaries rely on Rule 3a-7 to exclude their securitization activities from the definition of an “investment company” under the 1940 Act. Additionally, the Company has determined that, after withdrawing its election to be treated as a business development company, it is not an “investment company” because it neither holds more than 40% of its assets in “investment securities,” nor is it primarily engaged in, or holding itself out as being primarily engaged in, the business of investing, reinvesting or trading in securities. As a part of its determination, the Company has determined that certain of the loans held by its subsidiaries are neither securities nor “investment securities” under the 1940 Act. However, the staff of the SEC may disagree with our conclusions that (i) loans held by us and our subsidiaries are not securities as defined in the Act and that (ii) the Company did not meet the definition of an investment company under section 3 of the 1940 Act</w:t>
      </w:r>
    </w:p>
    <w:p>
      <w:pPr>
        <w:spacing w:after="0" w:line="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subsequent to our withdrawal of the election to be regulated as a BDC. If the SEC or a court determines that one or more of our subsidiaries’ activities cause us to fall within the definition of an “investment company,” and if no exemption is available, we could be required to register under the 1940 Act. Compliance with the 1940 Act, as a registered investment company, would require us to significantly alter our business and could impair our ability to operate as financial holding company, with potential adverse impacts on our business, and, thus, our shareholders.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pass-through tax treatment may substantially reduce net assets and income available for dividends and debt repayments.</w:t>
      </w:r>
    </w:p>
    <w:p>
      <w:pPr>
        <w:spacing w:after="0" w:line="18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Prior to January 6, 2023, we operated so as to qualify as a RIC, which generally allowed us to qualify for effective pass-through tax treatment. Upon withdrawing our election to be regulated as a BDC, we have ceased to qualify for such pass-through tax treatment, and we will have to pay corporate-level taxes on all of our income whether or not we distribute it, which we expect will substantially reduce the amount of income available for distribution to our shareholders and to repay our borrowings. The Company will no longer qualify as a RIC beginning with the 2023 taxable year. For more information, see “Item 7. Management’s Discussion and Analysis of Financial Condition and Results of Operations - Executive Summary” and “Risk Factors - Risks Related to Converting to a Financial Holding Company” in our Annual Report on Form 10-K for the fiscal year ended December 31, 2021, filed with the SEC on March 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ECONOMY</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social and market conditions, including uncertainty about the financial stability of the United States could have a significant adverse effect on our business, operating results and financial condition.</w:t>
      </w:r>
    </w:p>
    <w:p>
      <w:pPr>
        <w:spacing w:after="0" w:line="14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4"/>
          <w:szCs w:val="14"/>
          <w:color w:val="auto"/>
        </w:rPr>
        <w:t>The current worldwide financial markets situation, as well as various social, political, economic and other conditions and events (including political tensions in the United States and around the world, wars and other forms of conflict, terrorist acts, security operations and catastrophic events such as natural disasters, epidemics and pandemics) may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6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Uncertainty can result in or coincide with, among other things: increased volatility in the financial markets for securities, derivatives, loans, credit and currency; a decrease in the reliability of market prices and difficulty in valuing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6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In addition, the war between Russia and Ukraine, and resulting market volatility, could adversely affect our business, financial condition or results of operations. In response to the war between Russia and Ukraine, the United States have imposed sanctions or other restrictive actions against Russia. The ongoing war and the measures in response could have a negative impact on the economy and business activity globally and could have a material adverse effect on our business, financial condition, cash flows and results of operations. The severity and duration of the war and its impact on global economic and market conditions are impossible to predict. In addition, sanctions could also result in Russia taking counter measures or retaliatory actions which could adversely impact our business, including, but not limited to, cyberattacks targeting private companies, individuals or other infrastructure upon which our business and the business of our clients rely.</w:t>
      </w:r>
    </w:p>
    <w:p>
      <w:pPr>
        <w:spacing w:after="0" w:line="17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Any public health emergency, or the threat thereof, and the resulting financial and economic market uncertainty could have a significant adverse impact on us and the fair value of our investments, our subsidiaries and our clients.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extent of the impact of any public health emergency, such as the COVID-19 pandemic, on our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personnel. This could create widespread business continuity issues for us.</w:t>
      </w:r>
    </w:p>
    <w:p>
      <w:pPr>
        <w:spacing w:after="0" w:line="16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number of factors related to a public health emergency impacting us or our borrowers, customers or business partners could materially adversely affect our business, results of operations, and financial condition, including but not limited to:</w:t>
      </w:r>
    </w:p>
    <w:p>
      <w:pPr>
        <w:spacing w:after="0" w:line="145"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loan delinquencies, losses and charge-offs;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borrowers seeking and being granted deferments of principal and interest payments;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for loans, including real estate, may decline in value, which could cause loan losses to increase;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business products and solutions may decline, making it difficult to grow or maintain our assets and income;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worth and liquidity of the guarantors on our loans may decline, which could cause loan losses to increase;</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risk management policies and practices may be negatively impacted by, among other things, changes in the SBA 7(a) loan program, including changes to SBA rules, regulations and SBA standard operating procedures;</w:t>
      </w: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cyber risk as criminals may take advantage of the changes of business practices necessitated by a public health emergency.</w:t>
      </w:r>
    </w:p>
    <w:p>
      <w:pPr>
        <w:spacing w:after="0" w:line="1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If the economy is unable to substantially reopen or remain reopened after a public health emergency,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Any public health emergency, pandemic or any outbreak of other existing or new epidemic diseases, or the threat thereof, and the resulting financial and economic market uncertainty could have a significant adverse impact on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clients and our operating results.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Many of our clients may be susceptible to economic slowdowns, a prolonged period of high interest rates or recessions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the impact of trade deals between Britain and the European Union following the United Kingdom’s exit from the European Union, uncertainty in connection with economic sanctions resulting from the ongoing war between Russia and Ukraine, and uncertainty between the United States and other countries, including China, with respect to trade policies, treaties, and tariffs, among other factors, have caused disruption in the global markets. There can be no assurance that market conditions will not worsen in the future.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14"/>
          <w:szCs w:val="14"/>
          <w:color w:val="auto"/>
        </w:rPr>
        <w:t>In an economic downturn or a prolonged period of high interest rates, we may have non-performing assets or non-performing assets may increase, and the value of our portfolio is likely to decrease during these periods. Adverse economic conditions may also decrease the value of any collateral securing our loans. A severe recession may further decrease the value of such collateral and result in losses of value in our portfolio and a decrease in our revenues, net income, assets and net worth. Unfavorable economic conditions also could increase our funding costs, limit our access to the capital markets or result in a decision by lenders not to extend credit to us on terms we deem acceptable. These events could prevent us from increasing investments and harm our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recessionary conditions and/or negative developments in the domestic and international credit markets may</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significantly affect the markets in which we do business, the value of our investments, and our ongoing operations, costs and profitability. Any such unfavorable economic conditions, including rising interest rates or a prolonged period of high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w:t>
      </w:r>
    </w:p>
    <w:p>
      <w:pPr>
        <w:spacing w:after="0" w:line="165" w:lineRule="exact"/>
        <w:rPr>
          <w:sz w:val="20"/>
          <w:szCs w:val="20"/>
          <w:color w:val="auto"/>
        </w:rPr>
      </w:pPr>
    </w:p>
    <w:p>
      <w:pPr>
        <w:ind w:right="4120"/>
        <w:spacing w:after="0" w:line="287" w:lineRule="auto"/>
        <w:rPr>
          <w:sz w:val="20"/>
          <w:szCs w:val="20"/>
          <w:color w:val="auto"/>
        </w:rPr>
      </w:pPr>
      <w:r>
        <w:rPr>
          <w:rFonts w:ascii="Times New Roman" w:cs="Times New Roman" w:eastAsia="Times New Roman" w:hAnsi="Times New Roman"/>
          <w:sz w:val="14"/>
          <w:szCs w:val="14"/>
          <w:color w:val="auto"/>
        </w:rPr>
        <w:t>These events could limit our investment originations, limit our ability to grow and negatively impact our operating results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events in the banking sector may have an adverse effect on aspects of our results of operations and the price of our common stock</w:t>
      </w:r>
      <w:r>
        <w:rPr>
          <w:rFonts w:ascii="Times New Roman" w:cs="Times New Roman" w:eastAsia="Times New Roman" w:hAnsi="Times New Roman"/>
          <w:sz w:val="14"/>
          <w:szCs w:val="14"/>
          <w:b w:val="1"/>
          <w:bCs w:val="1"/>
          <w:color w:val="auto"/>
        </w:rPr>
        <w:t>.</w:t>
      </w:r>
    </w:p>
    <w:p>
      <w:pPr>
        <w:spacing w:after="0" w:line="19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4"/>
          <w:szCs w:val="14"/>
          <w:color w:val="auto"/>
        </w:rPr>
        <w:t>During 2023 and more recently, concerns have arisen with respect to the financial condition of a number of banking organizations in the United States, in particular those with exposure to certain types of depositors and large portfolios of investment securities. Silicon Valley Bank and Signature Bank were both placed into FDIC receivership resulting from significant and rapid deposit outflows and the Federal Reserve announced it will make available additional funding to eligible depository institutions to assist banking organizations with potential liquidity needs. While our business, balance sheet and depositor profile differs substantially from the banking institutions that are the focus of the greatest scrutiny, the operating environment and public trading prices of financial services sector can be highly correlated, in particular in times of stress, which has, and may continue to adversely affect the trading price of our common stock. In addition, there is uncertainty at the present time with respect to the effect that these events will have on the perceptions held by individual and commercial depositors as to the safety of deposited funds at smaller banking institutions, which could affect Newtek Bank’s ability to maintain its levels of deposit funding. We believe that our client base and business model differs from those of the banking organizations which are under the most scrutiny at the present time, however no assurances can be given that the effects of recent events will not have an adverse effect on our results of operations and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interest rates could adversely affect our results of operations and financial condition.</w:t>
      </w:r>
    </w:p>
    <w:p>
      <w:pPr>
        <w:spacing w:after="0" w:line="19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Our earnings depend substantially on our interest rate spread, which is the difference between (i) the rates Newtek Bank earns on loans, securities and other earning assets and (ii) the interest rates Newtek Bank pays on deposits and other borrowings, and its costs of capital. These rates are highly sensitive to many factors beyond our control, including general economic conditions and the policies of various governmental and regulatory authorities. If market interest rates continue to rise, especially at the pace they did in 2022 and 2023, we will continue to face competitive pressure to increase the rates Newtek Bank pays on deposits, which could negatively affect net interest margin.</w:t>
      </w:r>
    </w:p>
    <w:p>
      <w:pPr>
        <w:spacing w:after="0" w:line="16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However, we believe that our loan portfolio is less sensitive to a rising interest rate environment based on the fact that a material portion of our loan portfolio consists of SBA 7(a) loans, which are floating rate loans that bear interest at the prime rate plus a spread from 2.25% to 3.00%, which interest rates reset on a quarterly basis. Moreover, in response to these market conditions and consistent with its business plan, Newtek Bank has been focused on increasing its liquidity position by raising additional deposits and maintaining a significant portion of its liquidity in the form of cash held at the Federal Reserve, as opposed to long 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may adversely affect the business, results of operations and financial condition of companies.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Recent inflationary pressures have increased the costs of capital, labor, energy and raw materials and have adversely affected consumer spending, economic growth and our clients’ operations. Certain of our clients may be in industries that have been, or are expected to be, impacted by inflation. If such clients are unable to pass any increases in their costs along to their customers, it could adversely affect their results and impact their ability to pay interest and principal on our loans. In addition, any projected future decreases in our clients’ operating results due to inflation could adversely impact the fair value of those investments. Any deterioration in the quality of our assets could result in future unrealized losses and require increased loan loss reserves and therefore negatively impact our financial condition or results of operations. The Federal Reserve raised interest rates in 2022 and 2023, and future changes to its monetary policy and the timing of them are not certain.</w:t>
      </w:r>
    </w:p>
    <w:p>
      <w:pPr>
        <w:spacing w:after="0" w:line="3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While the United States and other developed economies have recently experienced higher-than-normal inflation rates, it remains uncertain whether substantial inflation will be sustained over an extended period of time or have a significant effect on the U.S. economy or other economies. During periods of rising inflation, interest and dividend rates of any instruments we or our subsidiaries may have issued could increase, which would tend to reduce returns to our investors. Inflationary expectations or periods of rising inflation could also be accompanied by the rising prices of commodities which are critical to the operation of our clients as noted above. Clients may have fixed income streams and, therefore, be unable to pay their debts when they become due. The market value of such investments may decline in value in times of higher inflation rates. Some of our investments may have income linked to inflation through contractual rights or other means. However, as inflation may affect both income and expenses, any increase in income may not be sufficient to cover increases in expenses. Governmental efforts to curb inflation, including by raising of interest rates, often have negative effects on the level of economic activity. There can be no assurance that continued and more widespread inflation in the United States and/or other economies or the maintenance of higher interest rests in an effort to curb inflation will not become a serious problem in the future and have a material adverse impact on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Terrorist attacks, acts of war, global health emergencies or natural disasters may impact the businesses in which we invest and harm our business, operating results and financial condition.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Terrorist acts, acts of war, global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global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natural disasters are generally uninsurable.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or the perceived risk of a failure to raise the statutory debt limit of the U.S. could have a material adverse effect on our business, financial condition and results of operations.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June 2023, the U.S. federal government suspended the federal debt limit until 2025. If Congress does not raise the debt ceiling prior to 2025, the United States could default on its obligations, including Treasury securities that play an integral role in financial markets. A default by the United States could result in unprecedented market volatility and illiquidity, heightened operational risks relating to the clearance and settlement of transactions, margin and other disputes with clients and counterparties, an adverse impact to investors including money market funds that invest in U.S. Treasuries, downgrades in the U.S. credit rating, further increases in interest rates and borrowing costs and a recession in the United States or other economies. Continued uncertainty relating to the debt ceiling could result in downgrades of the U.S. credit rating, which could adversely affect market conditions, lead to margin disputes, further increases in interest rates and borrowing costs and necessitate significant operational changes among market participants, including us. A downgrade of the U.S. federal government’s credit rating could also materially and adversely affect the market for repurchase agreements, securities borrowing and lending, and other financings typically collateralized by U.S. Treasury or agency obligations. Further, the fair value, liquidity and credit ratings of securities issued by, or other obligations of, agencies of the U.S. government or related to the U.S. government or its agencies, as well as municipal bonds could be similarly adversely affected. An increasing frequency of government shutdowns, or near shutdowns, in the United States could also lead to uncertainty as to the continued funding of the U.S. government, which could, in turn, adversely affect the credit ratings of the United States and the market for U.S. Treasury or agency obligations. Continued adverse political and economic conditions could have a material adverse effect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45" w:name="page46"/>
    <w:bookmarkEnd w:id="45"/>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obtain additional capital because of either regulatory or market price constraints, we could be forced to curtail or cease our new lending activities and our level of distributions and liquidity could be affected adversely.</w:t>
      </w:r>
    </w:p>
    <w:p>
      <w:pPr>
        <w:spacing w:after="0" w:line="1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STRUCTURE</w:t>
      </w:r>
    </w:p>
    <w:p>
      <w:pPr>
        <w:spacing w:after="0" w:line="200"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our Senior Lending Team and our executive officers for our future success, and if we are unable to hire and retain qualified personnel or if we lose any member of our Senior Lending Team or our executive officers our business could be significantly harmed.</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depend on our Senior Lending Team and executive officers as well as other key personnel for the management of our and our subsidiaries’ businesses. These executive officers and employees have critical industry experience and relationships that we rely on to implement our business plan. Our future success depends on the continued service of our Senior Lending Team and our executive officers and the replacement of any departing individuals with others of comparable skills and experience. The departure of any of the members of our Senior Lending Team, our executive officers or a significant number of our senior personnel could have a material adverse effect on our business. As a result, we may not be able to operate our business as we expect, and our ability to compete could be harmed, which could cause our operating results to suffer.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clients, which could reduce returns and result in losses.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commercial lending market to independent business owners is very competitive and is served by a variety of entities, including banks, savings and loan associations, credit unions, independent finance companies, and nonbank lenders, including financial technology companies. The lending market to independent business owners is also highly fragmented, with a small number of lenders capturing large shares of each market and many smaller lenders competing for the remaining market share. We compete for clients with other financial institutions and various SMB lenders, as well as other sources of funding. Additionally, competition for clients has emerged among alternative investment vehicles, such as CLOs, some of which are sponsored by other alternative asset investors, as these entities have begun to focus on making investments in SMBs. As a result of these new entrants, competition for our clients may intensify. Many of our competitors will be substantially larger and have considerably greater financial, technical and marketing resources than us. For example, some competitors may have a lower cost of capital and access to funding sources that will not be available to us. Our competitors often seek to provide financing on terms more favorable to independent business owners than we offer. Many of these competitors also have long-standing relationships with independent business owners and may offer other forms of financing that we do not offer. In addition, some of our competitors may have higher risk tolerances or different risk assessments than we will have. Additionally, some of our competitors may also be subject to less burdensome licensing and other regulatory requirements and, as a result, these competitors may have advantages in conducting certain business and providing certain services and may be more aggressive in their loan origination activities. These characteristics could allow our competitors to establish more relationships and offer better pricing and more flexible structuring than we will be able to offer. We may lose clients if we do not match our competitors’ pricing, terms and structure. If we are forced to match our competitors’ pricing, terms and structure, we may not be able to achieve acceptable returns or may bear substantial risk of capital loss.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We may encounter greater competition as we expand our operations, and competition may also increase in more stable or favorable economic conditions. Increasing competition could also require us to lower the rates we charge on loans in order to maintain our desired loan origination volume, which could also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the soundness of other financial institutions.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46" w:name="page47"/>
    <w:bookmarkEnd w:id="46"/>
    <w:p>
      <w:pPr>
        <w:ind w:right="60"/>
        <w:spacing w:after="0" w:line="245" w:lineRule="auto"/>
        <w:rPr>
          <w:sz w:val="20"/>
          <w:szCs w:val="20"/>
          <w:color w:val="auto"/>
        </w:rPr>
      </w:pPr>
      <w:r>
        <w:rPr>
          <w:rFonts w:ascii="Times New Roman" w:cs="Times New Roman" w:eastAsia="Times New Roman" w:hAnsi="Times New Roman"/>
          <w:sz w:val="14"/>
          <w:szCs w:val="14"/>
          <w:color w:val="auto"/>
        </w:rPr>
        <w:t>Moreover, we may be adversely affected by the soundness of other financial institutions even when we are not directly exposed to those institutions. For example,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financial institutions. Defaults by, declines in the financial condition of, or even rumors or questions about, one or more financial institutions, financial service companies or the financial services industry generally, may lead to difficulties related to liquidity, asset quality or other problems and could lead to losses or defaults by us or by other institutions. These problems, losses or defaults could have an adverse effect on our business, financial condition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acquire and process clients effectively, we may be unable to achieve our objectives.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ability to achieve our objectives depends on our Senior Lending Team’s and our executive officers’ ability to acquire clients. Accomplishing this result on a cost-effective basis is largely a function of our marketing capabilities, our management of our client processing, our ability to provide efficient services and our access to financing sources on acceptable terms.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manage our future growth effectively could have a material adverse effect on our business, financial condition and results of operations.</w:t>
      </w:r>
    </w:p>
    <w:p>
      <w:pPr>
        <w:spacing w:after="0" w:line="162"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model depends to a significant extent upon strong referral relationships, and our inability to maintain or further develop these relationships, as well as the failure of these relationships to generate investment opportunities, could adversely affect our business.</w:t>
      </w:r>
    </w:p>
    <w:p>
      <w:pPr>
        <w:spacing w:after="0" w:line="1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We expect that members of our Senior Lending Team and our Executive Committee will maintain their relationships with intermediaries, financial institutions, investment bankers, commercial bankers, financial advisors, attorneys, accountants, consultants, alliance partners, and other individuals within their networks, and we will rely, to a significant extent, upon these relationships to provide us with potential clients. If our Senior Lending Team and our executive officers fail to maintain its existing relationships or develop new relationships with potential clients, we may not be able to acquire new clients. In addition, individuals with whom members of our Senior Lending Team and our executive officers have relationships are not obligated to provide us with client opportunities, and, therefore, there is no assurance that such relationships will generate opportunities for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 could adversely affect our business and financial results.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In the past, we have had a significant amount of indebtedness. If our debt service obligations increase, whether due to the increased cost of existing indebtedness or the incurrence of additional indebtedness, more of our cash flow from operations would need to be allocated to the payment of principal of, and interest on, our indebtedness, which would reduce the funds available for other purposes. Our indebtedness also could limit our ability to execute our business plans and withstand competitive pressures and could reduce our flexibility in responding to changing business and economic conditions.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ability to make payments on our debt, to repay our existing indebtedness when due, and to fund our business, operations and significant planned capital expenditures will depend on our ability to pay with available cash or generate cash in the future. This, to a certain extent, is subject to financial, competitive, legislative, regulatory and other factors that are beyond our control. In addition, if we cannot service our indebtedness, we may have to take actions such as utilizing available capital, limiting the origination of loans, selling assets, selling equity or reducing or delaying capital expenditures, strategic acquisitions, investments and alliances, any of which could impede the implementation of our business strategy, prevent us from entering into transactions that would otherwise benefit our business and/or adversely affect our business and financial results. We also may not be able to refinance our indebtedness or take such other actions, if necessary, on commercially reasonable terms, or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To the extent we borrow money to originate new loans, changes in interest rates will affect our cost of capital and net interest margin.</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To the extent we borrow money to finance client loans, our net interest margin will depend, in part, upon the difference between the rate at which we borrow funds and the rate at which we lend those funds. General interest rate fluctuations may also have an impact on the value of our stock and our rate of return. As a result, we can offer no assurance that a significant change in market interest rates will not have a material adverse effect on our net interest margin in the event we borrow money to finance our loans. In periods of rising interest rates, our cost of funds would increase, which could reduce our net interest margin. Further, rising interest rates could also adversely affect our performance if we hold loans with floating interest rates, subject to specified minimum interest rates, while at the same time engaging in borrowings subject to floating interest rates not subject to such minimums. In such a scenario, rising interest rates may increase our interest expense, even though</w:t>
      </w:r>
    </w:p>
    <w:p>
      <w:pPr>
        <w:spacing w:after="0" w:line="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4"/>
          <w:szCs w:val="14"/>
          <w:color w:val="auto"/>
        </w:rPr>
        <w:t>our interest income is not increasing in a corresponding manner as a result of such minimum interest rates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Rising interest rates could also cause clients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which could adversely affect our net interest margin, as increases in our cost of borrowed funds would not be accompanied by increased interest income from such fixed-rate investments. Also, an increase in interest rates available to investors could make an investment in our common stock less attractive if we are not able to increase our dividend rate, which could reduce the value of our common stock.</w:t>
      </w:r>
    </w:p>
    <w:p>
      <w:pPr>
        <w:spacing w:after="0" w:line="16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We may use interest rate risk management techniques in an effort to limit our exposure to interest rate fluctuations. Such techniques may include various interest rate hedging activities. If we do not implement these techniques properly, we could experience losses on our hedging positions, which could be material. In addition, depending on the frequency and magnitude of rising interest rates, these interest rate increases could negatively impact premiums received on the sale of guaranteed SBA loans, and further, could increase prepayment speeds on outstanding SBA loans, potentially negatively impacting the Company’s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expose ourselves to risks as we engage in hedging transactions.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the second half of 2021, we began using derivatives to hedge interest rate exposure on specific fixed rate loans originated by us or our subsidiaries until such fixed rate loans are sold or securitized. We may continue to enter into such hedging transactions in an effort to mitigate our exposure to adverse fluctuations in interest rates and we may increase our floating rate investments to position the portfolio for rate increases. However, we cannot assure you that such transactions will be successful in mitigating our exposure to interest rate risk or if we will continue to enter into such interest rate hedges. Hedging transactions may also limit our ability to participate in the benefits of lower interest rates with respect to our loans. Moreover, as we engage in hedging transactions, we expose ourselves to certain risks associated with such transactions. We may utilize instruments such as forward contracts, currency options and interest rate swaps, caps, collars and floors to seek to hedge against fluctuations in the relative values of certain of our portfolio positions from changes in market interest rates. Hedging against a decline in the values of our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holdings being hedged. Any such imperfect correlation may prevent us from achieving the intended hedge and expose us to risk of loss. In addition, it may not be possible to hedge fully or perfectly against interest rate fluctuations affecting the value of securities in our portfolio.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stringent capital and liquidity regulations and requirements.</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NewtekOne is the parent company of and a separate and distinct legal entity from Newtek Bank. Legal entity liquidity is an important consideration as there are legal, regulatory, contractual and other limitations on our ability to utilize liquidity from one legal entity to satisfy the liquidity requirements of another, which could result in adverse liquidity events at either NewtekOne and/or Newtek</w:t>
      </w:r>
    </w:p>
    <w:p>
      <w:pPr>
        <w:spacing w:after="0" w:line="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Bank. Applicable laws and regulations, including capital and liquidity requirements and the Operating Agreement, could restrict our ability to transfer funds between Newtek Bank and NewtekOne, which could adversely affect our cash flow and financial condition. Additionally, applicable laws and regulations may restrict what NewtekOne is able to do with the liquidity it does possess, which may adversely affect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8" w:name="page49"/>
    <w:bookmarkEnd w:id="48"/>
    <w:p>
      <w:pPr>
        <w:ind w:right="60"/>
        <w:spacing w:after="0" w:line="245" w:lineRule="auto"/>
        <w:rPr>
          <w:sz w:val="20"/>
          <w:szCs w:val="20"/>
          <w:color w:val="auto"/>
        </w:rPr>
      </w:pPr>
      <w:r>
        <w:rPr>
          <w:rFonts w:ascii="Times New Roman" w:cs="Times New Roman" w:eastAsia="Times New Roman" w:hAnsi="Times New Roman"/>
          <w:sz w:val="14"/>
          <w:szCs w:val="14"/>
          <w:color w:val="auto"/>
        </w:rPr>
        <w:t>Further, pursuant to the Operating Agreement we have made certain commitments to the OCC which requires Newtek Bank to hold capital incremental to the minimum required under the applicable standards, which could also impact the Company’s ability to invest in assets. From time to time, regulators may implement changes to these capital adequacy and liquidity requirements. If we fail to meet these minimum capital adequacy and liquidity guidelines and other regulatory requirements, our business activities, including lending, and its ability to expand could be limited. It could also result in the Company being required to take steps to increase its regulatory capital that may be dilutive or adverse to stockholders, including limiting the Company’s ability to pay dividends to stockholders or limiting the Company’s ability to invest in assets even if deemed more desirable from a financial and business perspective.</w:t>
      </w:r>
    </w:p>
    <w:p>
      <w:pPr>
        <w:spacing w:after="0" w:line="16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federal banking regulators could require the Company to provide additional capital or liquidity support, or take other action, in support of Newtek Bank, even if doing so is not otherwise in the best interest of the Company or its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inability to maintain adequate liquidity could jeopardize our business and financial condition.</w:t>
      </w:r>
    </w:p>
    <w:p>
      <w:pPr>
        <w:spacing w:after="0" w:line="20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Liquidity is essential to our business. Although we believe that we currently have an adequate amount of liquidity to support our business, there are a number of factors that could reduce and/or deplete our existing liquidity position, including results of operations that are reduced relative to our projections, costs related to existing or future litigation or regulatory matters, the pursuit of strategic business opportunities (whether through acquisition or organic) and unanticipated liabilities. Additionally, as noted above, we are subject to stringent capital and liquidity regulations and requirements and need to manage our liquidity position at both NewtekOne and Newtek Bank within the parameters and terms set forth by applicable regulations and regulators. Newtek Bank is subject to various legal, regulatory and other restrictions on its ability to make distributions and payments to the Company. Any inability to maintain an adequate liquidity position could adversely affect our operations, our compliance with applicable regulations and the performance of our business.</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Further, our ability to raise additional capital, should that be deemed beneficial and/or necessary, depends on conditions in the capital markets, economic conditions and a number of other factors, including investor perceptions regarding the financial services and banking industry, market conditions, governmental activities, and our financial condition and performance. Accordingly, we may be unable to raise additional capital if needed or on acceptable terms, which may adversely affect our liquidity,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acquisitions and other strategic transactions, including the Acquisition, may not yield the intended benefits.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have historically and may continue to evaluate and consider strategic transactions, combinations, acquisitions, dispositions or alliances.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In particular, on January 6, 2023, we completed the Acquisition of NBNYC. We anticipate that the Acquisition will continue to be transformational for the Company from both a financial and strategic perspective. However, any acquisition (including the Acquisition), disposition or other strategic transactions involves risks, including:</w:t>
      </w:r>
    </w:p>
    <w:p>
      <w:pPr>
        <w:spacing w:after="0" w:line="145" w:lineRule="exact"/>
        <w:rPr>
          <w:sz w:val="20"/>
          <w:szCs w:val="20"/>
          <w:color w:val="auto"/>
        </w:rPr>
      </w:pPr>
    </w:p>
    <w:p>
      <w:pPr>
        <w:ind w:left="520" w:right="120" w:hanging="6"/>
        <w:spacing w:after="0" w:line="263" w:lineRule="auto"/>
        <w:tabs>
          <w:tab w:leader="none" w:pos="60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assimilating and integrating the operations, personnel, systems, data, technologies, products and services of the acquired business, which may require ongoing investment in development and enhancement of additional operational and reporting processes and controls;</w:t>
      </w: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the acquired technologies, products or businesses to achieve expected levels of revenue, profitability, productivity or other benefits;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retaining, training, motivating and integrating key personnel;</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time and resources from our normal daily operations;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successfully incorporating licensed or acquired technology and rights into our platform;</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maintaining uniform standards, controls, procedures and policies within the combined organization;</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retaining relationships with customers, employees and suppliers of the acquired business;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entering markets in which we have no or limited direct prior experience;</w:t>
      </w:r>
    </w:p>
    <w:p>
      <w:pPr>
        <w:spacing w:after="0" w:line="8" w:lineRule="exact"/>
        <w:rPr>
          <w:rFonts w:ascii="Times New Roman" w:cs="Times New Roman" w:eastAsia="Times New Roman" w:hAnsi="Times New Roman"/>
          <w:sz w:val="14"/>
          <w:szCs w:val="14"/>
          <w:color w:val="auto"/>
        </w:rPr>
      </w:pPr>
    </w:p>
    <w:p>
      <w:pPr>
        <w:ind w:left="520" w:right="300" w:hanging="6"/>
        <w:spacing w:after="0" w:line="266" w:lineRule="auto"/>
        <w:tabs>
          <w:tab w:leader="none" w:pos="60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49" w:name="page50"/>
    <w:bookmarkEnd w:id="49"/>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 of contractual obligations that contain terms that are not beneficial to us, require us to license or waive intellectual property rights or increase our risk for liability;</w:t>
      </w:r>
    </w:p>
    <w:p>
      <w:pPr>
        <w:spacing w:after="0" w:line="2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further develop any acquired technology;</w:t>
      </w:r>
    </w:p>
    <w:p>
      <w:pPr>
        <w:spacing w:after="0" w:line="8" w:lineRule="exact"/>
        <w:rPr>
          <w:rFonts w:ascii="Times New Roman" w:cs="Times New Roman" w:eastAsia="Times New Roman" w:hAnsi="Times New Roman"/>
          <w:sz w:val="14"/>
          <w:szCs w:val="14"/>
          <w:color w:val="auto"/>
        </w:rPr>
      </w:pPr>
    </w:p>
    <w:p>
      <w:pPr>
        <w:ind w:left="520" w:right="460" w:hanging="6"/>
        <w:spacing w:after="0" w:line="253" w:lineRule="auto"/>
        <w:tabs>
          <w:tab w:leader="none" w:pos="60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or disposed of business before the acquisition or disposition, including patent and trademark infringement claims, violations of laws, regulatory actions, commercial disputes, tax liabilities and other known and unknown liabilities;</w:t>
      </w:r>
    </w:p>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separating assets and replacing shared services;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 of exposure to performance of any acquired loan portfolios;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disruptions to our ongoing businesses; and</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costs and unknown risks and liabilities associated with the acquisition.</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Accordingly, any acquisition, disposition or other strategic transaction may not be successful, may not benefit our business strategy, may not generate sufficient revenue to offset the associated costs or may not otherwise result in the intended benefits. Additionally, it may take us longer than expected to fully realize the anticipated benefits and synergies of these transactions (including the Acquisition), and those benefits and synergies may ultimately be smaller than anticipated or may not be realized at all, which could adversely affect our business and operating results.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Any transactions, combinations, acquisitions, dispositions or alliances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addition, we cannot assure you that any acquisition of new businesses or technology will lead to the successful development of new or enhanced products and services or that any new or enhanced products and services, if developed, will achieve market acceptance or prove to be profitable.</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Finally,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if our risk management framework does not effectively identify, assess and mitigate risk.</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risk management framework seeks to appropriately balance risk and return and mitigate our risks, including risks attributable to third parties. We have established policies intended to regularly identify and assess our risk profile, including credit risk, pricing risk, liquidity risk, strategic risk and operational risk, and then implement appropriate processes and controls to mitigate risk.</w:t>
      </w:r>
    </w:p>
    <w:p>
      <w:pPr>
        <w:spacing w:after="0" w:line="145"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If our risk management framework does not effectively identify, assess and/or mitigate our risk profile, we could suffer unexpected losses or be adversely affected, which could have a material adverse effect on our business. For example, assessment of our risk profile depends, in part, upon the use of forecasting models. If these models are ineffective at predicting future losses or are otherwise inadequate, we may incur unexpected losses or otherwise be adversely affected. In addition, the information we use may be inaccurate or incomplete, both of which may be difficult to detect and avoid. Additionally, there may be risks that exist, or that develop in the future, that we have not appropriately anticipated, identified or mitigated.</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Finally, our risk management framework may be deemed insufficient or inadequate by our regulators, which have in the past required, and we expect to continue to require, that we invest additional resources into remediating any deficiencies and adversely impact our ability to operate our business until such time as the revised framework is deemed sufficient and adequate by our regulators.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Internal control deficiencies could impact the accuracy of our financial results or prevent the detection of fraud. As a result, shareholders could lose confidence in our financial and other public reporting, which would harm our business and the trading price of our common stock.</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Any failure by us to identify future deficiencies in our internal control over financial reporting in a timely manner or remediate any such deficiencies, could prevent us from accurately and timely reporting our financial results.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review and update our internal controls, disclosure controls and procedures and corporate governance policies as our Company continues to evolve. In addition, we are required to comply with the internal control evaluation and certification requirements of Section 404 of the Sarbanes-Oxley Act of 2002 (SOX). We are required to disclose changes made in our internal control and procedures on a quarterly basis and our management is required to assess the effectiveness of these controls annually. An independent assessment of the effectiveness of our internal controls could detect problems that our management’s assessment might not have detected. Undetected material weaknesses in our internal controls could lead to financial statement restatements and require us to incur the expense of remediation. In the event that we are unable to maintain or achieve compliance with Section 404 of the SOX and related rules, the market price of our common stock may be adversely affected.</w:t>
      </w:r>
    </w:p>
    <w:p>
      <w:pPr>
        <w:spacing w:after="0" w:line="33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controls over financial reporting which could, if not remediated, adversely affect our ability to report our financial condition and results of operations in a timely and accurate manner, investor confidence in our Company and, as a result, the value of our common stock.</w:t>
      </w:r>
    </w:p>
    <w:p>
      <w:pPr>
        <w:spacing w:after="0" w:line="1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We have assessed the effectiveness of our internal controls over financial reporting based upon the criteria set forth by the Committee of Sponsoring Organizations of the Treadway Commission (COSO) in Internal Control — Integrated Framework (2013). Based on this assessment, we have concluded that we did not maintain effective internal controls over financial reporting as of December 31, 2023, as a result of the material weaknesses described in “Item 9A. Controls and Procedures,” herein. We have taken actions to enhance our internal controls over financial reporting relating to the material weaknesses identified as of the date of this Annual Report. We hired a new Chief Financial Officer in May 2023 and appointed a new Chief Accounting Officer in March 2024, and hired a Chief Risk Officer, each with recent and significant financial holding company experience. We are still in the process of implementing other remediation measures as part of a comprehensive remediation plan. The material weaknesses identified herein cannot be considered remediated until each control has been appropriately designed, has operated for a sufficient period of time, and until management has concluded, through testing, that the control is operating effectively. See “Item 9A. Controls and Procedures.” We can give no assurance that a comprehensive remediation plan will remediate the material weakness in internal control, or that additional material weaknesses or significant deficiencies in our internal controls over financial reporting will not be identified in the future. A failure by us to timely and effectively remediate the material weaknesses could prevent us from accurately and timely reporting our financial results and could also cause investors to lose confidence in our reported financial information, which could have a negative effect on the trading price of our common stock.</w:t>
      </w:r>
    </w:p>
    <w:p>
      <w:pPr>
        <w:spacing w:after="0" w:line="177"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43"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We are subject to changing rules and regulations of federal and state government as well as the stock exchange on which our common stock is listed. These entities, including the Public Company Accounting Oversight Board, the SEC, the OCC and the Nasdaq Global Market, have issued a significant number of new and increasingly complex requirements and regulations over the course of the last several years and continue to develop additional regulations and requirements in response to laws enacted by Congress. Our efforts to comply with existing requirements, or any revised or amended requirements, have resulted in, and may continue to result in, an increase in expenses and a diversion of management’s time from other business activities.</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addition, our failure to keep pace with any such rules, or for our management to appropriately address compliance with such rules fully and in a timely manner, exposes us to an increasing risk of inadvertent non-compliance. While our management team takes reasonable efforts to ensure that we are in full compliance with all laws applicable to its operations, the increasing rate and extent of regulatory change increases the risk of a failure to comply, which may result in our ability to operate our business in the ordinary course or may subject us to potential fines, regulatory findings or other matters that may materially impact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clients may be concentrated in a limited number of industries, which may subject us to a risk of significant loss if there is a downturn in a particular industry in which a number of our loans are concentrated.</w:t>
      </w:r>
    </w:p>
    <w:p>
      <w:pPr>
        <w:spacing w:after="0" w:line="144"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Our clients may be concentrated in a limited number of industries. A downturn in any particular industry in which we provide loans could significantly impact the aggregate returns we realize. If an industry to which we provide significant loans suffers from adverse business or economic conditions, as these industries have to varying degrees, a material portion of our business could be affected adversely, which, in turn, could adversely affect our financial position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and our subsidiaries are unable to protect our intellectual property rights, our business and prospects could be harmed.</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The proprietary software essential to our business and that of our subsidiaries is owned by us and made available to them for their use. Our future success and competitive position will depend in part upon our ability to maintain and protect proprietary technology used in our products and services. We will rely, in part, on patent, trade secret and trademark law to protect that technology, but competitors may misappropriate our intellectual property, and disputes as to ownership of intellectual property may arise. We may, from time to time, be required to institute litigation to enforce the patents, copyrights or other intellectual property rights, protect trade secrets, determine the validity and scope of the proprietary rights of others or defend against claims of infringement. Such litigation could result in substantial costs and diversion of resources.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SBA LENDING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the SBA Section 7(a) Program can negatively impact our SBA 7(a) loan origination volume.</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Changes to the SBA Section 7(a) Program, including recent revisions to SBA Standard Operating Procedure SOP 50 10 7.1 (“SOP 7.1”), shifted to the SBA a PLP lender’s delegated authority in making determinations of a borrower’s satisfaction of certain eligibility requirements to participate in the Section 7(a) Program. Potential impacts of the SOP 7.1 revisions remain unclear, including the SBA’s ability to demonstrate that it can timely and appropriately make these eligibility determinations; and therefore, there can be no assurance that these and future SOP revisions will not negatively impact, among other things, the volume of SBA 7(a) loans originated by PLP lenders, including Newtek Bank, which could have an adverse impact on the Company’s business, financial condition and/or operating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guarantee that Newtek Bank and NSBF will be able to maintain their SBA 7(a) lending licenses.</w:t>
      </w:r>
    </w:p>
    <w:p>
      <w:pPr>
        <w:spacing w:after="0" w:line="1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Both Newtek Bank, N.A. and NSBF have been granted SBA 7(a) lending licenses. Additionally, prior to the Acquisition, NSBF had been granted PLP status, which allowed it to place SBA guarantees on loans without seeking prior SBA review and approval. Newtek Bank obtained PLP status in April 2023. PLP status allows NSBF and Newtek Bank to expedite loans since they are not required to present applications to the SBA for concurrent review and approval. While the Company intends that NBSF will continue to service its current portfolio of SBA 7(a) loans, and that new SBA 7(a) loan originations will be made by Newtek Bank, there can be no guarantee that Newtek Bank and NSBF will be able to maintain their SBA 7(a) lending licenses. The loss Newtek Bank’s SBA 7(a) lending license would negatively impact our results of operations.</w:t>
      </w:r>
    </w:p>
    <w:p>
      <w:pPr>
        <w:spacing w:after="0" w:line="16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Further, there can be no assurance that Newtek Bank will be able to maintain its status as a PLP. Newtek Bank’s loss of PLP status would adversely impact our marketing efforts and ultimately loan origination volume which would negatively impact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and Newtek Bank, our wholly-owned subsidiaries, are subject to regulation by the SBA, which has specific risks.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NSBF is licensed by the SBA as an SBLC. In order to operate as an SBLC, a licensee is required to maintain a minimum regulatory capital (as defined by SBA regulations) of the greater of (1) 10% of its outstanding loans receivable and other investments or (2) $1.0 million. Moreover, before consenting to a securitization, NSBF and other securitizers must, among other things, be considered well capitalized by the SBA. For NSBF and other SBLC securitizers, the SBA will consider it well capitalized if it maintains a minimum unencumbered paid in capital and paid in surplus equal to at least 10% of its assets, excluding the guaranteed portion of 7(a) loans. In addition, an SBLC is subject to certain other regulatory restrictions. Among other things, SBLCs are required to: establish, adopt, and maintain a formal written capital plan; submit to the SBA for review a credit policy that demonstrates the SBLC’s compliance with the applicable regulations and the SBA’s Standard Operating Procedures for origination, servicing and liquidation of 7(a) loans; submit to the SBA for review and approval annual validation, with supporting documentation and methodologies, demonstrating that any scoring model used by the SBLC is predictive of loan performance; obtain SBA approval for loan securitization and borrowings; and adopt and fully implement an internal control policy which provides adequate direction for effective control over and accountability for operations, programs, and resources.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17" w:right="379" w:bottom="1440" w:gutter="0" w:footer="0" w:header="0"/>
        </w:sectPr>
      </w:pPr>
    </w:p>
    <w:bookmarkStart w:id="52" w:name="page53"/>
    <w:bookmarkEnd w:id="52"/>
    <w:p>
      <w:pPr>
        <w:ind w:right="100"/>
        <w:spacing w:after="0" w:line="270" w:lineRule="auto"/>
        <w:rPr>
          <w:sz w:val="20"/>
          <w:szCs w:val="20"/>
          <w:color w:val="auto"/>
        </w:rPr>
      </w:pPr>
      <w:r>
        <w:rPr>
          <w:rFonts w:ascii="Times New Roman" w:cs="Times New Roman" w:eastAsia="Times New Roman" w:hAnsi="Times New Roman"/>
          <w:sz w:val="14"/>
          <w:szCs w:val="14"/>
          <w:color w:val="auto"/>
        </w:rPr>
        <w:t>Additionally, in connection with our 2018 examination by the SBA, NSBF entered into a voluntary agreement with the SBA to meet certain other requirements and conditions. See “Item 1A. Risk Factors - Risks Related to SBA Lending - If NSBF or Newtek Bank fail to comply with SBA regulations in connection with the origination, servicing, or liquidation of an SBA 7(a) loan, liability on the SBA guaranty, in whole or in part, could be transferred to NSBF or Newtek Bank.”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will remain subject to SBA regulation as it winds down its operations.</w:t>
      </w:r>
    </w:p>
    <w:p>
      <w:pPr>
        <w:spacing w:after="0" w:line="19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As a result of the Acquisition, all SBA 7(a) loan originations are being transitioned to Newtek Bank in April 2023, and NSBF has ceased origination of SBA 7(a) loans, relinquished its PLP status and is winding-down its operations. During this wind down process, NSBF will be required to continue to own the SBA 7(a) loans and PPP Loans in its SBA loan portfolio to maturity, liquidation, charge-off, or (subject to SBA’s prior written approval), sale or transfer. NSBF will be required to continue to service and liquidate its SBA Loan Portfolio, including processing forgiveness and loan reviews for PPP Loans, pursuant to an SBA approved lender service provider agreement with SBL. During the wind down process NSBF will be required to maintain minimum capital requirements established by the SBA, will be required to maintain certain amounts of restricted cash available to meet any obligations to the SBA, will have restrictions on its ability to make dividends and distributions to its parent, and will remain liable to SBA for post-purchase denials and repairs, from the proceeds generated by NSBF’s SBA loan portfolio. Any future post-purchase denials and repairs demands on NSBF could negatively impact our results of operations. In addition, the Company has agreed to guarantee NSBF’s obligations to the SBA and has deposited $10 million at Newtek Bank to secure NSBF’s potential obligations to the SBA..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specific risks associated with SBA loans.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have generally sold the guaranteed portion of SBA loans in the secondary market. Such sales have resulted in our earning premiums and creating a stream of servicing income. Sale prices for guaranteed portions of SBA 7(a) loans can be negatively impacted by market conditions, in particular a higher interest rate environment, which can lead to higher prepayments during the period, resulting in lower sale prices in the secondary market. A reduction in the price of guaranteed SBA 7(a) loans could negatively impact our business. There can be no assurance that we will be able to continue originating these loans, or that a secondary market will exist for, or that we will continue to realize premiums upon the sale of the guaranteed portions of the SBA 7(a) loans.</w:t>
      </w:r>
    </w:p>
    <w:p>
      <w:pPr>
        <w:spacing w:after="0" w:line="16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NSBF or Newtek Bank fail to comply with SBA regulations in connection with the origination, servicing, or liquidation of an SBA 7(a) loan, liability on the SBA guaranty, in whole or in part, could be transferred to NSBF or Newtek Bank.</w:t>
      </w:r>
    </w:p>
    <w:p>
      <w:pPr>
        <w:spacing w:after="0" w:line="1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Since we sell the guaranteed portion of substantially all of our SBA 7(a) loan portfolio, we retain credit risk on the non-guaranteed portion of the SBA loans. We share pro rata with the SBA in any recoveries. In the event of default on an SBA loan, our pursuit of remedies against a borrower is subject to SBA approval.</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we fail to comply with certain of the SBA’s regulations in connection with the origination, servicing, or liquidation of an SBA 7(a) loan, the SBA may be released from liability on its guaranty of a 7(a) loan, and may refuse to honor a guaranty purchase request in full (referred to by SBA as a “denial”) or in part (referred to by SBA as a “repair”), or recover all or part of the funds already paid in connection with a guaranty purchase. In the event of a repair or denial, liability on the guaranty, in whole or part, would be transferred to NSBF or Newtek Bank. In addition, the growth in the number of loans made by Newtek Bank, changes in SBA regulations and economic factors may adversely impact our current repair and denial rate. In connection with NSBF’s 2018 examination by the SBA, NSBF entered into a voluntary agreement with the SBA pursuant to which NSBF established a segregated restricted cash account in the amount of $10 million to account for potential post-purchase repairs and denials of guaranteed portions of SBA 7(a) loans, and take certain actions to demonstrate the sufficiency of NSBF’s liquidity and establish certain additional reporting and compliance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Curtailment of the government-guaranteed loan programs could adversely affect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Although the SBA 7(a) Program has been in existence since 1953, there can be no assurance that the federal government will maintain the SBA 7(a) program, or that it will continue to guarantee loans at current levels. Furthermore, in an effort to support our communities during the pandemic, we participated in the PPP under the CARES Act whereby we made loans to small businesses and those loans are subject to the regulatory requirements that require forbearance of loan payments for a specified time or limit our ability to pursue all available remedies in the event of a loan default. If the borrower under the PPP loan fails to qualify for loan forgiveness, we may be at the heightened risk of holding these loans at unfavorable interest rates as compared to the loans to customers that we would have otherwise extended credit. If we cannot continue originating and selling government-guaranteed loans, we will generate fewer origination fees and our ability to generate gains on the sale of loans will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53" w:name="page54"/>
    <w:bookmarkEnd w:id="53"/>
    <w:p>
      <w:pPr>
        <w:ind w:right="120"/>
        <w:spacing w:after="0" w:line="264" w:lineRule="auto"/>
        <w:rPr>
          <w:sz w:val="20"/>
          <w:szCs w:val="20"/>
          <w:color w:val="auto"/>
        </w:rPr>
      </w:pPr>
      <w:r>
        <w:rPr>
          <w:rFonts w:ascii="Times New Roman" w:cs="Times New Roman" w:eastAsia="Times New Roman" w:hAnsi="Times New Roman"/>
          <w:sz w:val="14"/>
          <w:szCs w:val="14"/>
          <w:color w:val="auto"/>
        </w:rPr>
        <w:t>decrease. From time-to-time, the government agencies that guarantee these loans reach their internal budgeted limits and cease to guarantee loans for a stated time period. In addition, these agencies may change their rules for extending loans. Also, Congress may adopt legislation that would have the effect of discontinuing or changing the SBA’s programs. Non-governmental programs could replace government programs for some borrowers, but the terms might not be equally acceptable. If these changes occur, the volume of loans to SMBs and industrial borrowers of the types that now qualify for government-guaranteed loans could decline, as could the profitability of these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loans under the Section 7(a) Loan Program involve a high risk of default and such default could adversely impact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to small businesses involve a high risk of default. Such loans are generally not rated by any statistical rating organization. Small businesses usually have smaller product lines and market shares than larger companies and therefore may be more vulnerable to competition and general economic conditions. These businesses’ success typically depends on their management talents and efforts of one person or a small group of persons whose death, disability or resignation would adversely affect the business. Because these businesses frequently have highly leveraged capital structures, reduced cash flow resulting from economic downturns can severely impact the businesses’ ability to meet their obligations, which could impact our results of operations. The portions of Section 7(a) loans to be retained by us do not benefit directly from any SBA guarantees; in an event of default, however, we and the SBA typically cooperate in collateral foreclosure or other work-out efforts and share in any resulting collections.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loans we make under the Section 7(a) Loan Program face competition.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a large number of banks and several non-bank lenders that participate in the SBA Section 7(a) Loan Program. All of these participants compete for the business of eligible borrowers.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we may be at a competitive disadvantage with regard to other lenders or financial institutions that may be able to achieve greater leverage at a lower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governmental failure to fund the SBA could adversely affect NSBF’s and Newtek Bank’s SBA 7(a) loan originations and our results of operations.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are dependent upon the Federal government to maintain the SBA 7(a) Program. NSBF’s and Newtek Bank’s lending business could be materially and adversely affected by circumstances or events limiting the availability of funds for this program. In October 2013, Congress failed to approve a budget, which, in turn, eliminated availability of funds for the SBA 7(a) program. At the time, the government shutdown affected SBA 7(a) lenders’ ability to originate SBA 7(a) loans. More recently, the government shut down in January 2018 due to a lapse in appropriations, and the SBA closed all non-disaster related programs and activities, including the SBA 7(a) program. The government could again fail to fund the SBA which would affect NSBF’s and Newtek Bank’s ability to originate government guaranteed loans and to sell the government guaranteed portions of those loans in the secondary market. Any failure to fund the SBA could adversely affect NSBF’s SBA 7(a) loan originations and our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participating lender in the SBA Paycheck Protection Program (“PPP”), the Company and NSBF are subject to risks that the SBA may not fund some or all PPP loan guaranties.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March 27, 2020, President Trump signed the CARES Act,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On or about April 16, 2020, the SBA notified lenders that the $349 billion earmarked for the PPP was exhausted. Congress approved additional funding for the PPP of approximately $320 billion on April 24, 2020. NSBF is participating as a lender in the PPP. The PPP opened on April 3, 2020; however, because of the short timeframe between the passing of the CARES Act and the opening of the PPP, there had been some ambiguity in the laws, rules and guidance regarding the operation of the PPP, which may expose the Company and NSBF to risks relating to noncompliance with the PPP. During the duration of the PPP, NSBF funded approximately 10,570 PPP loans totaling $1.19 billion.</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NSBF also has credit risk on PPP loans if a determination is made by the SBA that there is a deficiency in the manner in which a PPP loan was originated, funded, or serviced by NSBF, such as an issue with the eligibility of a borrower to receive a PPP loan, which may or may not be related to the ambiguity in the laws, rules and guidance regarding the operation of the PPP or additional or new laws, rules, and guidance. In the event of a loss resulting from a default on a PPP loan and a determination by the SBA that there was a deficiency in the manner in which the PPP loan was originated, funded, or serviced by NSBF, the SBA may deny its liability under the guaranty, reduce the amount of the guaranty, or, if it has already paid under the guaranty, seek recovery of any loss related to the deficiency from the Company.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ind w:right="140"/>
        <w:spacing w:after="0" w:line="258" w:lineRule="auto"/>
        <w:rPr>
          <w:sz w:val="20"/>
          <w:szCs w:val="20"/>
          <w:color w:val="auto"/>
        </w:rPr>
      </w:pPr>
      <w:r>
        <w:rPr>
          <w:rFonts w:ascii="Times New Roman" w:cs="Times New Roman" w:eastAsia="Times New Roman" w:hAnsi="Times New Roman"/>
          <w:sz w:val="14"/>
          <w:szCs w:val="14"/>
          <w:color w:val="auto"/>
        </w:rPr>
        <w:t>In addition, in order to facilitate NSBF’s involvement as an authorized lender in the PPP, during the second quarter of 2020, NSBF entered into PPP loan participation agreements where NSBF originated PPP loans and sold participating interests to four banks. See “PPP Loan Participations.” In accordance with the terms of the PPP participation agreements and SBA regulations and guidance, NSBF, as the originating lender, must continue to hold the PPP loan note, the PPP loan documents and service the PPP loan (i.e., retain all servicing rights). Moreover, as the originating lender, NSBF is the party responsible to the SBA with respect to all servicing actions, including requests for advance purchases and loan forgiveness, and will be the party eligible for the guarantee purchase of the PPP loan. NSBF has agreed that it will repurchase from the Participants on demand the Participants’ Percentage of any outstanding principal and interest under the applicable PPP Loan under certain standard representations and warranties, including in the event of a loss due to fraud, gross negligence or willful misconduct on the part of NSBF or any failure to recover under the SBA guarantee as a result of any deficiency in documenting or servicing such PPP Loan by NSBF.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weakness in the residential housing and commercial real estate markets.</w:t>
      </w:r>
    </w:p>
    <w:p>
      <w:pPr>
        <w:spacing w:after="0" w:line="19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Weakness in residential home and commercial real estate values could impair our ability to collect on defaulted SBA loans as real estate is pledged in many of our SBA loans as part of the collateral package.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and use of Artificial Intelligence (AI) present risks and challenges that may adversely impact our business.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or our third-party vendors, clients or counterparties may develop or incorporate AI technology in certain business processes, services or products. The development and use of AI present a number of risks and challenges to our business. The legal and regulatory environment relating to AI is uncertain and rapidly evolving, both in the United States and internationally, and includes regulatory schemes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 AI models, particularly generative AI models, may produce output or take action that is incorrect, that result in the release of private, confidential or proprietary information, that reflect biases included in the data on which they are trained, infringe on the intellectual property rights of others, or that is otherwise harmful. In addition, the complexity of many AI models makes it challenging to understand why they are generating particular outputs. This limited transparency increases the challenges associated with assessing the proper operation of AI models, understanding and monitoring the capabilities of the AI models, reducing erroneous output, eliminating bias and complying with regulations that require documentation or explanation of the basis on which decisions are made. Further, we may rely on AI models developed by third parties, and, to that extent, would be dependent in part on the manner in which those third parties develop and train their models, including risks arising from the inclusion of any unauthorized material in the training data for their models, and the effectiveness of the steps these third parties have taken to limit the risks associated with the output of their models, matters over which we may have limited visibility. Any of these risks could expose us to liability or adverse legal or regulatory consequences and harm our reputation and the public perception of our business or the effectiveness of our security measures.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our use of AI technologies, we are exposed to risks arising from the use of AI technologies by bad actors to commit fraud and misappropriate funds and to facilitate cyberattacks.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Generative AI, if used to perpetrate fraud or launch cyberattacks, could create panic at a particular financial institution or exchange, which could pose a threat to financial stability.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U.S. FEDERAL INCOME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how new tax legislation will affect us, our investments, or our stockholders, and any such legislation could adversely affect our business.</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current U.S. presidential administration has enacted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MERCHANT SOLUTIONS (NMS)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if either of NMS’ two bank sponsorships is terminated.</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Because NMS is not a bank, it is unable to belong to and directly access the Visa® and MasterCard® bankcard associations. The Visa® and MasterCard® operating regulations require NMS to be sponsored by a bank in order to process bankcard transactions. A bank sponsorship is an agreement under which a financial institution that has a membership with MasterCard®, Visa® or American Express sponsors an independent sales organization, like NMS, that markets credit card processing services to merchants who accept credit cards as a form of payment, gains access to the Visa®, MasterCard®, and American Express networks. NMS is currently sponsored by two banks. If either of the sponsorships is terminated, and NMS is not able to secure or transfer the respective merchant portfolio to a new bank sponsor or sponsors, the business, financial condition, results of operations and cash flows of the electronic payment processing business could be materially adversely affected. If both the sponsorships are terminated and NMS is unable to secure a bank sponsor for the merchant portfolios, it will not be able to process bankcard transactions for the affected portfolios. Consequently, the loss of both of NMS’ sponsorships would have a material adverse effect on our business. Furthermore, NMS’ agreements with sponsoring banks gives the sponsoring banks substantial discretion in approving certain elements of its business practices, including its solicitation, application and qualification procedures for merchants, the terms of their agreements with merchants, the processing fees that they charge, their customer service levels and its use of independent sales organizations and independent sales agents. We cannot guarantee that NMS’ sponsoring banks’ actions under these agreements would not be detrimental to us.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service providers, some of whom are NMS’ competitors, are necessary for the conduct of NMS’ business. The termination by service providers of these arrangements with NMS or their failure to perform these services efficiently and effectively may adversely affect NMS’ relationships with the merchants whose accounts it serves and may cause those merchants to terminate their processing agreements with NMS.</w:t>
      </w:r>
    </w:p>
    <w:p>
      <w:pPr>
        <w:spacing w:after="0" w:line="15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NMS or its processors or bank sponsors fail to adhere to the standards of the Visa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and MasterCard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bankcard associations, its registrations with these associations could be terminated and it could be required to stop providing payment processing services for Visa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and MasterCard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p>
      <w:pPr>
        <w:spacing w:after="0" w:line="14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Substantially all of the transactions NMS processes involve Visa® or MasterCard®. If NMS, its bank sponsors or its processors fail to comply with the applicable requirements of the Visa® and MasterCard® bankcard associations, Visa® or MasterCard® could suspend or terminate its registration. The termination of NMS’ registration or any changes in the Visa® or MasterCard® rules that would impair its registration could require it to stop providing payment processing services, which would have a material adverse effect on its business and could be detrimental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 occasion, NMS experiences increases in interchange and sponsorship fees. If it cannot pass along these increases to its merchants, its profit margins will be reduced.</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NMS pays interchange fees or assessments to bankcard associations for each transaction it processes using their credit, debit and gift cards. From time to time, the bankcard associations increase the interchange fees that they charge processors and the sponsoring banks, which generally pass on such increases to NMS. From time to time, the sponsoring banks increase their fees as well. If NMS is not able to pass these fee increases along to merchants through corresponding increases in its processing fees, its profit margins in this line of business will be reduced.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Unauthorized disclosure of merchant or cardholder data, whether through breach of our computer systems or otherwise, could expose us to liability and business losses.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Through NMS, we collect and store sensitive data about merchants and cardholders, and we maintain a database of cardholder data relating to specific transactions, including payment, card numbers and cardholder addresses, in order to process the transactions and for fraud prevention and other internal processes. If anyone penetrates our network security or otherwise misappropriates sensitive merchant or cardholder data, we could be subject to liability or business interruption. While we subject these systems to periodic independent testing and review, we cannot guarantee that our systems will not be penetrated in the future. If a breach of our system occurs, we may be subject to liability, including claims for unauthorized purchases with misappropriated card information, impersonation or other similar fraud claims. Similar risks exist with regard to the storage and transmission of such data by our processors. In the event of any such a breach, we may also be subject to a class action lawsuit. SMBs are less prepared for the complexities of safeguarding cardholder data than their larger counterparts. In the event of noncompliance by a customer of card industry rules, we could face fines from payment card networks. There can be no assurance that we would be able to recover any such fines from such customer.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NMS is liable if its processing merchants refuse or cannot reimburse charge-backs resolved in favor of their customers.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If a billing dispute between a merchant and a cardholder is not ultimately resolved in favor of the merchant, the disputed transaction is “charged back” to the merchant’s bank and credited to the account of the cardholder. If NMS or its processing banks are unable to collect the charge-back from the merchant’s account, or if the merchant refuses or is financially unable due to bankruptcy or other reasons to reimburse the merchant’s bank for the charge-back, NMS must bear the loss for the amount of the refund paid to the cardholder’s bank. Most of NMS’ merchants deliver products or services when purchased, so a contingent liability for charge-backs is unlikely to arise, and credits are issued on returned items. However, some of its merchants do not provide services until sometime after a purchase, which increases the potential for contingent liability and future charge-backs. NMS and the sponsoring bank can require that merchants maintain cash reserves under its control to cover charge-back liabilities but such reserves may not be sufficient to cover the liability or may not even be available to them in the event of a bankruptcy or other legal 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has potential liability for customer or merchant fraud.</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Credit card fraud occurs when a merchant’s customer uses a stolen card (or a stolen card number in a card-not-present transaction) to purchase merchandise or services. In a traditional card-present transaction, if the merchant swipes the card, receives authorization for the transaction from the card issuing bank and verifies the signature on the back of the card against the paper receipt signed by the customer, the card issuing bank remains liable for any loss. In a fraudulent card-not-present transaction, even if the merchant receives authorization for the transaction, the merchant is liable for any loss arising from the transaction. Many NMS customers are small and transact a substantial percentage of their sales over the Internet or by telephone or mail orders. Because their sales are card-not-present transactions, these merchants are more vulnerable to customer fraud than larger merchants, and NMS could experience charge-backs arising from cardholder fraud more frequently with these merchants.</w:t>
      </w:r>
    </w:p>
    <w:p>
      <w:pPr>
        <w:spacing w:after="0" w:line="1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Merchant fraud occurs when a merchant, rather than a customer, knowingly uses a stolen or counterfeit card or card number to record a false sales transaction or intentionally fails to deliver the merchandise or services sold in an otherwise valid transaction. Anytime a merchant is unable to satisfy a charge-back, NMS is ultimately responsible for that charge-back unless it has required that a cash reserve be established. We cannot assure that the systems and procedures NMS has established to detect and reduce the impact of merchant fraud are or will be effective. Failure to effectively manage risk and prevent fraud could increase NMS charge-back liability and adversely affect its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payment processing systems may fail due to factors beyond its control, which could interrupt its business or cause it to lose business and likely increase costs.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NMS depends on the uninterrupted operations of our computer network systems, software and our processors’ data centers. Defects in these systems or damage to them due to factors beyond its control could cause severe disruption to NMS’ business and other material adverse effects on its payment processing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electronic payment processing business is undergoing very rapid technological changes which may make it difficult or impossible for NMS to compete effectively.</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introduction of new technologies, primarily mobile payment capabilities, and the entry into the payment processing market of new competitors, Apple, Inc., for example, could dramatically change the competitive environment and require significant changes and costs for NMS to remain competitive. There is no assurance that NMS will have the capability to stay competitive with such changes.</w:t>
      </w:r>
    </w:p>
    <w:p>
      <w:pPr>
        <w:spacing w:after="0" w:line="15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NMS and others in the payment processing industry have come under increasing pressures from various regulatory agencies seeking to use the leverage of the payment processing business to limit or modify the practices of merchants which could lead to increased costs.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Various agencies, particularly the Federal Trade Commission (“FTC”), have within the past few years attempted to pressure merchants to discontinue or modify various sales or other practices. As a part of the payment processing industry, processors such as NMS could experience pressure and/or litigation aimed at restricting access to credit card sales by such merchants. These efforts could cause an increase in the cost to NMS of doing business or otherwise make its business less profitable and may subject NMS to assess penalties for not taking actions deemed sufficiently aggressive to limit such practices. As a result of a litigation brought by the FTC in October 2012, NMS voluntarily entered into, and is presently operating under, a permanent injunction with respect to certain of its business practices.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57" w:name="page58"/>
    <w:bookmarkEnd w:id="57"/>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regulatory focus on the payments industry may result in costly new compliance burdens on NMS’ clients and on NMS itself, leading to increased costs and decreased payments volume and revenues.</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Regulation of the payments industry has increased significantly in recent years. Complying with these and other regulations increases costs and can reduce revenue opportunities. Similarly, the impact of such regulations on clients may reduce the volume of payments processed. Moreover, such regulations can limit the types of products and services that are offered. Any of these occurrences can materially and adversely affect NMS’ business, prospects for future growth,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Examples include:</w:t>
      </w:r>
    </w:p>
    <w:p>
      <w:pPr>
        <w:spacing w:after="0" w:line="198" w:lineRule="exact"/>
        <w:rPr>
          <w:sz w:val="20"/>
          <w:szCs w:val="20"/>
          <w:color w:val="auto"/>
        </w:rPr>
      </w:pPr>
    </w:p>
    <w:p>
      <w:pPr>
        <w:ind w:left="520" w:hanging="260"/>
        <w:spacing w:after="0" w:line="27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Data Protection and Information Security</w:t>
      </w:r>
      <w:r>
        <w:rPr>
          <w:rFonts w:ascii="Times New Roman" w:cs="Times New Roman" w:eastAsia="Times New Roman" w:hAnsi="Times New Roman"/>
          <w:sz w:val="14"/>
          <w:szCs w:val="14"/>
          <w:color w:val="auto"/>
        </w:rPr>
        <w:t>. Aspects of NMS’ operations and business are subject to privacy and data protection regulation. NMS’ financial institution clients are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requirements under the guidelines issued by the federal banking agencies. In addition, many individual states have enacted legislation requiring consumer notification in the event of a security breach.</w:t>
      </w:r>
    </w:p>
    <w:p>
      <w:pPr>
        <w:spacing w:after="0" w:line="154" w:lineRule="exact"/>
        <w:rPr>
          <w:rFonts w:ascii="Times New Roman" w:cs="Times New Roman" w:eastAsia="Times New Roman" w:hAnsi="Times New Roman"/>
          <w:sz w:val="14"/>
          <w:szCs w:val="14"/>
          <w:color w:val="auto"/>
        </w:rPr>
      </w:pPr>
    </w:p>
    <w:p>
      <w:pPr>
        <w:ind w:left="520" w:right="180" w:hanging="260"/>
        <w:spacing w:after="0" w:line="27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Anti-Money Laundering and Anti-Terrorism Financing</w:t>
      </w:r>
      <w:r>
        <w:rPr>
          <w:rFonts w:ascii="Times New Roman" w:cs="Times New Roman" w:eastAsia="Times New Roman" w:hAnsi="Times New Roman"/>
          <w:sz w:val="14"/>
          <w:szCs w:val="14"/>
          <w:color w:val="auto"/>
        </w:rPr>
        <w:t>. The U.S.A. PATRIOT Act requires NMS to maintain an anti-money laundering program. Sanctions imposed by the U.S. Treasury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 of Foreign Assets Control, or OFAC, restrict NMS from dealing with certain parties considered to be connected with money laundering, terrorism or narcotics. NMS has controls in place designed to ensure OFAC compliance, but if those controls should fail, it could be subject to penalties, reputational damage and loss of business.</w:t>
      </w:r>
    </w:p>
    <w:p>
      <w:pPr>
        <w:spacing w:after="0" w:line="15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Money Transfer Regulations. </w:t>
      </w:r>
      <w:r>
        <w:rPr>
          <w:rFonts w:ascii="Times New Roman" w:cs="Times New Roman" w:eastAsia="Times New Roman" w:hAnsi="Times New Roman"/>
          <w:sz w:val="14"/>
          <w:szCs w:val="14"/>
          <w:color w:val="auto"/>
        </w:rPr>
        <w:t>As NMS expands its product offerings, it may become subject to money transfer regulations, increasing regulatory oversight and costs of compliance.</w:t>
      </w:r>
    </w:p>
    <w:p>
      <w:pPr>
        <w:spacing w:after="0" w:line="199" w:lineRule="exact"/>
        <w:rPr>
          <w:rFonts w:ascii="Times New Roman" w:cs="Times New Roman" w:eastAsia="Times New Roman" w:hAnsi="Times New Roman"/>
          <w:sz w:val="14"/>
          <w:szCs w:val="14"/>
          <w:color w:val="auto"/>
        </w:rPr>
      </w:pPr>
    </w:p>
    <w:p>
      <w:pPr>
        <w:ind w:left="520" w:right="200" w:hanging="260"/>
        <w:spacing w:after="0" w:line="262"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Formal Investigation. </w:t>
      </w:r>
      <w:r>
        <w:rPr>
          <w:rFonts w:ascii="Times New Roman" w:cs="Times New Roman" w:eastAsia="Times New Roman" w:hAnsi="Times New Roman"/>
          <w:sz w:val="14"/>
          <w:szCs w:val="14"/>
          <w:color w:val="auto"/>
        </w:rPr>
        <w:t>If NMS is suspected of violating government statutes, such as the Federal Trade Commission Act or the Telemarketing and Consumer Fraud and Abuse Prevention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governmental agencies may formally investigate NMS. As a result of such a formal investigation, criminal or civil charges could be filed against NMS and it could be required to pay significant fines or penalties in connection with such investigation or other governmental investigations. Any criminal or civil charges by a governmental agency, including any fines or penalties, could materially harm NMS’ business, results of operations, financial position and cash flows. Currently, NMS is operating under an order for injunctive relief it voluntarily entered into with the Federal Trade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BANK</w:t>
      </w:r>
    </w:p>
    <w:p>
      <w:pPr>
        <w:spacing w:after="0" w:line="263"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credit decisioning, pricing,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ability to attract clients to, and build trust in, Newtek Bank is significantly dependent on our ability to effectively evaluate a borrower’s credit profile and likelihood of default. To conduct this evaluation, we utilize credit decisioning, pricing, loss forecasting and scoring models that assign each loan offered through our marketplace bank a grade and a corresponding interest rate. Our models are based on algorithms that evaluate a number of factors, including behavioral data, transactional data, bank data and employment information, which may not effectively predict future loan losses. If we are unable to effectively segment borrowers into relative risk profiles, we may be unable to offer attractive interest rates for borrowers and risk-adjusted returns for investors.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Additionally, if these models fail to adequately assess the creditworthiness of our borrowers, we may experience higher than forecasted losses. Furthermore, as stated above, we hold loans on our balance sheet. We periodically assess the value of these loans and in doing so we review and incorporate a number of factors including forecasted losses. Accordingly, if we fail to adequately assess the creditworthiness of our borrowers such that we experience higher than forecasted losses, the value of the loans held on our balance sheet may be adversely affected.</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continually refine these algorithms based on new data and changing macroeconomic conditions. However, there is no guarantee that the credit decisioning, pricing, loss forecasting and scoring models that we use have accurately assessed the creditworthiness of our borrowers, or will be effective in assessing creditworthiness in the future.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spacing w:after="0" w:line="264" w:lineRule="auto"/>
        <w:rPr>
          <w:sz w:val="20"/>
          <w:szCs w:val="20"/>
          <w:color w:val="auto"/>
        </w:rPr>
      </w:pPr>
      <w:r>
        <w:rPr>
          <w:rFonts w:ascii="Times New Roman" w:cs="Times New Roman" w:eastAsia="Times New Roman" w:hAnsi="Times New Roman"/>
          <w:sz w:val="14"/>
          <w:szCs w:val="14"/>
          <w:color w:val="auto"/>
        </w:rPr>
        <w:t>Similarly, if any of these models contain programming or other errors, are ineffective or the data provided by borrowers or third parties is incorrect or stale, our loan pricing and approval process could be negatively affected, resulting in mispriced or misclassified loans or incorrect approvals or denials of loans. If these errors were to occur, we may be obligated to repurchase the affected loans, investors may try to rescind their affected investments or decide not to invest in loans in the future or borrowers may seek to revise the terms of their loans or reduce the use of our marketplace bank for loans.</w:t>
      </w:r>
    </w:p>
    <w:p>
      <w:pPr>
        <w:spacing w:after="0" w:line="16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collection efforts on delinquent loans are ineffective or unsuccessful, the return on investment for investors in those loans would be adversely affected and investors may not find investing through our marketplace bank desirable.</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Many of our loan products are unsecured obligations of borrowers, and they are not secured by any collateral. None of the loans facilitated on our platform are guaranteed or insured by any third party or backed by any governmental authority in any way. We are the loan servicer for all loans supporting notes, all certificates and certain secured borrowings, and we are the loan servicer for most, though not all, loans sold as whole loans. The ability to collect on the loans is dependent on the borrower’s continuing financial stability, and consequently, collections can be adversely affected by a number of factors, including bankruptcy or the economic and/or social factors. Furthermore, the application of various federal and state laws, including federal and state bankruptcy and insolvency laws, may limit the amount that can be recovered on these loans. Accordingly, we and our designated third-party servicers and collection agencies are limited in our ability to collect loans.</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addition, most investors must depend on us or our third-party servicers and collection agents to pursue collection on delinquent borrower loans. Because we make payments ratably on an investor’s investment only if we receive the borrower’s payments on the corresponding loan, if we, or third parties on our behalf, cannot adequately perform collection services, the investor will not be entitled to any payments under the terms of the investment. Further, if collection action must be taken in respect of a loan, we or the collection agency may charge a collection fee on any amounts that are obtained (excluding litigation). These fees will correspondingly reduce the amounts of any payments received by an investor. Similarly, the returns to investors may be impacted by declines in market rates for sales of charged-off loans to third-party purchasers. Ultimately, if delinquencies impair our ability to offer attractive risk-adjusted returns for investors, they may seek alternative investments and our business may suffer.</w:t>
      </w:r>
    </w:p>
    <w:p>
      <w:pPr>
        <w:spacing w:after="0" w:line="16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because our servicing fees depend on the collectability of the loans, if we experience a significant increase in the number of delinquent or charged-off loans we will be unable to collect our entire servicing fee for such loans and our revenue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TECHNOLOGY SOLUTIONS (NTS)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agreed to terminate the activities conducted by NTS.</w:t>
      </w:r>
    </w:p>
    <w:p>
      <w:pPr>
        <w:spacing w:after="0" w:line="19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As a result of commitments made to the Federal Reserve, the Company will divest or otherwise terminate the activities conducted by Newtek Technology Solutions, Inc., which includes the entities of SIDCO, LLC d/b/a/ Cloud Nine Services and Excel WebSolutions, LLC after a December 31, 2023 merger, within two years of becoming a financial holding company, subject to any extension of the two-year period. The divestiture of NTS may negatively impact the Company’s revenue and income and our ability to effectively manage our information technology systems and infrastructure and cybersecurity risk. See “ITEM I.C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operates in a highly competitive industry in which technological change can be rapid.</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information technology business and its related technology involve a broad range of rapidly changing technologies. NTS equipment and the technologies on which it is based may not remain competitive over time, and others may develop superior technologies that render its products non-competitive, without significant additional capital expenditures. Some of NTS’ competitors are significantly larger and have substantially greater market presence as well as greater financial, technical, operational, marketing and other resources and experience than NTS. In the event that such a competitor expends significant sales and marketing resources in one or several markets, NTS may not be able to compete successfully in such markets. We believe that competition will continue to increase, placing downward pressure on prices. Such pressure could adversely affect NTS gross margins if it is not able to reduce its costs commensurate with such price reductions. There can be no assurances that NTS will remain competitive.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NTS’ technology solutions business depends on the efficient and uninterrupted operation of its computer and communications hardware systems and infrastructure.</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Despite precautions taken by NTS against possible failure of its systems, interruptions could result from natural disasters, power loss, the inability to acquire fuel for its backup generators, telecommunications failure, terrorist attacks and similar events. NTS also leases telecommunications lines from local, regional and national carriers whose service may be interrupted. NTS’ business, financial condition and results of operations could be harmed by any damage or failure that interrupts or delays its operations. There can be no assurance that NTS’ insurance will cover all of the losses or compensate NTS for the possible loss of clients occurring during any period that NTS is unable to provide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inability to maintain the integrity of its infrastructure and the privacy of confidential information would materially affect its business.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NTS infrastructure is potentially vulnerable to physical or electronic break-ins, viruses or similar problems. If its security measures are circumvented, it could jeopardize the security of confidential information stored on NTS’ systems, misappropriate proprietary information or cause interruptions in NTS’ operations. We may be required to make significant additional investments and efforts to protect against or remedy security breaches. Security breaches that result in access to confidential information could damage our reputation and expose us to a risk of loss or liability. The security services that NTS offers in connection with customers’ networks cannot assure complete protection from computer viruses, break-ins and other disruptive problems. The occurrence of these problems may result in claims against NTS or us or liability on our part. These claims, regardless of their ultimate outcome, could result in costly litigation and could harm our business and reputation and impair NTS’ ability to attract and retain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could be adversely affected by information security breaches or cyber security attacks.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NTS’ web and cloud services involve the storage and transmission of our customers’ and employees’ proprietary information. NTS’ business relies on its digital technologies, computer and email systems, software, and networks to conduct its operations. NTS’ technologies, systems and networks may become the target of criminal cyber-attacks or information security breaches that could result in the unauthorized release, gathering, monitoring, misuse, loss or destruction of confidential, proprietary and other information of NTS or third parties with whom NTS deals, or otherwise disrupt our or our customers’ or other third parties’ business operations. It is critical to NTS’ business strategy that its facilities and infrastructure remain secure and are perceived by the marketplace to be secure. Although NTS believes it employs appropriate security technologies, NTS cannot guarantee that the security technologies (including data encryption processes, intrusion detection systems) it employs or, the comprehensive risk assessments it conducts, or its other internal control procedures will assure the security of its customers’ data. If NTS’ security measures are breached as a result of third-party action, employee error or otherwise, and as a result, its customers’ data becomes available to unauthorized parties, NTS and our other subsidiaries could incur liability and its reputation would be damaged, which could lead to the loss of current and potential customers. In addition, NTS will be required to expend significant capital and other resources to detect, remedy, protect against or alleviate breaches of its network and security, and it may not be able to remedy these problems in a timely manner, or at all. Because techniques used by outsiders to obtain unauthorized network access or to sabotage systems change frequently and generally are not recognized until launched against a target, NTS may be unable to anticipate these techniques or implement adequate preventative measures. For example, in early 2018 following an unauthorized third party misappropriating three of NTS’ domain names, NTS’ management and forensic investigators determined that attackers compromised a portion of its shared webhosting system, and may have acquired certain customer information limited to its shared webhosting customers, and/or gained access to certain of its shared webhosting servers. In response, NTS took a range of steps designed to further secure its systems, enhance its security protections, enhance access controls, and prevent future unauthorized activity. For more information on risks relating to cybersecurity, see “Risks Related to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business depends on Microsoft Corporation and others for the licenses to use software as well as other intellectual property in the managed technology solutions business.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NTS’ managed technology business is built on technological platforms relying on the Microsoft Windows® products and other intellectual property that NTS currently licenses. As a result, if NTS is unable to continue to have the benefit of those licensing arrangements or if the products upon which its platform is built become obsolete, its business could be materially and adversely affected.</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INSURANCE AGENCY (NIA)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NIA depends on third parties, particularly property and casualty insurance companies, to supply the products marketed by its agents.</w:t>
      </w:r>
    </w:p>
    <w:p>
      <w:pPr>
        <w:spacing w:after="0" w:line="202"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4"/>
          <w:szCs w:val="14"/>
          <w:color w:val="auto"/>
        </w:rPr>
        <w:t>NIA contracts with property and casualty insurance companies typically provide that the contracts can be terminated by the supplier without cause. NIA’s inability to enter into satisfactory arrangements with these suppliers or the loss of these relationships for any reason would adversely affect the results of its insurance business. Also, NIA’s inability to obtain these products at competitive prices could make it difficult for it to compete with larger and better capitalized providers of such insurance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NIA fails to comply with government regulations, its insurance agency business would be adversely affected.</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NIA insurance agency business is subject to comprehensive regulation in the various states in which it conducts business. NIA’s success will depend in part upon its ability to satisfy these regulations and to obtain and maintain all required licenses and permits. NIA’s failure to comply with any statutes and regulations could have a material adverse effect on it. Furthermore, the adoption of additional statutes and regulations, changes in the interpretation and enforcement of current statutes and regulations could have a material adverse effect on it.</w:t>
      </w:r>
    </w:p>
    <w:p>
      <w:pPr>
        <w:spacing w:after="0" w:line="15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NIA does not have any control over the commissions it earns on the sale of insurance products which are based on premiums and commission rates set by insurers and the conditions prevalent in the insurance market.</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NIA earns commissions on the sale of insurance products. Commission rates and premiums can change based on the prevailing economic and competitive factors that affect insurance underwriters. In addition, the insurance industry has been characterized by periods of intense price competition due to excessive underwriting capacity and periods of favorable premium levels due to shortages of capacity. We cannot predict the timing or extent of future changes in commission rates or premiums or the effect any of these changes will have on the operations of 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NIA fails to comply with government regulations, its insurance agency business would be adversely affected.</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NIA insurance agency business is subject to comprehensive regulation in the various states in which it conducts business. NIA’s success will depend in part upon its ability to satisfy these regulations and to obtain and maintain all required licenses and permits. NIA’s failure to comply with any statutes and regulations could have a material adverse effect on it. Furthermore, the adoption of additional statutes and regulations, changes in the interpretation and enforcement of current statutes and regulations could have a material adverse effect on 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PAYROLL AND BENEFIT SOLUTIONS (PMT)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Unauthorized disclosure of employee data, whether through a cyber-security breach of our computer systems or otherwise, could expose PMT to liability and business losses.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PMT collects and stores sensitive data about individuals in order to process the transactions and for other internal processes. If anyone penetrates its network security or the security of the third-party payroll processing platform in utilizes, or otherwise misappropriates sensitive individual data, PMT could be subject to liability or business interruption. PMT is subject to laws and rules issued by different agencies concerning safeguarding and maintaining the confidentiality of this information. Its activities have been, and will continue to be, subject to an increasing risk of cyber-attacks, the nature of which is continually evolving. Cyber-security risks include unauthorized access to privileged and sensitive customer information, including passwords and account information of PMT’ customers. While it subjects its data systems to periodic independent testing and review, PMT cannot guarantee that its systems or the systems of the third-party payroll processing platform in utilizes will not be penetrated in the future. Experienced computer programmers and hackers may be able to penetrate PMT’ network security or the security of its third-party payroll processing platform, and misappropriate or compromise our confidential information, create system disruptions, or cause shutdowns. As a result, PMT’ customers’ information may be lost, disclosed, accessed or taken without its customers’ consent. If a breach of these systems occurs, PMT may be subject to liability, including claims for impersonation or other similar fraud claims. In the event of any such breach, PMT may also be subject to a class action lawsuit. Any significant violations of data privacy could result in the loss of business, litigation and regulatory investigations and penalties that could damage PMT’ reputation, and the growth of its business could be adversely affected. For more information on risks relating to cybersecurity, see “Risks Related to Cybersecurity.”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8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PMT is subject to risks surrounding Automated Clearing House (“ACH”) payments.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Credit risk in ACH payments arises when a party to a contract fails to deposit funds required to settle the contract. This can occur if a client of PMT suffers losses, enters into bankruptcy or defrauds PMT. In such an event, PMT could bear the financial burden of settling the customer’s contract.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PMT’s systems may be subject to disruptions that could adversely affect its business and reputation.</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PMT’s payroll business relies heavily on its payroll, financial, accounting and other data processing systems. If any of these systems or any of the vendors which supply them fails to operate properly or becomes disabled even for a brief period of time, PMT could suffer financial loss, a disruption of its business, liability to clients, regulatory intervention or damage to its reputation. PMT has disaster recovery plans in place to protect its businesses against natural disasters, security breaches, military or terrorist actions, power or communication failures or similar events. Despite PMT’ preparations, its disaster recovery plans may not be successful in preventing the loss of client data, service interruptions, and disruptions to its operations or damage to its important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PMT fails to adapt its technology to meet client needs and preferences, the demand for its services may diminish.</w:t>
      </w:r>
    </w:p>
    <w:p>
      <w:pPr>
        <w:spacing w:after="0" w:line="202"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PMT operates in industries that are subject to rapid technological advances and changing client needs and preferences. In order to remain competitive and responsive to client demands, PMT continually upgrades, enhances and expands its existing solutions and services. If PMT fails to respond successfully to technological challenges, the demand for its services may diminish.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PMT could incur unreimbursed costs or damages due to delays in processing inherent in the banking system.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PMT generally determines the availability of customer (employer) funds prior to making payments to employees or taxing authorities, and such employer funds are generally transferred in to its accounts prior to making payments out. Due to the structure of the banking system however, there are times when PMT may make payroll or tax payments and not immediately receive the funds to do so from the employer. There can be no assurance that the procedures PMT has in place to prevent these occurrences or mitigate the damages will be sufficient to prevent loss to its business. In addition, PMT could incur unreimbursed costs or damages due to delays in processing customer payrolls or payroll taxes in a timely manner.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SUBSIDIARIES - NEWTEK BUSINESS CREDIT SOLUTIONS (NBC)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unexpected level of defaults in NBC’s accounts receivables or inventory portfolios would reduce its income and increase its expenses.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If NBC’s level of non-accrual assets in its receivable financing or inventory financing business rises in the future, it could adversely affect its revenue, earnings and cash flow. Non-accrual assets primarily consist of receivables for which the customer has not made timely payment. In certain situations, NBC may restructure the receivable to permit such a customer to have smaller payments over a longer period of time. Such a restructuring or non-payment by a receivables or inventory customer will result in lower revenue and less cash available for NBC’ operational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NBC’s reserve for credit losses may not be sufficient to cover unexpected losses.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NBC’s business depends on the behavior of its customers. In addition to its credit practices and procedures, NBC maintains a reserve for credit losses on its accounts receivable and inventory portfolios, which it has judged to be adequate given the receivables it purchases. NBC periodically reviews its reserve for adequacy considering current economic conditions and trends, charge-off experience and levels of non-accrual assets, and adjusts its reserve accordingly. However, because of recent unstable economic conditions, its reserves may prove inadequate, which could have a material adverse effect on its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RISKS RELATED TO OUR CAPCO BUSINESS</w:t>
      </w:r>
    </w:p>
    <w:p>
      <w:pPr>
        <w:spacing w:after="0" w:line="2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Capco programs and the tax credits they provide are created by state legislation and implemented through regulation, and such laws and rules are subject to possible action to repeal or retroactively revise the programs for political, economic or other reasons. Such an attempted repeal or revision would create substantial difficulty for the Capco programs and could, if ultimately successful, cause us material financial harm.</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tax credits associated with the Capco programs and provided to our Capcos’ investors are to be utilized by the investors over a period of time, which is typically ten years. Much can change during such a period and it is possible that one or more states may revise or eliminate the tax credits. Any such revision or repeal could have a material adverse economic impact on our Capcos, either directly or as a result of the Capco’s insurer’s actions. Any such final state action that jeopardizes the tax credits could result in the provider of our Capco insurance assuming partial or full control of the particular Capco in order to minimize its liability under the Capco insurance policies issued to our investors.</w:t>
      </w:r>
    </w:p>
    <w:p>
      <w:pPr>
        <w:spacing w:after="0" w:line="16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our Capcos are subject to requirements under state law, a failure of any of them to meet these requirements could subject the Capco and our shareholders to the loss of one or more Capcos.</w:t>
      </w:r>
    </w:p>
    <w:p>
      <w:pPr>
        <w:spacing w:after="0" w:line="14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Despite the fact that we have met all applicable minimum requirements of the Capco programs in which we still participate, each Capco remains subject to state regulation until it has invested 100% of its funds and otherwise remains in full legal compliance. There can be no assurance that we will continue to be able to do so. A major regulatory violation, while not fatal to our Capco business, would materially increase the cost of operating the Capcos.</w:t>
      </w:r>
    </w:p>
    <w:p>
      <w:pPr>
        <w:spacing w:after="0" w:line="13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know of no other publicly-held company that sponsors and operates Capcos as a part of its business. As such, there are, to our knowledge, no other companies against which investors may compare our Capco business and its operations, results of operations and financial and accounting structures.</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the absence of any meaningful peer group comparisons for our Capco business, investors may have a difficult time understanding and judging the strength of our business. This, in turn, may have a depressing effect on the value of our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20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of December 31, 2023, our CEO beneficially owns and has shared voting power over approximately 5.3% of our common stock, and may be able to exercise significant influence over the outcome of most shareholder actions.</w:t>
      </w:r>
    </w:p>
    <w:p>
      <w:pPr>
        <w:spacing w:after="0" w:line="1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Because of his ownership of and shared voting power over our stock, Barry Sloane, our Chairman, Chief Executive Officer and President, may be able to exercise significant influence over actions requiring shareholder approval, including the election of directors, the adoption of amendments to the certificate of incorporation, approval of stock incentive plans and approval of major transactions such as a merger or sale of assets. This could delay or prevent a change in control of the Company, deprive our shareholders of an opportunity to receive a premium for their common stock as part of a change in control and have a negative effect on the market price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may be volatile and may decrease substantially.</w:t>
      </w:r>
    </w:p>
    <w:p>
      <w:pPr>
        <w:spacing w:after="0" w:line="18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trading price of our common stock may fluctuate substantially. The price of our common stock may be higher or lower depending on many factors, some of which are beyond our control and may not be directly related to our operating performance. These factors include, but are not limited to, the following:</w:t>
      </w:r>
    </w:p>
    <w:p>
      <w:pPr>
        <w:spacing w:after="0" w:line="124"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demand for our stock;</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other companies in our sector, which are not necessarily related to the operating performance of these companies;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tax guidelines with respect to financial holding companies;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82" w:right="339" w:bottom="1440" w:gutter="0" w:footer="0" w:header="0"/>
        </w:sectPr>
      </w:pPr>
    </w:p>
    <w:bookmarkStart w:id="63" w:name="page64"/>
    <w:bookmarkEnd w:id="63"/>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perceived changes, in the value of our investments;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departures of key Company personnel;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of companies comparable to us;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 and other external factors.</w:t>
      </w:r>
    </w:p>
    <w:p>
      <w:pPr>
        <w:spacing w:after="0" w:line="20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Due to the potential volatility of our stock price once a market for our stock is established, we may become the target of securities litigation in the future. Securities litigation could result in substantial costs and divert management’s attention and resources from our business.</w:t>
      </w:r>
    </w:p>
    <w:p>
      <w:pPr>
        <w:spacing w:after="0" w:line="134"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issuances of our common stock or other securities, including preferred shares, may dilute the per share book value of our common stock or have other adverse consequences to our common shareholders.</w:t>
      </w:r>
    </w:p>
    <w:p>
      <w:pPr>
        <w:spacing w:after="0" w:line="1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Board has the authority, without the action or vote of our shareholders, to issue all or part of the approximately 175,319,600 authorized but unissued shares of our common stock. Our business strategy relies in part upon the acquisitions of businesses using the resources available to us, including our common stock. Additionally, we anticipate granting additional options or restricted stock awards to our employees and directors in the future pursuant to the 2023 Stock Incentive Plan, which was approved by the Board in April 2023 and the Company’s shareholders on June 14, 2023. The 2023 Stock Incentive Plan reserved a maximum of 3,000,000 shares of common stock for issuance to our employees and directors, and 2,917,523 shares of common stock remain available for issuance as of December 31, 2023. Option holders may exercise their options at a time when we would otherwise be able to obtain additional equity capital on more favorable terms.</w:t>
      </w:r>
    </w:p>
    <w:p>
      <w:pPr>
        <w:spacing w:after="0" w:line="17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may also issue additional securities, through public or private offerings, in order to raise capital. Future issuances of our common stock will dilute the percentage of ownership interest of current shareholders and could decrease the per share book value of our common stock.</w:t>
      </w:r>
    </w:p>
    <w:p>
      <w:pPr>
        <w:spacing w:after="0" w:line="1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Pursuant to our amended and restated charter, our Board is authorized to classify any unissued shares of stock and reclassify any previously classified but unissued shares of stock of any class or series from time to time, into one or more classes or series of stock, including preferred stock. If we issue preferred stock, the preferred stock would rank “senior” to common stock in our capital structure, preferred shareholders would have separate voting rights on certain matters and might have other rights, preferences, or privileges more favorable than those of our common shareholders, and the issuance of preferred stock could have the effect of delaying, deferring or preventing a transaction or a change of control that might involve a premium price for holders of our common stock or otherwise be in your best interest. If we raise additional funds by issuing more common stock or senior securities convertible into, or exchangeable for, our common stock, then the percentage ownership of our shareholders at that time will decrease, and shareholders may experience dilution.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authorization and issuance of “blank check” preferred shares could have an anti-takeover effect detrimental to the interests of our shareholders.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allows our Board to issue preferred shares with rights and preferences set by the Board without further shareholder approval. The issuance of these “blank check” preferred shares could have an anti-takeover effect detrimental to the interests of our shareholders. For example, in the event of a hostile takeover attempt, it may be possible for management and the Board to impede the attempt by issuing the preferred shares, thereby diluting or impairing the voting power of the other outstanding common shares and increasing the potential costs to acquire control of us. Under our certificate of incorporation, our Board has the right to issue any new shares, including preferred shares, without first offering them to the holders of common shares, as they have no preemptive rights.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4" w:name="page65"/>
    <w:bookmarkEnd w:id="64"/>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the Maryland General Corporation Law and of our charter and bylaws could deter takeover attempts and have an adverse impact on the price of our common stock.</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may discourage, delay or make more difficult a change in control of Newtek or the removal of our directors. We are subject to the Maryland Business Combination Act. Our Board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Maryland Control Share Acquisition Act, the Maryland Control Shares Acquisition Act may make it more difficult for a third party to obtain control of us and increase the difficulty of consummating such a transaction.</w:t>
      </w:r>
    </w:p>
    <w:p>
      <w:pPr>
        <w:spacing w:after="0" w:line="16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shareholder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common stock in the public market may have an adverse effect on the market price of our common stock.</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All of the common stock held by our executive officers and directors, represents approximately 1,663,000 shares, or approximately 7% of our total outstanding shares as of December 31, 2023. Such shares are generally freely tradable in the public market. 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RISKS RELATED TO OUR NOTES</w:t>
      </w:r>
    </w:p>
    <w:p>
      <w:pPr>
        <w:spacing w:after="0" w:line="200"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2024 Notes, the 2025 Notes the 2026 Notes, and the 2028 Note, together, the “Notes,” are unsecured and therefore are effectively subordinated to any secured indebtedness we have outstanding or may incur in the future.</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July 2019, February 2021 and May 2021, we issued $63.25 million, $5.0 million and $10.0 million in aggregate principal amount of the 2024 Notes, respectively. In December 2021, we redeemed $40.0 million in aggregate principal amount of the 2024 Notes. In January 2021, we issued $115.0 million in aggregate principal amount of the 2026 Notes. In November 2020, we issued $5.0 million in aggregate principal amount of the 2025 6.85% Notes and in January 2021 we issued an additional $10.0 million in aggregate principal amount of the 2025 6.85% Notes. In May 2022, we redeemed $15.0 million in aggregate principal amount of the 2025 6.85% Notes. In March 2022, we issued $15.0 million in aggregate principal amount of the 2025 5.00% Notes and in May 2022 we issued an additional $15.0 million in aggregate principal amount of the 2025 5.00% Notes. In January 2023, we issued $50.0 million aggregate principal amount of the 2025 8.125% Notes. In August 2023, we issued $40.0 million in aggregate principal amount of the 2028 8.00% Notes. The Notes are not secured by any of our assets or any of the assets of our subsidiaries. As a result, the Notes are effectively subordinated to any secured indebtedness we or our subsidiaries have outstanding or may incur in the future (or any indebtedness that is initially unsecured to which we subsequently grant security). In any liquidation, dissolution, bankruptcy or other similar proceeding, the holders of any of our existing or future secured indebtedness and the existing or future secured indebtedness of our subsidiaries may assert rights against the assets pledged to secure that indebtedness to receive full payment of their indebtedness before the assets may be used to pay other creditors, including the holders of the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Notes are structurally subordinated to the indebtedness and other liabilities of our subsidiaries.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Notes are obligations exclusively of the Company and not of any of our subsidiaries. None of our subsidiaries is a guarantor of the Notes and the Notes are not required to be guaranteed by any subsidiaries we may acquire or create in the future. Any assets of our subsidiaries will not be directly available to satisfy the claims of our creditors, including holders of the Notes.</w:t>
      </w:r>
    </w:p>
    <w:p>
      <w:pPr>
        <w:spacing w:after="0" w:line="1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to all indebtedness and other liabilities (including trade payables) of any of our subsidiaries and any subsidiaries that we may in the future acquire or establish as financing vehicles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indentures under which the Notes were issued contains limited protection for holders of the Notes.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indentures under which the Notes were issued offers limited protection to holders of the Notes. The terms of the indentures and the Notes generally do not restrict our or any of our subsidiaries’ ability to engage in, or otherwise be a party to, a variety of corporate transactions, circumstances or events that could have a material adverse impact on your investment in the Notes. In particular, the terms of the indentures and the Notes generally do not place any restrictions on our or our subsidiaries’ ability to:</w:t>
      </w:r>
    </w:p>
    <w:p>
      <w:pPr>
        <w:spacing w:after="0" w:line="157"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securities or otherwise incur additional indebtedness or other obligations, including (1) any indebtedness or other obligations that would be equal in right of payment to the Notes,</w:t>
      </w:r>
    </w:p>
    <w:p>
      <w:pPr>
        <w:spacing w:after="0" w:line="23" w:lineRule="exact"/>
        <w:rPr>
          <w:rFonts w:ascii="Times New Roman" w:cs="Times New Roman" w:eastAsia="Times New Roman" w:hAnsi="Times New Roman"/>
          <w:sz w:val="14"/>
          <w:szCs w:val="14"/>
          <w:color w:val="auto"/>
        </w:rPr>
      </w:pPr>
    </w:p>
    <w:p>
      <w:pPr>
        <w:ind w:left="52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any indebtedness or other obligations that would be secured and therefore rank effectively senior in right of payment to the Notes,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as modified by Section 61(a)(1) of the 1940 Act or any successor provisions, but giving effect to any exemptive relief granted to us by the SEC, pursuant to the indentures under which the 2024 and 2026 Notes were issued. Currently, these provisions generally prohibit us from making additional borrowings, including through the issuance of additional debt or the sale of additional debt securities, unless our asset coverage, as defined in the 1940 Act, equals at least 150% after such borrowings. See “Item 1A. Risk Factors -Risks Related to Our Notes - We are subject to 150% asset coverage requirements due to covenants contained in the indentures under which the 2024 and 2026 Notes were issued;”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ind w:left="520" w:righ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purchase or redeem or make any payments in respect of, capital stock or other securities ranking junior in right of payment to the Notes, including subordinated indebtedness;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 (other than certain limited restrictions on our ability to consolidate, merge or sell all or substantially all of our assets);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(including liens on the shares of our subsidiaries) or enter into sale and leaseback transactions;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restrictions on the payment of dividends or other amounts to us from our subsidiaries.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addition, the indentures do not require us to offer to purchase the Notes in connection with a change of control, asset sale or any other event. Furthermore, the terms of the indentures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w:t>
      </w:r>
    </w:p>
    <w:p>
      <w:pPr>
        <w:spacing w:after="0" w:line="16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Other debt we issue or incur in the future could contain more protections for its holders than the indentures and the Notes, including additional covenants and events of default. The issuance or incurrence of any such debt with incremental protections could affect the market for and trading levels and prices of the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other indebtedness that we may incur in the future, we may not be able to make payments on the Notes.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the future, we may enter into agreements to incur additional indebtedness, including a secured credit facility. A default under such agreements to which we may be a party that is not waived by the required lenders or holders,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such future additional indebtedness, or if we otherwise fail to comply with the various covenants, including financial and operating covenants, in the instruments governing such future additional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of other debt we may incur in the future could elect to terminate their commitments, cease making further loans and institute foreclosure proceedings against our assets, and we could be forced into bankruptcy or liquidation. If we are unable to repay debt, lenders having secured obligations could proceed against the collateral securing the debt. Because any future credit facilities likely will have customary cross-default provisions, if the indebtedness under any future credit facility is accelerated, we may be unable to repay or finance the amounts due.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choose to redeem the Notes when prevailing interest rates are relatively low.</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may choose to redeem the remaining 2024 Notes, as well as the 2025 5.0% Notes, 2026 Notes and 2028 Notes outstanding, especially if prevailing interest rates are lower than the respective interest rates on the 2024 Notes, 2025 Notes, 2026 Notes or 2028 Notes. If prevailing rates are lower at the time of redemption, holders of the Notes may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spacing w:after="0" w:line="16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On February 22, 2021, the Company redeemed all $57.5 million in aggregate principal amount of the 2023 Notes on the redemption date at 100% of their principal amount ($25 per Note), plus the accrued and unpaid interest thereon from December 31, 2020 through, but excluding, the redemption date.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7" w:name="page68"/>
    <w:bookmarkEnd w:id="67"/>
    <w:p>
      <w:pPr>
        <w:ind w:right="280"/>
        <w:spacing w:after="0" w:line="287" w:lineRule="auto"/>
        <w:rPr>
          <w:sz w:val="20"/>
          <w:szCs w:val="20"/>
          <w:color w:val="auto"/>
        </w:rPr>
      </w:pPr>
      <w:r>
        <w:rPr>
          <w:rFonts w:ascii="Times New Roman" w:cs="Times New Roman" w:eastAsia="Times New Roman" w:hAnsi="Times New Roman"/>
          <w:sz w:val="14"/>
          <w:szCs w:val="14"/>
          <w:color w:val="auto"/>
        </w:rPr>
        <w:t>On December 29, 2021, the Company partially redeemed $40.0 million in aggregate principal amount of the $78.25 million of 2024 Notes outstanding at 100% of their principal amount ($25 per Note), plus the accrued and unpaid interest thereon from November 1, 2021 through, but excluding, the redemption date.</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On March 31, 2022, the Company redeemed all $15.0 million in aggregate principal amount of the 2025 6.85% Notes on the redemption date at 100% of their principal amount ($25 per Note), plus the accrued and unpaid interest thereon from February 28, 222 through, but excluding, the redemption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market or market value of our publicly traded debt securities may fluctuate.</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2024, 2026 and 2028 Notes are new issues of debt securities listed on the Nasdaq Global Market under the symbols “NEWTL,” “NEWTZ,” and “NEWTI,” respectively. Although the Notes are listed on Nasdaq, we cannot assure you that a trading market for our publicly issued debt securities will be maintained. In addition to our creditworthiness, many factors may materially adversely affect the trading market for, and market value of, our publicly issued debt securities. These factors include, but are not limited to, the following:</w:t>
      </w:r>
    </w:p>
    <w:p>
      <w:pPr>
        <w:spacing w:after="0" w:line="199" w:lineRule="exact"/>
        <w:rPr>
          <w:sz w:val="20"/>
          <w:szCs w:val="20"/>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these debt instruments;</w:t>
      </w:r>
    </w:p>
    <w:p>
      <w:pPr>
        <w:spacing w:after="0" w:line="8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principal amount of debt securities with terms identical to these debt securities;</w:t>
      </w:r>
    </w:p>
    <w:p>
      <w:pPr>
        <w:spacing w:after="0" w:line="8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ratings assigned by the national statistical rating agencies;</w:t>
      </w:r>
    </w:p>
    <w:p>
      <w:pPr>
        <w:spacing w:after="0" w:line="9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economic environment;</w:t>
      </w:r>
    </w:p>
    <w:p>
      <w:pPr>
        <w:spacing w:after="0" w:line="8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of debt securities trading in the secondary market, if any;</w:t>
      </w:r>
    </w:p>
    <w:p>
      <w:pPr>
        <w:spacing w:after="0" w:line="8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generally; and</w:t>
      </w:r>
    </w:p>
    <w:p>
      <w:pPr>
        <w:spacing w:after="0" w:line="83" w:lineRule="exact"/>
        <w:rPr>
          <w:rFonts w:ascii="Times New Roman" w:cs="Times New Roman" w:eastAsia="Times New Roman" w:hAnsi="Times New Roman"/>
          <w:sz w:val="14"/>
          <w:szCs w:val="14"/>
          <w:color w:val="auto"/>
        </w:rPr>
      </w:pPr>
    </w:p>
    <w:p>
      <w:pPr>
        <w:ind w:left="600" w:hanging="245"/>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rates of interest higher or lower than rates borne by the debt securities.</w:t>
      </w:r>
    </w:p>
    <w:p>
      <w:pPr>
        <w:spacing w:after="0" w:line="23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You should be aware that there may be a limited number of buyers should holders of the Notes decide to sell the securities. This too may materially adversely affect the market value of the debt securities of the trading market for the debt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150% asset coverage requirements due to covenants contained in the indentures under which the 2024 and 2026 Notes were issued.</w:t>
      </w:r>
    </w:p>
    <w:p>
      <w:pPr>
        <w:spacing w:after="0" w:line="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The 2024 and 2026 Notes were issued pursuant to a base indenture, dated as of September 23, 2015 (the “Base Indenture”), and a fourth supplemental indenture (the “Fourth Supplemental Indenture”), dated as of July 29, 2019, and a Seventh Supplemental Indenture dated as of January 22, 2021, respectively, each between us and U.S. Bank National Association, as trustee. The Fourth Supplemental Indenture and Seventh Supplemental Indenture include covenants requiring us to comply with (regardless of whether we are subject to) the asset coverage requirements set forth in Section 18(a)(1)(A) of the 1940 Act as modified by Section 61(a) of the 1940 Act (or any successor provisions), to comply with (regardless of whether we are subject to) the restrictions on dividends, distributions and purchase of capital stock set forth in Section 18(a)(1)(B) of the 1940 Act as modified by Section 61(a) of the 1940 Act and to provide financial information to the holders of the Notes and the Trustee if we should no longer be subject to the reporting requirements under the Exchange Act. As a result, we are subject to 150% asset coverage requirements under the 1940 Act even though, effective January 6, 2023, we are not regulated as a BDC.</w:t>
      </w:r>
    </w:p>
    <w:p>
      <w:pPr>
        <w:spacing w:after="0" w:line="16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4"/>
          <w:szCs w:val="14"/>
          <w:color w:val="auto"/>
        </w:rPr>
        <w:t>Under these requirements we are only permitted to issue multiple classes of indebtedness and one class of shares senior to our common stock if our asset coverage, as defined in the 1940 Act, is at least equal to 150% immediately after each such issuance.</w:t>
      </w:r>
    </w:p>
    <w:p>
      <w:pPr>
        <w:ind w:right="40"/>
        <w:spacing w:after="0" w:line="247" w:lineRule="auto"/>
        <w:rPr>
          <w:sz w:val="20"/>
          <w:szCs w:val="20"/>
          <w:color w:val="auto"/>
        </w:rPr>
      </w:pPr>
      <w:r>
        <w:rPr>
          <w:rFonts w:ascii="Times New Roman" w:cs="Times New Roman" w:eastAsia="Times New Roman" w:hAnsi="Times New Roman"/>
          <w:sz w:val="14"/>
          <w:szCs w:val="14"/>
          <w:color w:val="auto"/>
        </w:rPr>
        <w:t>The ratio of our total assets (less total liabilities other than indebtedness represented by senior securities) to our total indebtedness represented by senior securities plus preferred stock, if any, must be at least 150%.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information security breaches or cyber security attacks.</w:t>
      </w:r>
    </w:p>
    <w:p>
      <w:pPr>
        <w:spacing w:after="0" w:line="20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Our business operations and our subsidiaries’ business operations rely upon secure information technology systems for data processing, storage and reporting. Despite security and controls design, implementation and updating, such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68" w:name="page69"/>
    <w:bookmarkEnd w:id="68"/>
    <w:p>
      <w:pPr>
        <w:ind w:right="140"/>
        <w:spacing w:after="0" w:line="245" w:lineRule="auto"/>
        <w:rPr>
          <w:sz w:val="20"/>
          <w:szCs w:val="20"/>
          <w:color w:val="auto"/>
        </w:rPr>
      </w:pPr>
      <w:r>
        <w:rPr>
          <w:rFonts w:ascii="Times New Roman" w:cs="Times New Roman" w:eastAsia="Times New Roman" w:hAnsi="Times New Roman"/>
          <w:sz w:val="14"/>
          <w:szCs w:val="14"/>
          <w:color w:val="auto"/>
        </w:rPr>
        <w:t>In addition, our business operations involve the storage and transmission of Newtek, customer and employee proprietary information. Our businesses rely on our digital technologies, computer and email systems, software, and networks to conduct operations. Our technologies, systems and networks may become the target of criminal cyber-attacks or information security breaches that could result in the unauthorized release, gathering, monitoring, misuse, loss or destruction of confidential, proprietary and other information of us or third parties with whom we deal, or otherwise disrupt our or our customers’ or other third parties’ business operations. Further, the use of AI by cybercriminals may increase the frequency and severity of cyber-attacks against us or our third-party vendors and clients. It is critical to our business strategy that our facilities and infrastructure remain secure and are perceived by the marketplace to be secure.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Although we believe we and our IT providers employ appropriate security technologies (including data encryption processes, intrusion detection systems), and conduct comprehensive risk assessments and other internal control procedures to assure the security of our and our customers’ data, we cannot guarantee that these measures will be sufficient for this purpose. If our and our IT provider’s security measures are breached as a result of third-party action, employee error or otherwise, and as a result our or our customers’ data becomes available to unauthorized parties, we could incur liability and our reputation would be damaged, which could lead to the loss of current and potential customers. If we experience any breaches of our network security or sabotage, we might be required to expend significant capital and other resources to detect, remedy, protect against or alleviate these and related problems, and we may not be able to remedy these problems in a timely manner, or at all. Because techniques used by outsiders to obtain unauthorized network access or to sabotage systems change frequently and generally are not recognized until launched against a target, we may be unable to anticipate these techniques or implement adequate preventative measures.</w:t>
      </w:r>
    </w:p>
    <w:p>
      <w:pPr>
        <w:spacing w:after="0" w:line="1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Additionally, the increased use of mobile and cloud technologies due to the increased amount of remote work resulting from the COVID-19 pandemic could heighten these and other operational risks as certain aspects of the security of such technologies may be complex and unpredictable.</w:t>
      </w:r>
    </w:p>
    <w:p>
      <w:pPr>
        <w:spacing w:after="0" w:line="13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maintain a cybersecurity risk management program that is overseen by the Chief Information Security Officer (“CISO”) of NTS. The CISO is chiefly responsible for developing, maintaining, and enforcing cybersecurity and cyber risk-related policies; ensuring the Company and its subsidiaries satisfy requirements of relevant regulations, industry standards, and third-party risk assessment requirements; keeping abreast of developing security threats, and helping both the Board and the board of directors of Newtek Bank understand potential security problems that might arise from the changing threat landscape; and overseeing and implementing regular security awareness training of all employees on cybersecurity, and supporting effective communication with users to limit security vulnerabilities. The CISO regularly reports to the Risk Committee of the Board and the risk committee of the board of directors of Newtek Bank on the state of our cybersecurity risk management program and provides updates on cybersecurity matters. See “ITEM I.C Cybersecurity.”</w:t>
      </w:r>
    </w:p>
    <w:p>
      <w:pPr>
        <w:spacing w:after="0" w:line="16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As cyber threats continue to evolve, we may be required to expend significant additional resources to continue to modify or enhance our protective measures or to investigate and remediate any information security vulnerabilities. Although we have insurance in place that covers such incidents, the cost of a breach or cyber-attack could well exceed any such insurance coverage.</w:t>
      </w:r>
    </w:p>
    <w:p>
      <w:pPr>
        <w:spacing w:after="0" w:line="15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and our subsidiaries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69" w:name="page70"/>
    <w:bookmarkEnd w:id="69"/>
    <w:p>
      <w:pPr>
        <w:ind w:right="20"/>
        <w:spacing w:after="0" w:line="264" w:lineRule="auto"/>
        <w:rPr>
          <w:sz w:val="20"/>
          <w:szCs w:val="20"/>
          <w:color w:val="auto"/>
        </w:rPr>
      </w:pPr>
      <w:r>
        <w:rPr>
          <w:rFonts w:ascii="Times New Roman" w:cs="Times New Roman" w:eastAsia="Times New Roman" w:hAnsi="Times New Roman"/>
          <w:sz w:val="14"/>
          <w:szCs w:val="14"/>
          <w:color w:val="auto"/>
        </w:rPr>
        <w:t>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subsidiaries’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5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addition, cybersecurity has become a top priority for regulators around the world, and some jurisdictions have enacted laws requiring companies to notify individuals of data security breaches involving certain types of personal data. For example,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 If we fail to comply with the relevant laws and regulations, we could suffer financial losses, a disruption of our businesses, liability to investors, regulatory intervention or reputational damage.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and our service providers continue to be impacted by the increase in remote work in response to the global COVID-19 pandemic.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current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our subsidiaries are subject to risks associated with “phishing” and other cyber-attack.</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and the business of our subsidiaries relies upon secure information technology systems for data processing, storage and reporting. Despite careful security and controls design, implementation and updating, ours and our subsidiaries’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Our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and our service providers’ increased use of mobile and cloud technologies could heighten the risk of a cyber-attack as well as other operational risks, as certain aspects of the security of such technologies may be complex, unpredictable or beyond their control. Our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and annual results.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may experience fluctuations in our quarterly and annual operating results due to a number of factors, including our ability or inability to make investments in companies that meet our investment criteria, the interest rate payable on the debt securities we acquire, the default rate of such securities,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or regulations governing our operations may adversely affect our business or cause us to alter our business strategy.</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and our subsidiaries are subject to regulation by laws at the local, state, and federal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spacing w:after="0" w:line="16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4"/>
          <w:szCs w:val="14"/>
          <w:color w:val="auto"/>
        </w:rPr>
        <w:t>Changes to the laws and regulations governing our permitted investments may require a change to our investment strategy. Such changes could differ materially from our strategies and plans as set forth in this report and may shift our investment focus from the areas of expertise of our Adviser. Thus, any such changes, if they occur, could have a material adverse effect on our results of operations and the value of your investment in us.</w:t>
      </w:r>
    </w:p>
    <w:p>
      <w:pPr>
        <w:spacing w:after="0" w:line="171"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information systems and systems failures could significantly disrupt our business, which may, in turn, negatively affect the market price of our securities and our ability to make distributions to our shareholders.</w:t>
      </w:r>
    </w:p>
    <w:p>
      <w:pPr>
        <w:spacing w:after="0" w:line="14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business is highly dependent on our communications and information systems. Certain of these systems are provided to us by third-party service providers. Any failure or interruption of such systems, including as a result of the termination of an agreement with any such third party service provider, could cause delays or other problems in our activities. This, in turn, could have a material adverse effect on our operating results and negatively affect the market price of our securities and our ability to make distributions to our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corporate social responsibility.</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new regulatory initiatives related to ESG could adversely affect our business. The SEC has proposed rules that,</w:t>
      </w:r>
    </w:p>
    <w:p>
      <w:pPr>
        <w:spacing w:after="0" w:line="2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among other matters, would establish a framework for reporting of climate-related risks. At this time, there is uncertainty regarding the scope of such proposals or when they would become effective (if at all). Compliance with any new laws or regulations increases our regulatory burden and could make compliance more difficult and expensive, affect the manner in which we or our subsidiaries conduct our businesses and adversely affect our profitability.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 of global climate change may impact our operations and the operations of our subsidiaries and clients.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Climate change is widely considered to be a significant threat to the global economy. Climate change creates physical and financial risk and some we, or subsidiaries or our clients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subsidiaries or clients if the use of energy products or services is material to their business. A decrease in energy use due to weather changes may affect some of our subsidiaries’ or clients’ financial condition, through decreased revenues. Extreme weather conditions in general require more system backup, adding to costs, and can contribute to increased system stresses, including service interruptions.</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Joseph R. Biden signed an executive order to rejoin the Paris Agreement. As a result, some we, our subsidiaries or our clients may become subject to new or strengthened regulations or legislation, which could increase their operating costs and/or decrease their revenues.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NewtekOne maintains an enterprise-wide risk-management (“ERM”) framework to identify, measure, mitigate, monitor and report material risks to NewtekOne. Our ERM process includes participation by our senior management and employees across NewtekOne and its consolidated subsidiaries and is overseen by our Board. Cybersecurity has been identified among the material risks in our business and the following approach has been developed to address cybersecurity.</w:t>
      </w:r>
    </w:p>
    <w:p>
      <w:pPr>
        <w:spacing w:after="0" w:line="15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have developed an enterprise-wide cybersecurity risk management system and strategy to safeguard our assets and operations, including the protection of the confidentiality of nonpublic, sensitive personal and business information and the integrity and security of our information systems,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Assessment, Identification, and Management of Material Risks:</w:t>
      </w:r>
    </w:p>
    <w:p>
      <w:pPr>
        <w:spacing w:after="0" w:line="200" w:lineRule="exact"/>
        <w:rPr>
          <w:sz w:val="20"/>
          <w:szCs w:val="20"/>
          <w:color w:val="auto"/>
        </w:rPr>
      </w:pPr>
    </w:p>
    <w:p>
      <w:pPr>
        <w:ind w:left="520" w:right="160" w:hanging="260"/>
        <w:spacing w:after="0" w:line="26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Comprehensive Risk Assessments: We conduct regular and comprehensive assessments to identify potential cybersecurity risks to our organization. These assessments encompass internal systems, networks, applications, and data repositories, as well as external threats and vulnerabilities within the broader digital ecosystem.</w:t>
      </w:r>
    </w:p>
    <w:p>
      <w:pPr>
        <w:ind w:left="520" w:right="240" w:hanging="260"/>
        <w:spacing w:after="0" w:line="25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Intelligence Monitoring: We continuously monitor threat intelligence sources to stay abreast of emerging cyber threats and trends. This proactive approach enables us to anticipate potential risks and take preemptive measures to mitigate them.</w:t>
      </w:r>
    </w:p>
    <w:p>
      <w:pPr>
        <w:ind w:left="520" w:right="140" w:hanging="260"/>
        <w:spacing w:after="0" w:line="25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Prioritization: Following the assessment phase, we prioritize identified risks based on their potential impact on our operations, data integrity, confidentiality, and reputation. This risk-based approach allows us to allocate resources effectively and focus on addressing the most significant threats first.</w:t>
      </w:r>
    </w:p>
    <w:p>
      <w:pPr>
        <w:ind w:left="520" w:right="400" w:hanging="260"/>
        <w:spacing w:after="0" w:line="259"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Mitigation Strategies: We develop and implement robust mitigation strategies tailored to address specific cybersecurity risks. These strategies may include the deployment of technical controls, such as firewalls, intrusion detection systems, and encryption protocols, as well as the implementation of policies, procedures, and employee training programs to promote cybersecurity awareness and adherence to best practices.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Integration into Overall Risk Management System:</w:t>
      </w:r>
    </w:p>
    <w:p>
      <w:pPr>
        <w:spacing w:after="0" w:line="20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Our cybersecurity risk management processes are fully integrated into our overall risk management system and corporate governance framework. This integration ensures that cybersecurity considerations are embedded within our strategic decision-making processes and are aligned with our broader business objectives. By integrating cybersecurity into our overall risk management system, we promote a comprehensive approach to risk mitigation and resilience-building across the organization.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Engagement of Assessors, Consultants, and Auditors:</w:t>
      </w:r>
    </w:p>
    <w:p>
      <w:pPr>
        <w:spacing w:after="0" w:line="200" w:lineRule="exact"/>
        <w:rPr>
          <w:sz w:val="20"/>
          <w:szCs w:val="20"/>
          <w:color w:val="auto"/>
        </w:rPr>
      </w:pPr>
    </w:p>
    <w:p>
      <w:pPr>
        <w:ind w:left="520" w:right="300" w:hanging="260"/>
        <w:spacing w:after="0" w:line="258"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Expertise: We recognize the value of external expertise in assessing and enhancing our cybersecurity posture. To complement the internal capabilities of our Chief Information Security Officer (“CISO”), Chief Technology Officer (“CTO”) and their team of professionals, we engage assessors, consultants, auditors, and other third-party experts with specialized knowledge in cybersecurity. These external stakeholders conduct independent assessments, penetration testing, vulnerability scans, and audits to evaluate the effectiveness of our cybersecurity controls and identify areas for improvement.</w:t>
      </w:r>
    </w:p>
    <w:p>
      <w:pPr>
        <w:spacing w:after="0" w:line="1" w:lineRule="exact"/>
        <w:rPr>
          <w:rFonts w:ascii="Times New Roman" w:cs="Times New Roman" w:eastAsia="Times New Roman" w:hAnsi="Times New Roman"/>
          <w:sz w:val="14"/>
          <w:szCs w:val="14"/>
          <w:color w:val="auto"/>
        </w:rPr>
      </w:pPr>
    </w:p>
    <w:p>
      <w:pPr>
        <w:ind w:left="520" w:right="440" w:hanging="260"/>
        <w:spacing w:after="0" w:line="266"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Improvement: The insights and recommendations provided by external assessors and consultants inform our ongoing efforts to strengthen our cybersecurity defenses. We prioritize the implementation of their recommendations, ensuring that our cybersecurity measures remain robust and adaptive to evolving threats.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Oversight of Third-Party Service Providers:</w:t>
      </w:r>
    </w:p>
    <w:p>
      <w:pPr>
        <w:spacing w:after="0" w:line="200" w:lineRule="exact"/>
        <w:rPr>
          <w:sz w:val="20"/>
          <w:szCs w:val="20"/>
          <w:color w:val="auto"/>
        </w:rPr>
      </w:pPr>
    </w:p>
    <w:p>
      <w:pPr>
        <w:ind w:left="520" w:right="360" w:hanging="260"/>
        <w:spacing w:after="0" w:line="263"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Risk Management: We recognize that third-party service providers may introduce additional cybersecurity risks to our organization. As such, we have established a vendor risk management program to assess and monitor the cybersecurity posture of our third-party vendors and partners.</w:t>
      </w:r>
    </w:p>
    <w:p>
      <w:pPr>
        <w:ind w:left="520" w:right="140" w:hanging="260"/>
        <w:spacing w:after="0" w:line="253"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Diligence: Prior to engaging with third-party service providers, we conduct due diligence assessments to evaluate their cybersecurity controls, practices, and compliance with industry standards and regulations. This due diligence process includes assessing the vendor's security policies, procedures, incident response capabilities, and contractual obligations related to cybersecurity.</w:t>
      </w:r>
    </w:p>
    <w:p>
      <w:pPr>
        <w:ind w:left="520" w:right="300" w:hanging="260"/>
        <w:spacing w:after="0" w:line="253"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Monitoring: We continuously monitor the cybersecurity performance of our third-party vendors throughout the duration of our engagement. This includes regular assessments, audits, and compliance reviews to ensure that vendors adhere to agreed-upon cybersecurity standards and contractual obligations.</w:t>
      </w:r>
    </w:p>
    <w:p>
      <w:pPr>
        <w:ind w:left="520" w:right="120" w:hanging="260"/>
        <w:spacing w:after="0" w:line="266"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Remediation and Escalation: In the event that cybersecurity risks or deficiencies are identified within our third-party vendor ecosystem, we work collaboratively with the vendor to address and remediate these issues in a timely manner. Depending on the severity of the risk, we may escalate concerns to senior management or terminate the vendor relationship if necessary.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Our Board oversees material risks facing the Company. For some categories of risk, the Board has empowered a committee to provide more focused oversight. In the case of cybersecurity and technology risk, the Board’s Risk Committee has that responsibility.</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Risk Committee is informed of risks from cybersecurity threats through regular reports from the Company’s management, including our CISO and CTO. Our CISO and CTO, who are employees of our subsidiary NTS, oversee our cybersecurity risk management program. The CISO is chiefly responsible for developing, maintaining, and enforcing cybersecurity and cyber risk-related policies; ensuring the Company and its subsidiaries satisfy requirements of relevant regulations, industry standards, and third-party risk assessment requirements; keeping abreast of developing security threats, and helping both the Board and the Risk Committee understand potential security problems that might arise from the changing threat landscape; and overseeing and implementing regular security awareness training of all employees on cybersecurity, and supporting effective communication with users to limit security vulnerabilities. The CISO regularly reports to the Risk Committee, as well as the risk committee of the board of directors of Newtek Bank, on the state of our cybersecurity risk management program and provides updates on cybersecurity matters.</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Risk Committee also receives regular reports on how management identifies, assesses, and manages cybersecurity and broader technology risks. The Risk Committee reviews these reports and discusses them with management. The Risk Committee reports to the full Board on key aspects of management’s presentations on cybersecurity and broader technology risks. All members of the Board have access to written cybersecurity reports that are provided to the Risk Committee.</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73" w:name="page74"/>
    <w:bookmarkEnd w:id="73"/>
    <w:p>
      <w:pPr>
        <w:spacing w:after="0" w:line="258" w:lineRule="auto"/>
        <w:rPr>
          <w:sz w:val="20"/>
          <w:szCs w:val="20"/>
          <w:color w:val="auto"/>
        </w:rPr>
      </w:pPr>
      <w:r>
        <w:rPr>
          <w:rFonts w:ascii="Times New Roman" w:cs="Times New Roman" w:eastAsia="Times New Roman" w:hAnsi="Times New Roman"/>
          <w:sz w:val="14"/>
          <w:szCs w:val="14"/>
          <w:color w:val="auto"/>
        </w:rPr>
        <w:t>While our Board and Risk Committee oversee risk, our senior leadership is responsible for identifying, assessing, and managing our exposure to risks from cybersecurity threats. Accountability of our cybersecurity program is housed within our subsidiary NTS, which is led by our CTO. Reporting to our CTO is the CISO, the individual who provides day-to-day oversight of our cybersecurity program. Our CISO is responsible for assessing and managing material risks from cybersecurity threats, including monitoring the prevention, detection, mitigation and remediation of cybersecurity threats. Our CISO oversees a team that regularly communicates with respect to the prevention, detection, mitigation and remediation of cybersecurity threats and incidents. The CISO’s team consists of individuals that have knowledge, skills and expertise to respond to a cybersecurity incident. Our CISO coordinates with the Company’s and our subsidiaries’ executive officers relating to potentially material cybersecurity incidents and regularly discusses with the Risk Committee the effectiveness of the Company’s technology security, capabilities for disaster recovery, data protection, cyber threat detection and cyber incident response and management of technology-related compliance risks.</w:t>
      </w:r>
    </w:p>
    <w:p>
      <w:pPr>
        <w:spacing w:after="0" w:line="16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Our CISO is a Certified Information System Security Professional (CISSP) with decades of experience with technology in security, architecture, infrastructure and support in the financial, education, healthcare and verticals. He is a results driven leader who has managed multimillion dollar projects and solutions to successful completion. Our CTO has over 25 years of experience in enterprise technology services with expertise in managed services, private cloud, service operations, and security. He is committed to driving reliability of services while prioritizing robust security measures.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conduct our principal business activities in facilities leased from unrelated parties at market rates. Our headquarters are located in Boca Raton, Florida. Our operating subsidiaries have properties which are material to the conduct of their business as noted below. In addition, our Capcos maintain offices in each of the states in which they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list of our leased offices and space as of December 31, 2023 which are material to the conduct of our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Lease expiration</w:t>
            </w:r>
          </w:p>
        </w:tc>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Purpose</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Approximate square feet</w:t>
            </w:r>
          </w:p>
        </w:tc>
        <w:tc>
          <w:tcPr>
            <w:tcW w:w="0" w:type="dxa"/>
            <w:vAlign w:val="bottom"/>
          </w:tcPr>
          <w:p>
            <w:pPr>
              <w:spacing w:after="0"/>
              <w:rPr>
                <w:sz w:val="1"/>
                <w:szCs w:val="1"/>
                <w:color w:val="auto"/>
              </w:rPr>
            </w:pPr>
          </w:p>
        </w:tc>
      </w:tr>
      <w:tr>
        <w:trPr>
          <w:trHeight w:val="32"/>
        </w:trPr>
        <w:tc>
          <w:tcPr>
            <w:tcW w:w="3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4800 T Rex Avenue</w:t>
            </w:r>
          </w:p>
        </w:tc>
        <w:tc>
          <w:tcPr>
            <w:tcW w:w="1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2026</w:t>
            </w:r>
          </w:p>
        </w:tc>
        <w:tc>
          <w:tcPr>
            <w:tcW w:w="45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Corporate headquarters and NSBF lending operations</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0" w:type="dxa"/>
            <w:vAlign w:val="bottom"/>
          </w:tcPr>
          <w:p>
            <w:pPr>
              <w:spacing w:after="0"/>
              <w:rPr>
                <w:sz w:val="1"/>
                <w:szCs w:val="1"/>
                <w:color w:val="auto"/>
              </w:rPr>
            </w:pPr>
          </w:p>
        </w:tc>
      </w:tr>
      <w:tr>
        <w:trPr>
          <w:trHeight w:val="116"/>
        </w:trPr>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Boca Raton, FL 33431</w:t>
            </w:r>
          </w:p>
        </w:tc>
        <w:tc>
          <w:tcPr>
            <w:tcW w:w="1540" w:type="dxa"/>
            <w:vAlign w:val="bottom"/>
            <w:gridSpan w:val="2"/>
            <w:vMerge w:val="continue"/>
            <w:shd w:val="clear" w:color="auto" w:fill="CCEEFF"/>
          </w:tcPr>
          <w:p>
            <w:pPr>
              <w:spacing w:after="0"/>
              <w:rPr>
                <w:sz w:val="10"/>
                <w:szCs w:val="10"/>
                <w:color w:val="auto"/>
              </w:rPr>
            </w:pPr>
          </w:p>
        </w:tc>
        <w:tc>
          <w:tcPr>
            <w:tcW w:w="4560" w:type="dxa"/>
            <w:vAlign w:val="bottom"/>
            <w:gridSpan w:val="2"/>
            <w:vMerge w:val="continue"/>
            <w:shd w:val="clear" w:color="auto" w:fill="CCEEFF"/>
          </w:tcPr>
          <w:p>
            <w:pPr>
              <w:spacing w:after="0"/>
              <w:rPr>
                <w:sz w:val="10"/>
                <w:szCs w:val="10"/>
                <w:color w:val="auto"/>
              </w:rPr>
            </w:pPr>
          </w:p>
        </w:tc>
        <w:tc>
          <w:tcPr>
            <w:tcW w:w="14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80" w:type="dxa"/>
            <w:vAlign w:val="bottom"/>
            <w:gridSpan w:val="2"/>
            <w:vMerge w:val="continue"/>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6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1981 Marcus Avenue</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April 2027</w:t>
            </w:r>
          </w:p>
        </w:tc>
        <w:tc>
          <w:tcPr>
            <w:tcW w:w="45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Lending operations, corporate operations, NY Capco offices and subsidiaries’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44,800</w:t>
            </w:r>
          </w:p>
        </w:tc>
        <w:tc>
          <w:tcPr>
            <w:tcW w:w="0" w:type="dxa"/>
            <w:vAlign w:val="bottom"/>
          </w:tcPr>
          <w:p>
            <w:pPr>
              <w:spacing w:after="0"/>
              <w:rPr>
                <w:sz w:val="1"/>
                <w:szCs w:val="1"/>
                <w:color w:val="auto"/>
              </w:rPr>
            </w:pPr>
          </w:p>
        </w:tc>
      </w:tr>
      <w:tr>
        <w:trPr>
          <w:trHeight w:val="116"/>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Lake Success, NY 11042</w:t>
            </w:r>
          </w:p>
        </w:tc>
        <w:tc>
          <w:tcPr>
            <w:tcW w:w="1540" w:type="dxa"/>
            <w:vAlign w:val="bottom"/>
            <w:gridSpan w:val="2"/>
            <w:vMerge w:val="continue"/>
          </w:tcPr>
          <w:p>
            <w:pPr>
              <w:spacing w:after="0"/>
              <w:rPr>
                <w:sz w:val="10"/>
                <w:szCs w:val="10"/>
                <w:color w:val="auto"/>
              </w:rPr>
            </w:pPr>
          </w:p>
        </w:tc>
        <w:tc>
          <w:tcPr>
            <w:tcW w:w="4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offices</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68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56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36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14 East Washington Street</w:t>
            </w:r>
          </w:p>
        </w:tc>
        <w:tc>
          <w:tcPr>
            <w:tcW w:w="1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Month to Month</w:t>
            </w:r>
          </w:p>
        </w:tc>
        <w:tc>
          <w:tcPr>
            <w:tcW w:w="4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Lending operations</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16"/>
        </w:trPr>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Orlando, FL 32801</w:t>
            </w:r>
          </w:p>
        </w:tc>
        <w:tc>
          <w:tcPr>
            <w:tcW w:w="1540" w:type="dxa"/>
            <w:vAlign w:val="bottom"/>
            <w:gridSpan w:val="2"/>
            <w:vMerge w:val="continue"/>
            <w:shd w:val="clear" w:color="auto" w:fill="CCEEFF"/>
          </w:tcPr>
          <w:p>
            <w:pPr>
              <w:spacing w:after="0"/>
              <w:rPr>
                <w:sz w:val="10"/>
                <w:szCs w:val="10"/>
                <w:color w:val="auto"/>
              </w:rPr>
            </w:pPr>
          </w:p>
        </w:tc>
        <w:tc>
          <w:tcPr>
            <w:tcW w:w="4560" w:type="dxa"/>
            <w:vAlign w:val="bottom"/>
            <w:gridSpan w:val="2"/>
            <w:vMerge w:val="continue"/>
            <w:shd w:val="clear" w:color="auto" w:fill="CCEEFF"/>
          </w:tcPr>
          <w:p>
            <w:pPr>
              <w:spacing w:after="0"/>
              <w:rPr>
                <w:sz w:val="10"/>
                <w:szCs w:val="10"/>
                <w:color w:val="auto"/>
              </w:rPr>
            </w:pPr>
          </w:p>
        </w:tc>
        <w:tc>
          <w:tcPr>
            <w:tcW w:w="14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80" w:type="dxa"/>
            <w:vAlign w:val="bottom"/>
            <w:gridSpan w:val="2"/>
            <w:vMerge w:val="continue"/>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6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1111 Brickell Avenue, Suite 135</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February 2027</w:t>
            </w:r>
          </w:p>
        </w:tc>
        <w:tc>
          <w:tcPr>
            <w:tcW w:w="4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Main office Newtek Bank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16"/>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Miami, Florida 33131</w:t>
            </w:r>
          </w:p>
        </w:tc>
        <w:tc>
          <w:tcPr>
            <w:tcW w:w="1540" w:type="dxa"/>
            <w:vAlign w:val="bottom"/>
            <w:gridSpan w:val="2"/>
            <w:vMerge w:val="continue"/>
          </w:tcPr>
          <w:p>
            <w:pPr>
              <w:spacing w:after="0"/>
              <w:rPr>
                <w:sz w:val="10"/>
                <w:szCs w:val="10"/>
                <w:color w:val="auto"/>
              </w:rPr>
            </w:pPr>
          </w:p>
        </w:tc>
        <w:tc>
          <w:tcPr>
            <w:tcW w:w="456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Refer to “NOTE 14—COMMITMENTS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December 31, 2023, the Company had accrued an immaterial reserve that we believe is appropriate to cover potential settlements.</w:t>
      </w:r>
    </w:p>
    <w:p>
      <w:pPr>
        <w:spacing w:after="0" w:line="16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THE REGISTRANT'S COMMON EQUITY AND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Nasdaq Global Market under the symbol “NEWT.” The last reported price for our common stock on March 28, 2024 was $11.00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28, 2024, there were approximately 89 holders of record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2"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We have issued shares of common stock that are not subject to the registration requirements of the Securities Act in connection with the DRIP. During the year ended December 31, 2023 and December 31, 2022, we issued 15,700 and 95,300 shares of common stock, respectively, valued at $0.2 million and $1.6 million, respectively, to shareholders in connection with the DRIP. On December 8, 2023, the Company terminated the DRIP.</w:t>
      </w:r>
    </w:p>
    <w:p>
      <w:pPr>
        <w:spacing w:after="0" w:line="15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also issue shares of common stock that are not subject to the registration requirements of the Securities Act in connection with dividends on unvested restricted stock awards. During the years ended December 31, 2023 and December 31, 2022 we issued an additional 18,700 and 35,500 shares, respectively, valued at $0.3 million and $0.6 million, respectively, related to dividends on unvested restricted stock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declared common dividends of $0.18 per share for the first, second, third and fourth quarters of 2023. The Company’s ability to continue to pay common stock dividends is subject to, among other things, Board approval and limitations on capital distributions in the event of a breach of any regulatory capital buffers, with the degree of such restrictions based on the extent to which the buffers are breached.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 offer no assurance that we will achieve results that will permit the payment of any cash distributions. See “Item 1. Business.”</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Prior to our 2023 taxable year, when the Company operated as a RIC, we were required to timely distribute to our shareholders, in respect of each taxable year, dividends for U.S. federal income tax purposes of an amount generally at least equal to the Annual Distribution Requirement. Upon satisfying this requirement in respect of a taxable year, we generally were not subject to U.S. federal income taxes at corporate rates on any income we distributed to our shareholders as dividends for U.S. federal income tax purposes.</w:t>
      </w: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8"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dividend declarations and distributions from January 1, 2019 through December 31, 2022, after which the Company no longer operates as a RIC:</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Distribution Declared</w:t>
            </w:r>
          </w:p>
        </w:tc>
        <w:tc>
          <w:tcPr>
            <w:tcW w:w="540" w:type="dxa"/>
            <w:vAlign w:val="bottom"/>
          </w:tcPr>
          <w:p>
            <w:pPr>
              <w:spacing w:after="0"/>
              <w:rPr>
                <w:sz w:val="13"/>
                <w:szCs w:val="13"/>
                <w:color w:val="auto"/>
              </w:rPr>
            </w:pPr>
          </w:p>
        </w:tc>
      </w:tr>
      <w:tr>
        <w:trPr>
          <w:trHeight w:val="180"/>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15, 2019</w:t>
            </w:r>
          </w:p>
        </w:tc>
        <w:tc>
          <w:tcPr>
            <w:tcW w:w="100" w:type="dxa"/>
            <w:vAlign w:val="bottom"/>
            <w:tcBorders>
              <w:top w:val="single" w:sz="8" w:color="CCEEFF"/>
            </w:tcBorders>
            <w:shd w:val="clear" w:color="auto" w:fill="CCEEFF"/>
          </w:tcPr>
          <w:p>
            <w:pPr>
              <w:spacing w:after="0"/>
              <w:rPr>
                <w:sz w:val="15"/>
                <w:szCs w:val="15"/>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29, 2019</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14, 2019</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28, 2019</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2019</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2019</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16, 2019</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30, 2019</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18, 2020</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15, 2020</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31, 2020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21, 2020</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18, 2020</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30, 2020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22, 2021</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2021</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15, 2021</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2021</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2021</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 2021</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30, 2021</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21, 2022</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2022</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20, 2022</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2022</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r>
      <w:tr>
        <w:trPr>
          <w:trHeight w:val="18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 2022</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30, 2022</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stock-based compensation plan as discussed in NOTE 15—STOCK BASED COMPENSATION. Securities authorized for issuance under equity compensation plans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w:t>
      </w:r>
    </w:p>
    <w:tbl>
      <w:tblPr>
        <w:tblLayout w:type="fixed"/>
        <w:tblInd w:w="0" w:type="dxa"/>
        <w:tblCellMar>
          <w:top w:w="0" w:type="dxa"/>
          <w:left w:w="0" w:type="dxa"/>
          <w:bottom w:w="0" w:type="dxa"/>
          <w:right w:w="0" w:type="dxa"/>
        </w:tblCellMar>
      </w:tblPr>
      <w:tr>
        <w:trPr>
          <w:trHeight w:val="116"/>
        </w:trPr>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w:t>
            </w: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(b)</w:t>
            </w:r>
          </w:p>
        </w:tc>
        <w:tc>
          <w:tcPr>
            <w:tcW w:w="23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 remaining available for</w:t>
            </w: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Number of securities to be issued upon</w:t>
            </w:r>
          </w:p>
        </w:tc>
        <w:tc>
          <w:tcPr>
            <w:tcW w:w="2380" w:type="dxa"/>
            <w:vAlign w:val="bottom"/>
            <w:gridSpan w:val="2"/>
            <w:vMerge w:val="continue"/>
          </w:tcPr>
          <w:p>
            <w:pPr>
              <w:spacing w:after="0"/>
              <w:rPr>
                <w:sz w:val="9"/>
                <w:szCs w:val="9"/>
                <w:color w:val="auto"/>
              </w:rPr>
            </w:pPr>
          </w:p>
        </w:tc>
        <w:tc>
          <w:tcPr>
            <w:tcW w:w="234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future issuance under equity compensation</w:t>
            </w:r>
          </w:p>
        </w:tc>
        <w:tc>
          <w:tcPr>
            <w:tcW w:w="0" w:type="dxa"/>
            <w:vAlign w:val="bottom"/>
          </w:tcPr>
          <w:p>
            <w:pPr>
              <w:spacing w:after="0"/>
              <w:rPr>
                <w:sz w:val="1"/>
                <w:szCs w:val="1"/>
                <w:color w:val="auto"/>
              </w:rPr>
            </w:pPr>
          </w:p>
        </w:tc>
      </w:tr>
      <w:tr>
        <w:trPr>
          <w:trHeight w:val="117"/>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2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exercise of outstanding options, warrants and</w:t>
            </w:r>
          </w:p>
        </w:tc>
        <w:tc>
          <w:tcPr>
            <w:tcW w:w="2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exercise price of</w:t>
            </w:r>
          </w:p>
        </w:tc>
        <w:tc>
          <w:tcPr>
            <w:tcW w:w="234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plans (excluding securities reflected in column</w:t>
            </w:r>
          </w:p>
        </w:tc>
        <w:tc>
          <w:tcPr>
            <w:tcW w:w="0" w:type="dxa"/>
            <w:vAlign w:val="bottom"/>
          </w:tcPr>
          <w:p>
            <w:pPr>
              <w:spacing w:after="0"/>
              <w:rPr>
                <w:sz w:val="1"/>
                <w:szCs w:val="1"/>
                <w:color w:val="auto"/>
              </w:rPr>
            </w:pPr>
          </w:p>
        </w:tc>
      </w:tr>
      <w:tr>
        <w:trPr>
          <w:trHeight w:val="155"/>
        </w:trPr>
        <w:tc>
          <w:tcPr>
            <w:tcW w:w="4180" w:type="dxa"/>
            <w:vAlign w:val="bottom"/>
            <w:gridSpan w:val="2"/>
            <w:vMerge w:val="continue"/>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rights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outstanding options, warrants and rights</w:t>
            </w:r>
          </w:p>
        </w:tc>
        <w:tc>
          <w:tcPr>
            <w:tcW w:w="23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(a))</w:t>
            </w:r>
          </w:p>
        </w:tc>
        <w:tc>
          <w:tcPr>
            <w:tcW w:w="0" w:type="dxa"/>
            <w:vAlign w:val="bottom"/>
          </w:tcPr>
          <w:p>
            <w:pPr>
              <w:spacing w:after="0"/>
              <w:rPr>
                <w:sz w:val="1"/>
                <w:szCs w:val="1"/>
                <w:color w:val="auto"/>
              </w:rPr>
            </w:pPr>
          </w:p>
        </w:tc>
      </w:tr>
      <w:tr>
        <w:trPr>
          <w:trHeight w:val="27"/>
        </w:trPr>
        <w:tc>
          <w:tcPr>
            <w:tcW w:w="4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None</w:t>
            </w: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None</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2,257,528 shares</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None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None</w:t>
            </w:r>
          </w:p>
        </w:tc>
        <w:tc>
          <w:tcPr>
            <w:tcW w:w="2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679"/>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jc w:val="right"/>
              <w:ind w:right="677"/>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return on our common stock with that of the Standard &amp; Poor’s 500 Stock Index, the NASDAQ Composite Index, the Russell 2000, and S&amp;P Small Cap 600 for the period from December 31, 2018 through December 31, 2023. The graph assumes that, on January 1, 2019, a person invested $100 in each of our common stock, the Nasdaq Composite, S&amp;P 500 Index, Russell 2000 and S&amp;P Small Cap 600. The graph measures total shareholder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-8890</wp:posOffset>
            </wp:positionV>
            <wp:extent cx="4594860" cy="40424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9486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Bloomberg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Certain Cautionary Statements</w:t>
      </w:r>
    </w:p>
    <w:p>
      <w:pPr>
        <w:spacing w:after="0" w:line="179"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is intended to assist in the understanding and assessment of significant changes and trends related to the results of operations and financial position of the Company together with its subsidiaries. This discussion and analysis should be read in conjunction with the consolidated financial statements and the accompanying notes as well as Item 1 - Business.</w:t>
      </w:r>
    </w:p>
    <w:p>
      <w:pPr>
        <w:spacing w:after="0" w:line="13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statements in this Annual Report may contain forward-looking statements relating to such matters as anticipated future financial performance, business prospects, legislative developments and similar matters. We note that a variety of factors could cause our actual results to differ materially from the anticipated results expressed in the forward-looking statements such as intensified competition and/or operating problems in our operating business projects and their impact on revenues and profit margins or additional factors as described under “Risk Factors”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As of January 6, 2023, we are a financial holding company that, together with our consolidated subsidiaries, provides a wide range of business and financial solutions under the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to the independent business owner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In connection with the completion of the Acquisition, we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will no longer qualify for accounting treatment as an investment company. As a result, in addition to Newtek Bank and its consolidated subsidiary SBL, the following former portfolio companies and subsidiaries are now consolidated non-bank subsidiaries in our financial statements: NSBF; NMS; Mobil Money; NBC; PMT; NIA; TAM; Holdco 6; NCL; NTS and POS. In addition, as a result of commitments made to the Federal Reserve, we will divest or otherwise terminate the activities conducted by NTS, which includes SIDCO and EWS after a December 31, 2023 merger, within two years of becoming a financial holding company, subject to any extension of the two-year period. See “Item 1A. Risk Factors – Risks Related to Operating as a Financial Holding Company – We are subject to extensive regulation and supervision as a financial holding company, which may adversely affect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has begun to wind-down its operations and NSBF’s SBA 7(a) pipeline of new loans was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its total assets (less total liabilities other than indebtedness represented by senior securities) to its total indebtedness represented by senior securities plus preferred stock, if any, was at least 150%. As of December 31 2022, our asset coverage was 169%. Although we are no longer regulated as a BDC, certain covenants in our outstanding 2024 and 2026 Notes require us to maintain an asset coverage of at least 150% as long as the 2024 and 2026 Notes are outstanding. See “Item 1A. Risk Factors – Risks Related to Our Notes – We are subject to 150% asset coverage requirements due to covenants contained in the indentures under which the 2024 and 2026 Notes were issued”.</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w:t>
      </w:r>
    </w:p>
    <w:p>
      <w:pPr>
        <w:spacing w:after="0" w:line="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no longer qualify as a RIC for U.S. federal income tax purposes and will file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w:t>
      </w:r>
    </w:p>
    <w:p>
      <w:pPr>
        <w:spacing w:after="0" w:line="1" w:lineRule="exact"/>
        <w:rPr>
          <w:sz w:val="20"/>
          <w:szCs w:val="20"/>
          <w:color w:val="auto"/>
        </w:rPr>
      </w:pPr>
    </w:p>
    <w:p>
      <w:pPr>
        <w:ind w:right="60" w:firstLine="5"/>
        <w:spacing w:after="0" w:line="256" w:lineRule="auto"/>
        <w:tabs>
          <w:tab w:leader="none" w:pos="2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1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From 2012 through December 31, 2022, NSBF, a wholly-owned subsidiary, was consistently the largest non-bank SBA 7(a) lender in the U.S. based on dollar volume of loan approvals, and, as of December 31, 2022, was the third largest SBA 7(a) lender in the United States. When combining Newtek Bank and NSBF, the Company ranked as the third largest SBA 7(a) lender based on dollar volume of loans approved as of September 30, 2023, which is the SBA's fiscal year.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NSBF is in the process of winding down its operations and in April 2023 transitioned SBA 7(a) loan originations to Newtek Bank. NSBF will continue to own the 7(a) Loans and PPP Loans in its SBA loan portfolio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maturity, liquidation, charge-off or (subject to SBA’s prior written approval) sale or transfer pursuant to the Wind-down Agreement and as described further above.</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Additionally, we and our subsidiaries have historically provided a wide range of business and financial solutions to independent business owner relationships, including Business Lending, which includes SBA 7(a) loans, SBA 504 loans and our alternative lending program loans (formerly referred to as nonconforming conventional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independent business owner relationships nationwide across all industries. We support the operations of our subsidiaries by providing access to our proprietary and patented technology platform, including NewTracker®, our patented prospect management software. We have historically defined SMBs as companies having revenues of $1 million to $100 million, and we have generally estimated the SMB market to be over 33 million businesses in the United States. We have historically made loans and provided business and financial solutions to the SMB market through NSBF and our controlled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80" w:name="page81"/>
    <w:bookmarkEnd w:id="80"/>
    <w:p>
      <w:pPr>
        <w:spacing w:after="0" w:line="264" w:lineRule="auto"/>
        <w:rPr>
          <w:sz w:val="20"/>
          <w:szCs w:val="20"/>
          <w:color w:val="auto"/>
        </w:rPr>
      </w:pPr>
      <w:r>
        <w:rPr>
          <w:rFonts w:ascii="Times New Roman" w:cs="Times New Roman" w:eastAsia="Times New Roman" w:hAnsi="Times New Roman"/>
          <w:sz w:val="14"/>
          <w:szCs w:val="14"/>
          <w:color w:val="auto"/>
        </w:rPr>
        <w:t>portfolio companies (now subsidiaries). In addition, the Company has begun to rollout the Newtek Advantage®, the One Dashboard for All of Your Business Needs®, which provides independent business owners with instant access to a team of NewtekOne business and financial solutions experts in the areas of Business Lending, Electronic Payment Processing, Managed Technology Solutions, personal and commercial lines Insurance Services and Payroll and Benefits Solutions. Moreover, we believe that the Newtek Advantage can provide our independent business owner clients with analytics on their businesses, as well as transactional capabilities that other organizations do not presently offer.</w:t>
      </w:r>
    </w:p>
    <w:p>
      <w:pPr>
        <w:spacing w:after="0" w:line="193"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Operating as a Financial Holding Company – We have a limited operating history as a financial holding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and NSBF will be able to maintain their SBA 7(a) lending licenses” and “Item 1A. Risk Factors - Risks Related to SBA Lending - A governmental failure to fund the SBA could adversely affect NSBF’s and Newtek Bank’s SBA 7(a) loan originations and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have observed and continue to observe supply chain interruptions, significant labor and resource shortages, commodity inflation, rising interest rates, unrelated bank failures and declines in depositor confidence in certain types of depository institutions. Additionally geopolitical events, such as trade disruptions, the ongoing war between Russia and Ukraine, the Israel conflict with Hamas, rising tensions in Asia, and elements of economic and financial market instability in the United States, the United Kingdom, the European Union and China have led to increased economic uncertainty.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in which our customers operate and to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our current and prospective borrowers will not be negatively impacted by economic conditions, which could have a negative impact on our future results.</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In addition, concerns have arisen with respect to the financial condition of a number of banking organizations in the United States, in particular those with exposure to certain types of depositors, large portfolios of investment securities and exposures to commercial real estate. On March 10, 2023 Silicon Valley Bank was closed by the California Department of Financial Protection and Innovation and the Federal Deposit Insurance Corporation was appointed receiver of Silicon Valley Bank. On March 11, 2023, Signature Bank was similarly closed and placed into receivership and concurrently the Federal Reserve Board announced it will make available additional funding to eligible depository institutions to assist eligible banking organizations with potential liquidity needs. Subsequently, First Republic Bank entered FDIC receivership and its assets were sold to JPMorgan Chase Bank, N.A. While the Company’s business, balance sheet and depositor profile differ substantially from banking institutions that are the focus of the greatest scrutiny, the operating environment and public trading prices of financial services sector securities can be highly correlated, in particular in times of stress, which may adversely affect the trading price of the Company’s common stock and potentially its results of operations.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the fiscal year ended December 31, 2023, we generated income in the form of interest, net gains on sale of the guaranteed portions of SBA 7(a) loans originated,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81" w:name="page82"/>
    <w:bookmarkEnd w:id="81"/>
    <w:p>
      <w:pPr>
        <w:ind w:right="80"/>
        <w:spacing w:after="0" w:line="261" w:lineRule="auto"/>
        <w:rPr>
          <w:sz w:val="20"/>
          <w:szCs w:val="20"/>
          <w:color w:val="auto"/>
        </w:rPr>
      </w:pPr>
      <w:r>
        <w:rPr>
          <w:rFonts w:ascii="Times New Roman" w:cs="Times New Roman" w:eastAsia="Times New Roman" w:hAnsi="Times New Roman"/>
          <w:sz w:val="14"/>
          <w:szCs w:val="14"/>
          <w:color w:val="auto"/>
        </w:rPr>
        <w:t>prior to their scheduled maturity date. The frequency or volume of these repayments fluctuated significantly from period to period. Our portfolio activity for the fiscal year ended December 31, 2023 also reflects the proceeds of sales of guaranteed portions of SBA 7(a) loans we originated. In addition, we received servicing income related to the guaranteed portions of SBA 7(a) loans which we originated and sold into the secondary market.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the net proceeds from the disposition and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in the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4"/>
          <w:szCs w:val="14"/>
          <w:color w:val="auto"/>
        </w:rPr>
        <w:t>For the fiscal year ended December 31, 2023, our primary operating expenses were salaries and benefits, interest expense including interest on deposits, electronic payment processing expense, technology services expenses, origination and servicing and other general and administrative costs, such as professional fees, marketing, referral fees, servicing costs and 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(Non-Conforming Conventional Commercial Loan Program)</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NCL JV: In 2019, we launched a 50/50 joint venture, NCL JV, between NCL, a wholly-owned subsidiary of Newtek, and Conventional Lending TCP Holding, LLC, a wholly-owned, indirect subsidiary of BlackRock TCP Capital Corp. (Nasdaq:TCPC). NCL JV provided non-conforming conventional commercial and industrial term loans to U.S. middle-market companies and small businesses. NCL JV ceased funding new loans during 2020. On January 28, 2022, NCL JV closed a conventional commercial loan securitization with the sale of $56.3 million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December 31, 2023.</w:t>
      </w:r>
    </w:p>
    <w:p>
      <w:pPr>
        <w:spacing w:after="0" w:line="1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in non-conforming conventional commercial and industrial term loans made to middle-market companies as well as small businesses. Refer to NOTE 4—INVESTMENTS for selected financial information and a schedule of investments of TSO JV as of December 31, 2023.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 for the years ended December 31, 2023 and 2022</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Set forth below is a comparison of the results of operations for the years ended December 31, 2023 and 2022, during which years the Company operated as both a financial holding company and a BDC. For a comparison of the results of operations for the years ended December 31, 2022 and 2021, see the Company's Form 10-K for the year ended December 31, 2022, as filed with the SEC on March 15,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December 31, 2023 vs. December 31, 2022</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changes in the financial statement line items from December 31, 2022 to December 31, 2023 are impacted by the Company’s transition to a financial holding company. Controlled investments have been removed from the balance sheet and replaced with the consolidated assets, liabilities and profits and losses of the former portfolio companies, as well as the addition of Newtek Bank subsequent to the January 6, 2023 acquisition of NBNYC.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at December 31, 2023 were $1.4 billion, an increase of $430.6 million, or 43.1%, compared to total assets of $1.0 billion at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2"/>
        </w:trPr>
        <w:tc>
          <w:tcPr>
            <w:tcW w:w="6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7"/>
                <w:szCs w:val="17"/>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6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99,696</w:t>
            </w:r>
          </w:p>
        </w:tc>
      </w:tr>
      <w:tr>
        <w:trPr>
          <w:trHeight w:val="180"/>
        </w:trPr>
        <w:tc>
          <w:tcPr>
            <w:tcW w:w="6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r>
      <w:tr>
        <w:trPr>
          <w:trHeight w:val="180"/>
        </w:trPr>
        <w:tc>
          <w:tcPr>
            <w:tcW w:w="6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(35,467)</w:t>
            </w:r>
          </w:p>
        </w:tc>
      </w:tr>
      <w:tr>
        <w:trPr>
          <w:trHeight w:val="180"/>
        </w:trPr>
        <w:tc>
          <w:tcPr>
            <w:tcW w:w="6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r>
      <w:tr>
        <w:trPr>
          <w:trHeight w:val="18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171"/>
        </w:trPr>
        <w:tc>
          <w:tcPr>
            <w:tcW w:w="6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323,731</w:t>
            </w:r>
          </w:p>
        </w:tc>
      </w:tr>
      <w:tr>
        <w:trPr>
          <w:trHeight w:val="171"/>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969,006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524,439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444,567</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Loans held for sale, at fair value increased $99.7 million during the year ended December 31, 2023, while loans held for sale, at LCM increased $56.6 million during the same period. The overall increase was primarily the result of the consolidation of entities that were previously controlled portfolio companies that hold loans, as well as new loan originations, during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held for investment, at fair value was $469.8 million at December 31, 2023 compared to $505.3 million at December 31, 2022. The balance consists primarily of SBA 7(a) loans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well as $7.1 million of loans that the Company owns 100% as a result of originating the loan and subsequently repurchasing the guaranteed portion from the SBA. As discussed above, as of January 6, 2023, the Company operates as a financial holding company. Prior to that, we operated as a BDC. As a result of the required accounting methodology changes, we prospectively adjusted the treatment of certain loans originated by NSBF between the held for investment and held for sale categories, resulting in the decrease from December 31, 2022 to December 31, 2023.</w:t>
      </w:r>
    </w:p>
    <w:p>
      <w:pPr>
        <w:spacing w:after="0" w:line="159"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held for investment, at amortized cost consists of Newtek Bank loans acquired as part of the Acquisition as well as new originations in 2023, which contributed to a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of $336.3 million in loans.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The following table presents an analysis of loans held for investment with credit metrics, including a breakdown by days aged: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240" w:type="dxa"/>
            <w:vAlign w:val="bottom"/>
          </w:tcPr>
          <w:p>
            <w:pPr>
              <w:spacing w:after="0"/>
              <w:rPr>
                <w:sz w:val="16"/>
                <w:szCs w:val="16"/>
                <w:color w:val="auto"/>
              </w:rPr>
            </w:pP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71"/>
        </w:trPr>
        <w:tc>
          <w:tcPr>
            <w:tcW w:w="30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326,036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274,930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213,938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163,487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98.0 %</w:t>
            </w:r>
          </w:p>
        </w:tc>
        <w:tc>
          <w:tcPr>
            <w:tcW w:w="80" w:type="dxa"/>
            <w:vAlign w:val="bottom"/>
          </w:tcPr>
          <w:p>
            <w:pPr>
              <w:spacing w:after="0"/>
              <w:rPr>
                <w:sz w:val="15"/>
                <w:szCs w:val="15"/>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24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4,896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1,401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1,271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5,373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5,256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3,350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3,350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5"/>
                <w:szCs w:val="15"/>
                <w:color w:val="auto"/>
              </w:rPr>
            </w:pPr>
          </w:p>
        </w:tc>
      </w:tr>
      <w:tr>
        <w:trPr>
          <w:trHeight w:val="171"/>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4"/>
                <w:szCs w:val="14"/>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336,305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281,587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218,559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166,837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(12,574)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(8,209)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(4,764)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(2,189)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5"/>
                <w:szCs w:val="15"/>
                <w:color w:val="auto"/>
              </w:rPr>
            </w:pPr>
          </w:p>
        </w:tc>
      </w:tr>
      <w:tr>
        <w:trPr>
          <w:trHeight w:val="212"/>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385,172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81.9 %</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420,673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448,788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87.6 %</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450,846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84.6 %</w:t>
            </w:r>
          </w:p>
        </w:tc>
        <w:tc>
          <w:tcPr>
            <w:tcW w:w="80" w:type="dxa"/>
            <w:vAlign w:val="bottom"/>
          </w:tcPr>
          <w:p>
            <w:pPr>
              <w:spacing w:after="0"/>
              <w:rPr>
                <w:sz w:val="15"/>
                <w:szCs w:val="15"/>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36,455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29,743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24,530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42,197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80" w:type="dxa"/>
            <w:vAlign w:val="bottom"/>
          </w:tcPr>
          <w:p>
            <w:pPr>
              <w:spacing w:after="0"/>
              <w:rPr>
                <w:sz w:val="15"/>
                <w:szCs w:val="15"/>
                <w:color w:val="auto"/>
              </w:rPr>
            </w:pPr>
          </w:p>
        </w:tc>
      </w:tr>
      <w:tr>
        <w:trPr>
          <w:trHeight w:val="18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48,174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42,571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39,100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39,745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5"/>
                <w:szCs w:val="15"/>
                <w:color w:val="auto"/>
              </w:rPr>
            </w:pPr>
          </w:p>
        </w:tc>
      </w:tr>
      <w:tr>
        <w:trPr>
          <w:trHeight w:val="171"/>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469,801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492,987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512,418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532,788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r>
      <w:tr>
        <w:trPr>
          <w:trHeight w:val="138"/>
        </w:trPr>
        <w:tc>
          <w:tcPr>
            <w:tcW w:w="3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Past due and nonaccrual loans as % of</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UPB</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84,629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75.2 %</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72,314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76.0 %</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63,630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81,942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80" w:type="dxa"/>
            <w:vAlign w:val="bottom"/>
          </w:tcPr>
          <w:p>
            <w:pPr>
              <w:spacing w:after="0"/>
              <w:rPr>
                <w:sz w:val="16"/>
                <w:szCs w:val="16"/>
                <w:color w:val="auto"/>
              </w:rPr>
            </w:pPr>
          </w:p>
        </w:tc>
      </w:tr>
      <w:tr>
        <w:trPr>
          <w:trHeight w:val="212"/>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38"/>
        </w:trPr>
        <w:tc>
          <w:tcPr>
            <w:tcW w:w="3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5,373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5,256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3,350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5"/>
                <w:szCs w:val="15"/>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24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48,174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42,571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39,100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39,745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5"/>
                <w:szCs w:val="15"/>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1,110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2,828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3,612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3,516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5"/>
                <w:szCs w:val="15"/>
                <w:color w:val="auto"/>
              </w:rPr>
            </w:pPr>
          </w:p>
        </w:tc>
      </w:tr>
      <w:tr>
        <w:trPr>
          <w:trHeight w:val="171"/>
        </w:trPr>
        <w:tc>
          <w:tcPr>
            <w:tcW w:w="3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54,657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4"/>
                <w:szCs w:val="14"/>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50,655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46,062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46,611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Pr>
          <w:p>
            <w:pPr>
              <w:spacing w:after="0"/>
              <w:rPr>
                <w:sz w:val="14"/>
                <w:szCs w:val="14"/>
                <w:color w:val="auto"/>
              </w:rPr>
            </w:pPr>
          </w:p>
        </w:tc>
      </w:tr>
      <w:tr>
        <w:trPr>
          <w:trHeight w:val="212"/>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Statistics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3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All Loans HFI 90 days past due still accruing</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r>
      <w:tr>
        <w:trPr>
          <w:trHeight w:val="679"/>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3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real estate exposure</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Company’s loan portfolio consists of loans to SMBs. The Company’s Loans HFI at amortized cost and Loans HFS at LCM include a total of $194.0 million of loans backed by commercial real estate (CRE) and considered non-owner occupied as of December 31, 2023. The average loan-to-value for this CRE portfolio was 60.8%. The table below presents a detail of the loans considered non-owner occupied CRE that are not carried at fair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46"/>
        </w:trPr>
        <w:tc>
          <w:tcPr>
            <w:tcW w:w="3800" w:type="dxa"/>
            <w:vAlign w:val="bottom"/>
            <w:shd w:val="clear" w:color="auto" w:fill="CCEEFF"/>
          </w:tcPr>
          <w:p>
            <w:pPr>
              <w:spacing w:after="0"/>
              <w:rPr>
                <w:sz w:val="12"/>
                <w:szCs w:val="12"/>
                <w:color w:val="auto"/>
              </w:rPr>
            </w:pPr>
          </w:p>
        </w:tc>
        <w:tc>
          <w:tcPr>
            <w:tcW w:w="2600" w:type="dxa"/>
            <w:vAlign w:val="bottom"/>
            <w:gridSpan w:val="3"/>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HFI at Amortized Cost, net of deferred fees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589"/>
              <w:spacing w:after="0" w:line="146" w:lineRule="exact"/>
              <w:rPr>
                <w:sz w:val="20"/>
                <w:szCs w:val="20"/>
                <w:color w:val="auto"/>
              </w:rPr>
            </w:pPr>
            <w:r>
              <w:rPr>
                <w:rFonts w:ascii="Times New Roman" w:cs="Times New Roman" w:eastAsia="Times New Roman" w:hAnsi="Times New Roman"/>
                <w:sz w:val="14"/>
                <w:szCs w:val="14"/>
                <w:color w:val="auto"/>
              </w:rPr>
              <w:t>LTV</w:t>
            </w:r>
          </w:p>
        </w:tc>
      </w:tr>
      <w:tr>
        <w:trPr>
          <w:trHeight w:val="206"/>
        </w:trPr>
        <w:tc>
          <w:tcPr>
            <w:tcW w:w="38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and costs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HFS at LCM</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by CRE Type</w:t>
            </w:r>
          </w:p>
        </w:tc>
      </w:tr>
      <w:tr>
        <w:trPr>
          <w:trHeight w:val="18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not backed by CRE</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backed by CRE</w:t>
            </w:r>
          </w:p>
        </w:tc>
        <w:tc>
          <w:tcPr>
            <w:tcW w:w="5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83"/>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loans</w:t>
            </w:r>
          </w:p>
        </w:tc>
        <w:tc>
          <w:tcPr>
            <w:tcW w:w="5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392,912</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0"/>
        </w:trPr>
        <w:tc>
          <w:tcPr>
            <w:tcW w:w="3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backed by CRE by type:</w:t>
            </w:r>
          </w:p>
        </w:tc>
        <w:tc>
          <w:tcPr>
            <w:tcW w:w="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Retail</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r>
      <w:tr>
        <w:trPr>
          <w:trHeight w:val="193"/>
        </w:trPr>
        <w:tc>
          <w:tcPr>
            <w:tcW w:w="3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w:t>
            </w:r>
          </w:p>
        </w:tc>
        <w:tc>
          <w:tcPr>
            <w:tcW w:w="5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57.6 %</w:t>
            </w:r>
          </w:p>
        </w:tc>
      </w:tr>
      <w:tr>
        <w:trPr>
          <w:trHeight w:val="21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Multifamily</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r>
      <w:tr>
        <w:trPr>
          <w:trHeight w:val="193"/>
        </w:trPr>
        <w:tc>
          <w:tcPr>
            <w:tcW w:w="3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Industrial</w:t>
            </w:r>
          </w:p>
        </w:tc>
        <w:tc>
          <w:tcPr>
            <w:tcW w:w="5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47.3 %</w:t>
            </w:r>
          </w:p>
        </w:tc>
      </w:tr>
      <w:tr>
        <w:trPr>
          <w:trHeight w:val="21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Office</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r>
      <w:tr>
        <w:trPr>
          <w:trHeight w:val="202"/>
        </w:trPr>
        <w:tc>
          <w:tcPr>
            <w:tcW w:w="3800" w:type="dxa"/>
            <w:vAlign w:val="bottom"/>
          </w:tcPr>
          <w:p>
            <w:pPr>
              <w:ind w:left="180"/>
              <w:spacing w:after="0" w:line="201" w:lineRule="exact"/>
              <w:rPr>
                <w:sz w:val="20"/>
                <w:szCs w:val="20"/>
                <w:color w:val="auto"/>
              </w:rPr>
            </w:pPr>
            <w:r>
              <w:rPr>
                <w:rFonts w:ascii="Times New Roman" w:cs="Times New Roman" w:eastAsia="Times New Roman" w:hAnsi="Times New Roman"/>
                <w:sz w:val="14"/>
                <w:szCs w:val="14"/>
                <w:color w:val="auto"/>
              </w:rPr>
              <w:t>Construction and land development</w:t>
            </w:r>
            <w:r>
              <w:rPr>
                <w:rFonts w:ascii="Times New Roman" w:cs="Times New Roman" w:eastAsia="Times New Roman" w:hAnsi="Times New Roman"/>
                <w:sz w:val="18"/>
                <w:szCs w:val="18"/>
                <w:color w:val="auto"/>
                <w:vertAlign w:val="superscript"/>
              </w:rPr>
              <w:t>1</w:t>
            </w:r>
          </w:p>
        </w:tc>
        <w:tc>
          <w:tcPr>
            <w:tcW w:w="5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83.1 %</w:t>
            </w:r>
          </w:p>
        </w:tc>
      </w:tr>
      <w:tr>
        <w:trPr>
          <w:trHeight w:val="202"/>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Hotel</w:t>
            </w:r>
          </w:p>
        </w:tc>
        <w:tc>
          <w:tcPr>
            <w:tcW w:w="5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55.3 %</w:t>
            </w:r>
          </w:p>
        </w:tc>
      </w:tr>
      <w:tr>
        <w:trPr>
          <w:trHeight w:val="193"/>
        </w:trPr>
        <w:tc>
          <w:tcPr>
            <w:tcW w:w="3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52.8 %</w:t>
            </w:r>
          </w:p>
        </w:tc>
      </w:tr>
      <w:tr>
        <w:trPr>
          <w:trHeight w:val="201"/>
        </w:trPr>
        <w:tc>
          <w:tcPr>
            <w:tcW w:w="3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Loans backed by CRE</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r>
      <w:tr>
        <w:trPr>
          <w:trHeight w:val="202"/>
        </w:trPr>
        <w:tc>
          <w:tcPr>
            <w:tcW w:w="3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Unfunded commitments backed by CRE:</w:t>
            </w:r>
          </w:p>
        </w:tc>
        <w:tc>
          <w:tcPr>
            <w:tcW w:w="5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3800" w:type="dxa"/>
            <w:vAlign w:val="bottom"/>
          </w:tcPr>
          <w:p>
            <w:pPr>
              <w:ind w:left="180"/>
              <w:spacing w:after="0" w:line="201" w:lineRule="exact"/>
              <w:rPr>
                <w:sz w:val="20"/>
                <w:szCs w:val="20"/>
                <w:color w:val="auto"/>
              </w:rPr>
            </w:pPr>
            <w:r>
              <w:rPr>
                <w:rFonts w:ascii="Times New Roman" w:cs="Times New Roman" w:eastAsia="Times New Roman" w:hAnsi="Times New Roman"/>
                <w:sz w:val="14"/>
                <w:szCs w:val="14"/>
                <w:color w:val="auto"/>
              </w:rPr>
              <w:t>Construction and land development</w:t>
            </w:r>
            <w:r>
              <w:rPr>
                <w:rFonts w:ascii="Times New Roman" w:cs="Times New Roman" w:eastAsia="Times New Roman" w:hAnsi="Times New Roman"/>
                <w:sz w:val="18"/>
                <w:szCs w:val="18"/>
                <w:color w:val="auto"/>
                <w:vertAlign w:val="superscript"/>
              </w:rPr>
              <w:t>1</w:t>
            </w:r>
          </w:p>
        </w:tc>
        <w:tc>
          <w:tcPr>
            <w:tcW w:w="5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83.1 %</w:t>
            </w:r>
          </w:p>
        </w:tc>
      </w:tr>
      <w:tr>
        <w:trPr>
          <w:trHeight w:val="202"/>
        </w:trPr>
        <w:tc>
          <w:tcPr>
            <w:tcW w:w="38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r>
      <w:tr>
        <w:trPr>
          <w:trHeight w:val="17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CRE Exposure</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61,100</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r>
    </w:tbl>
    <w:p>
      <w:pPr>
        <w:spacing w:after="0" w:line="44" w:lineRule="exact"/>
        <w:rPr>
          <w:sz w:val="20"/>
          <w:szCs w:val="20"/>
          <w:color w:val="auto"/>
        </w:rPr>
      </w:pPr>
    </w:p>
    <w:p>
      <w:pPr>
        <w:ind w:left="80" w:hanging="75"/>
        <w:spacing w:after="0"/>
        <w:tabs>
          <w:tab w:leader="none" w:pos="8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land development includes first and second lien loans. The LTD on first lien is generally 65%. Second liens are typically taken out by the SBA following project completion.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3"/>
        </w:trPr>
        <w:tc>
          <w:tcPr>
            <w:tcW w:w="58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71"/>
        </w:trPr>
        <w:tc>
          <w:tcPr>
            <w:tcW w:w="58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Goodwill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Intangible Assets</w:t>
            </w:r>
          </w:p>
        </w:tc>
        <w:tc>
          <w:tcPr>
            <w:tcW w:w="420" w:type="dxa"/>
            <w:vAlign w:val="bottom"/>
          </w:tcPr>
          <w:p>
            <w:pPr>
              <w:spacing w:after="0"/>
              <w:rPr>
                <w:sz w:val="14"/>
                <w:szCs w:val="14"/>
                <w:color w:val="auto"/>
              </w:rPr>
            </w:pP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 acquisition</w:t>
            </w:r>
          </w:p>
        </w:tc>
        <w:tc>
          <w:tcPr>
            <w:tcW w:w="1240" w:type="dxa"/>
            <w:vAlign w:val="bottom"/>
            <w:tcBorders>
              <w:top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segment</w:t>
            </w: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30,120</w:t>
            </w: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4"/>
          <w:szCs w:val="14"/>
          <w:color w:val="auto"/>
        </w:rPr>
        <w:t>The Company did not have any goodwill or intangibles as of December 31, 2022, prior to the Acquisition. The $30.1 million increase in goodwill and intangible assets consists of $1.1 million relating to the Acquisition of Newtek Bank itself, as well as $13.8 million and $15.2 million from the payments and technology segments, respectively, due to the consolidation of previously unconsolidated portfolio companies that include goodwill and intangibles, such as customer lists and trade names, due to the Company’s reorganization related to the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receivables increased $62.2 million compared to December 31, 2022.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December 31, 2023, were $1.2 billion, an increase of $556.9 million, or 89.3%, compared to total liabilities of $623.5 million at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Total deposits were $463.5 million at December 31, 2023, consisting of $10.1 million in non-interest bearing deposits and $453.5 million in interest bearing deposits. The Company did not have any deposits as of December 31, 2022, prior to the Acquisition.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Lines of Credit:</w:t>
            </w:r>
          </w:p>
        </w:tc>
        <w:tc>
          <w:tcPr>
            <w:tcW w:w="1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80"/>
        </w:trPr>
        <w:tc>
          <w:tcPr>
            <w:tcW w:w="51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Capital One line of credit - guaranteed</w:t>
            </w:r>
            <w:r>
              <w:rPr>
                <w:rFonts w:ascii="Times New Roman" w:cs="Times New Roman" w:eastAsia="Times New Roman" w:hAnsi="Times New Roman"/>
                <w:sz w:val="18"/>
                <w:szCs w:val="18"/>
                <w:color w:val="auto"/>
                <w:vertAlign w:val="superscript"/>
              </w:rPr>
              <w:t>1</w:t>
            </w:r>
          </w:p>
        </w:tc>
        <w:tc>
          <w:tcPr>
            <w:tcW w:w="1420" w:type="dxa"/>
            <w:vAlign w:val="bottom"/>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6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80"/>
        </w:trPr>
        <w:tc>
          <w:tcPr>
            <w:tcW w:w="51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Capital One line of credit - unguaranteed</w:t>
            </w:r>
            <w:r>
              <w:rPr>
                <w:rFonts w:ascii="Times New Roman" w:cs="Times New Roman" w:eastAsia="Times New Roman" w:hAnsi="Times New Roman"/>
                <w:sz w:val="18"/>
                <w:szCs w:val="18"/>
                <w:color w:val="auto"/>
                <w:vertAlign w:val="superscript"/>
              </w:rPr>
              <w:t>1</w:t>
            </w:r>
          </w:p>
        </w:tc>
        <w:tc>
          <w:tcPr>
            <w:tcW w:w="1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45,385</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(45,385)</w:t>
            </w:r>
          </w:p>
        </w:tc>
      </w:tr>
      <w:tr>
        <w:trPr>
          <w:trHeight w:val="171"/>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Capital One</w:t>
            </w:r>
          </w:p>
        </w:tc>
        <w:tc>
          <w:tcPr>
            <w:tcW w:w="14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55,885</w:t>
            </w:r>
          </w:p>
        </w:tc>
        <w:tc>
          <w:tcPr>
            <w:tcW w:w="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(55,885)</w:t>
            </w: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Bank Borrowings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36,628</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w:t>
            </w: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FHLB Advances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23,184</w:t>
            </w:r>
          </w:p>
        </w:tc>
      </w:tr>
      <w:tr>
        <w:trPr>
          <w:trHeight w:val="171"/>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14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82,948</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82,948</w:t>
            </w:r>
          </w:p>
        </w:tc>
      </w:tr>
      <w:tr>
        <w:trPr>
          <w:trHeight w:val="85"/>
        </w:trPr>
        <w:tc>
          <w:tcPr>
            <w:tcW w:w="510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 due 2024, 2025, 2026, and 2028</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37,903</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113,564</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r>
      <w:tr>
        <w:trPr>
          <w:trHeight w:val="171"/>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2024, 2025, 2026, and 2028 Notes</w:t>
            </w:r>
          </w:p>
        </w:tc>
        <w:tc>
          <w:tcPr>
            <w:tcW w:w="14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269,062</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180,055</w:t>
            </w:r>
          </w:p>
        </w:tc>
        <w:tc>
          <w:tcPr>
            <w:tcW w:w="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89,007</w:t>
            </w:r>
          </w:p>
        </w:tc>
      </w:tr>
      <w:tr>
        <w:trPr>
          <w:trHeight w:val="85"/>
        </w:trPr>
        <w:tc>
          <w:tcPr>
            <w:tcW w:w="510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2</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292,112</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279,136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12,976</w:t>
            </w:r>
          </w:p>
        </w:tc>
      </w:tr>
      <w:tr>
        <w:trPr>
          <w:trHeight w:val="117"/>
        </w:trPr>
        <w:tc>
          <w:tcPr>
            <w:tcW w:w="5100" w:type="dxa"/>
            <w:vAlign w:val="bottom"/>
            <w:gridSpan w:val="2"/>
          </w:tcPr>
          <w:p>
            <w:pPr>
              <w:spacing w:after="0"/>
              <w:rPr>
                <w:sz w:val="10"/>
                <w:szCs w:val="10"/>
                <w:color w:val="auto"/>
              </w:rPr>
            </w:pPr>
          </w:p>
        </w:tc>
        <w:tc>
          <w:tcPr>
            <w:tcW w:w="1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8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1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w:t>
            </w:r>
          </w:p>
        </w:tc>
      </w:tr>
      <w:tr>
        <w:trPr>
          <w:trHeight w:val="74"/>
        </w:trPr>
        <w:tc>
          <w:tcPr>
            <w:tcW w:w="400" w:type="dxa"/>
            <w:vAlign w:val="bottom"/>
            <w:tcBorders>
              <w:bottom w:val="single" w:sz="8" w:color="CCEEFF"/>
            </w:tcBorders>
          </w:tcPr>
          <w:p>
            <w:pPr>
              <w:spacing w:after="0"/>
              <w:rPr>
                <w:sz w:val="6"/>
                <w:szCs w:val="6"/>
                <w:color w:val="auto"/>
              </w:rPr>
            </w:pPr>
          </w:p>
        </w:tc>
        <w:tc>
          <w:tcPr>
            <w:tcW w:w="47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644,122</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539,326</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104,796</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40" w:right="560" w:hanging="135"/>
        <w:spacing w:after="0" w:line="230" w:lineRule="auto"/>
        <w:tabs>
          <w:tab w:leader="none" w:pos="155"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2, 2023, the Company paid off and terminated the NSBF Capital One facility for both guaranteed and unguaranteed loans. Total combined commitments of the guaranteed and unguaranteed lines of credit were $150.0 million at December 31, 2022.</w:t>
      </w:r>
    </w:p>
    <w:p>
      <w:pPr>
        <w:spacing w:after="0" w:line="1" w:lineRule="exact"/>
        <w:rPr>
          <w:rFonts w:ascii="Times New Roman" w:cs="Times New Roman" w:eastAsia="Times New Roman" w:hAnsi="Times New Roman"/>
          <w:sz w:val="18"/>
          <w:szCs w:val="18"/>
          <w:color w:val="auto"/>
          <w:vertAlign w:val="superscript"/>
        </w:rPr>
      </w:pPr>
    </w:p>
    <w:p>
      <w:pPr>
        <w:ind w:left="140" w:hanging="135"/>
        <w:spacing w:after="0" w:line="208" w:lineRule="auto"/>
        <w:tabs>
          <w:tab w:leader="none" w:pos="14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of deferred financing costs.</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Borrowings were $644.1 million at December 31, 2023 compared to $539.3 million at December 31, 2022. This increase was primarily due to an additional $13.0 million of notes payable-securitization trusts, including the 2023 securitization, consolidating $82.9 million of bank borrowings from newly consolidating entities, $49.4 million of newly issued 2025 8.125% Notes, and $38.4 million of newly issued 2028 Notes. These increases were partially offset by a $55.9 million reduction on our Capital One lines of credit, and the elimination in consolidation of a prior year related party note payable.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In connection with the Company’s conversion to a financial holding company during the first quarter of 2023, the $19.2 million in net deferred tax liabilities as of December 31, 2022, stemming from the Company’s valuation of its investments in former portfolio companies through net unrealized gains and losses were removed. Upon consolidating the assets and liabilities of the portfolio companies, the deferred tax assets and liabilities representing the cumulative timing differences between book and tax were recorded, to the extent such assets or liabilities give rise to taxable income or expense in future periods. The Company also recognized deferred tax assets on net operating loss (NOL) carryforwards upon consolidation. The Company evaluated all NOLS for a valuation allowance and determined that none were required.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Comparison of the years ended December 31, 2023 and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the Company reported net income of $47.33 million, or $1.89 per basic and $1.88 per diluted share, compared to net income of $32.31 million, or $1.34 per basic and diluted share, for the year ended December 31,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net income was attributable to the following items: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8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4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4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(benefit)/expense</w:t>
            </w:r>
          </w:p>
        </w:tc>
        <w:tc>
          <w:tcPr>
            <w:tcW w:w="24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(8,420)</w:t>
            </w:r>
          </w:p>
        </w:tc>
        <w:tc>
          <w:tcPr>
            <w:tcW w:w="0" w:type="dxa"/>
            <w:vAlign w:val="bottom"/>
          </w:tcPr>
          <w:p>
            <w:pPr>
              <w:spacing w:after="0"/>
              <w:rPr>
                <w:sz w:val="1"/>
                <w:szCs w:val="1"/>
                <w:color w:val="auto"/>
              </w:rPr>
            </w:pPr>
          </w:p>
        </w:tc>
      </w:tr>
      <w:tr>
        <w:trPr>
          <w:trHeight w:val="171"/>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4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3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28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from affiliates</w:t>
            </w:r>
          </w:p>
        </w:tc>
        <w:tc>
          <w:tcPr>
            <w:tcW w:w="2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38,617</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payable related party</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26,325</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440" w:type="dxa"/>
            <w:vAlign w:val="bottom"/>
            <w:gridSpan w:val="2"/>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20" w:type="dxa"/>
            <w:vAlign w:val="bottom"/>
            <w:vMerge w:val="restart"/>
          </w:tcPr>
          <w:p>
            <w:pPr>
              <w:jc w:val="right"/>
              <w:ind w:right="976"/>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$48.3 million increase in interest income on the Company’s loan portfolio was attributable to an increase in interest rates as well as the average outstanding accrual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of loans held for investment increasing to $552.3 million from $482.6 million for the years ended December 31,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2023 compared to 2022.</w:t>
      </w:r>
    </w:p>
    <w:p>
      <w:pPr>
        <w:spacing w:after="0" w:line="13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$8.9 million increase in interest income from other interest earnings assets was attributable to rising interest rates on cash and due from banks as well as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bearing deposits in banks subsequent to the Acquisition that resulted in Newtek Bank earning interest on Federal Reserve Bank cash deposits.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years ended December 31, 2023 and 2022:</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20" w:type="dxa"/>
            <w:vAlign w:val="bottom"/>
          </w:tcPr>
          <w:p>
            <w:pPr>
              <w:spacing w:after="0"/>
              <w:rPr>
                <w:sz w:val="13"/>
                <w:szCs w:val="13"/>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6"/>
        </w:trPr>
        <w:tc>
          <w:tcPr>
            <w:tcW w:w="64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Deposits</w:t>
            </w:r>
            <w:r>
              <w:rPr>
                <w:rFonts w:ascii="Times New Roman" w:cs="Times New Roman" w:eastAsia="Times New Roman" w:hAnsi="Times New Roman"/>
                <w:sz w:val="18"/>
                <w:szCs w:val="18"/>
                <w:color w:val="auto"/>
                <w:vertAlign w:val="superscript"/>
              </w:rPr>
              <w:t>1</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r>
      <w:tr>
        <w:trPr>
          <w:trHeight w:val="18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6.85% Notes</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8.125% Notes</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2026</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2028</w:t>
            </w: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18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and FHLB Borrowings:</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 notes payable</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w:t>
            </w:r>
          </w:p>
        </w:tc>
      </w:tr>
      <w:tr>
        <w:trPr>
          <w:trHeight w:val="180"/>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FHLB Advances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r>
      <w:tr>
        <w:trPr>
          <w:trHeight w:val="18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party</w:t>
            </w:r>
          </w:p>
        </w:tc>
        <w:tc>
          <w:tcPr>
            <w:tcW w:w="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17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26,325</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41,414</w:t>
            </w:r>
          </w:p>
        </w:tc>
      </w:tr>
      <w:tr>
        <w:trPr>
          <w:trHeight w:val="20"/>
        </w:trPr>
        <w:tc>
          <w:tcPr>
            <w:tcW w:w="4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5"/>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interest-bearing deposit liabilities of NYNBC acquired on January 6, 2023, and the deposits added by Newtek Bank during the year ended December 31, 2023</w:t>
      </w:r>
    </w:p>
    <w:p>
      <w:pPr>
        <w:spacing w:after="0" w:line="23" w:lineRule="exact"/>
        <w:rPr>
          <w:rFonts w:ascii="Times New Roman" w:cs="Times New Roman" w:eastAsia="Times New Roman" w:hAnsi="Times New Roman"/>
          <w:sz w:val="14"/>
          <w:szCs w:val="14"/>
          <w:color w:val="auto"/>
        </w:rPr>
      </w:pPr>
    </w:p>
    <w:p>
      <w:pPr>
        <w:ind w:left="200" w:right="120" w:hanging="195"/>
        <w:spacing w:after="0" w:line="253" w:lineRule="auto"/>
        <w:tabs>
          <w:tab w:leader="none" w:pos="20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2022, the Company redeemed all $15.0 million in aggregate principal amount of the 2025 6.85% Notes at 100% of their principal amount ($25 per Note), plus the accrued and unpaid interest thereon from February 28, 2022 through, but excluding, the redemption date.</w:t>
      </w:r>
    </w:p>
    <w:p>
      <w:pPr>
        <w:ind w:left="200" w:right="200" w:hanging="195"/>
        <w:spacing w:after="0" w:line="253" w:lineRule="auto"/>
        <w:tabs>
          <w:tab w:leader="none" w:pos="20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ind w:left="200" w:right="260" w:hanging="195"/>
        <w:spacing w:after="0" w:line="266" w:lineRule="auto"/>
        <w:tabs>
          <w:tab w:leader="none" w:pos="20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2023, the Company completed a public offering of $40.0 million aggregate principal amount of 8.00% notes due 2028. The Notes will mature on September 1, 2028. The Notes bear interest at a rate of 8.00% per year, payable quarterly on March 1, June 1, September 1, and December 1 each year, commencing on December 1, 2023.</w:t>
      </w:r>
    </w:p>
    <w:p>
      <w:pPr>
        <w:spacing w:after="0" w:line="1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from additional interest expense on the Notes payable - Securitization Trusts of $12.8 million, Bank notes payable of $7.0 million, 2025 8.125% Notes of $4.3 million, and 2028 8.00% Notes of $1.2 million related to an increase in the average outstanding balance and interest rates period over period, as well as the consolidation of additional subsidiaries associated with the Company’s withdrawal of its election to be treated as a BDC, which added $82.9 million in additional borrowings to the Company’s balance sheet as of December 31, 2023. The Company also completed a securitization in June 2023, resulting in an additional $93.8 million of borrowings as of December 31, 2023. Additionally, in conjunction with the Acquisition and transition to a financial holding company, the Company now holds deposit liabilities with interest-bearing deposits contributing to the increase in interest expense at December 31, 2023 of $15.8 million.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there was a provision for loan credit losses of $11.7 million. There was no provision for credit losses for the same period in 2022 due to the change in accounting methodology related to the conversion to a financial holding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17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Average Balance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9"/>
              </w:rPr>
              <w:t>Interest</w:t>
            </w:r>
          </w:p>
        </w:tc>
        <w:tc>
          <w:tcPr>
            <w:tcW w:w="17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Average Yield / Rate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2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186,566</w:t>
            </w: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783,808</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1,122,930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2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197,612</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1,316,923</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Super NOW</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143,589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168,912</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674,687</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1,033,244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6.56</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222,624</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1,316,923</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1.85 %</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2.37 %</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interest-earning assets to average interest bearing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108.68 %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989"/>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left="49"/>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500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 vs. 2022</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Increase (Decrease) Due to</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1"/>
        </w:trPr>
        <w:tc>
          <w:tcPr>
            <w:tcW w:w="50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Rate</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29"/>
              <w:spacing w:after="0" w:line="171" w:lineRule="exact"/>
              <w:rPr>
                <w:sz w:val="20"/>
                <w:szCs w:val="20"/>
                <w:color w:val="auto"/>
              </w:rPr>
            </w:pPr>
            <w:r>
              <w:rPr>
                <w:rFonts w:ascii="Times New Roman" w:cs="Times New Roman" w:eastAsia="Times New Roman" w:hAnsi="Times New Roman"/>
                <w:sz w:val="14"/>
                <w:szCs w:val="14"/>
                <w:color w:val="auto"/>
              </w:rPr>
              <w:t>Volume</w:t>
            </w:r>
            <w:r>
              <w:rPr>
                <w:rFonts w:ascii="Times New Roman" w:cs="Times New Roman" w:eastAsia="Times New Roman" w:hAnsi="Times New Roman"/>
                <w:sz w:val="18"/>
                <w:szCs w:val="18"/>
                <w:color w:val="auto"/>
                <w:vertAlign w:val="superscript"/>
              </w:rPr>
              <w:t>1</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Total</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5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26,759</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(9,491)</w:t>
            </w:r>
          </w:p>
        </w:tc>
      </w:tr>
      <w:tr>
        <w:trPr>
          <w:trHeight w:val="18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44,241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55,135</w:t>
            </w:r>
          </w:p>
        </w:tc>
      </w:tr>
      <w:tr>
        <w:trPr>
          <w:trHeight w:val="17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43,845</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55,756</w:t>
            </w:r>
          </w:p>
        </w:tc>
      </w:tr>
      <w:tr>
        <w:trPr>
          <w:trHeight w:val="212"/>
        </w:trPr>
        <w:tc>
          <w:tcPr>
            <w:tcW w:w="5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5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w:t>
            </w:r>
          </w:p>
        </w:tc>
        <w:tc>
          <w:tcPr>
            <w:tcW w:w="15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5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15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r>
      <w:tr>
        <w:trPr>
          <w:trHeight w:val="18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15,553</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25,565</w:t>
            </w:r>
          </w:p>
        </w:tc>
      </w:tr>
      <w:tr>
        <w:trPr>
          <w:trHeight w:val="17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5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15,553</w:t>
            </w:r>
          </w:p>
        </w:tc>
        <w:tc>
          <w:tcPr>
            <w:tcW w:w="8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41,414</w:t>
            </w:r>
          </w:p>
        </w:tc>
      </w:tr>
      <w:tr>
        <w:trPr>
          <w:trHeight w:val="17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14,342</w:t>
            </w:r>
          </w:p>
        </w:tc>
      </w:tr>
      <w:tr>
        <w:trPr>
          <w:trHeight w:val="20"/>
        </w:trPr>
        <w:tc>
          <w:tcPr>
            <w:tcW w:w="5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income and expense associated with the Acquisition of NBNYC on January 6, 2023, and the associated withdrawal of the election to be treated as a BDC.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2"/>
        </w:trPr>
        <w:tc>
          <w:tcPr>
            <w:tcW w:w="45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2023/2022 Increase/(Decrease)</w:t>
            </w:r>
          </w:p>
        </w:tc>
      </w:tr>
      <w:tr>
        <w:trPr>
          <w:trHeight w:val="171"/>
        </w:trPr>
        <w:tc>
          <w:tcPr>
            <w:tcW w:w="4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(92.9)%</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10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33.5</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0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80" w:type="dxa"/>
            <w:vAlign w:val="bottom"/>
          </w:tcPr>
          <w:p>
            <w:pPr>
              <w:spacing w:after="0"/>
              <w:rPr>
                <w:sz w:val="15"/>
                <w:szCs w:val="15"/>
                <w:color w:val="auto"/>
              </w:rPr>
            </w:pPr>
          </w:p>
        </w:tc>
        <w:tc>
          <w:tcPr>
            <w:tcW w:w="16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loans under the fair value option</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167.9</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0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80" w:type="dxa"/>
            <w:vAlign w:val="bottom"/>
          </w:tcPr>
          <w:p>
            <w:pPr>
              <w:spacing w:after="0"/>
              <w:rPr>
                <w:sz w:val="15"/>
                <w:szCs w:val="15"/>
                <w:color w:val="auto"/>
              </w:rPr>
            </w:pP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(30.6)</w:t>
            </w:r>
          </w:p>
        </w:tc>
      </w:tr>
      <w:tr>
        <w:trPr>
          <w:trHeight w:val="196"/>
        </w:trPr>
        <w:tc>
          <w:tcPr>
            <w:tcW w:w="4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83,894</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90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8"/>
        </w:trPr>
        <w:tc>
          <w:tcPr>
            <w:tcW w:w="4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consolidating subsidiaries of the Company in 2023 and therefore, under the new organizational structure, their profits and losses are consolidated within the statement of operations instead of in the form of dividend income going forward.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Servicing Asset Revaluation</w:t>
      </w:r>
    </w:p>
    <w:p>
      <w:pPr>
        <w:spacing w:after="0" w:line="1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loan servicing asset revaluation is due to the increase in the total portfolio of investments for which we earn servicing income period over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 Net of Amortization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$238.9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years ended December 31, 2023 and 2022 were $50.7 million and $56.9 million,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gridSpan w:val="6"/>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r>
      <w:tr>
        <w:trPr>
          <w:trHeight w:val="145"/>
        </w:trPr>
        <w:tc>
          <w:tcPr>
            <w:tcW w:w="6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55"/>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0"/>
        </w:trPr>
        <w:tc>
          <w:tcPr>
            <w:tcW w:w="60" w:type="dxa"/>
            <w:vAlign w:val="bottom"/>
          </w:tcPr>
          <w:p>
            <w:pPr>
              <w:spacing w:after="0"/>
              <w:rPr>
                <w:sz w:val="15"/>
                <w:szCs w:val="15"/>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Realized gains recognized on sale of SBA loans</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94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color w:val="auto"/>
                <w:w w:val="98"/>
              </w:rPr>
              <w:t>74,617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rPr>
              <w:t>73,530</w:t>
            </w:r>
          </w:p>
        </w:tc>
      </w:tr>
      <w:tr>
        <w:trPr>
          <w:trHeight w:val="180"/>
        </w:trPr>
        <w:tc>
          <w:tcPr>
            <w:tcW w:w="60" w:type="dxa"/>
            <w:vAlign w:val="bottom"/>
          </w:tcPr>
          <w:p>
            <w:pPr>
              <w:spacing w:after="0"/>
              <w:rPr>
                <w:sz w:val="15"/>
                <w:szCs w:val="15"/>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 recognized on sale of SBA loans</w:t>
            </w:r>
          </w:p>
        </w:tc>
        <w:tc>
          <w:tcPr>
            <w:tcW w:w="8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3"/>
            <w:shd w:val="clear" w:color="auto" w:fill="CCEEFF"/>
          </w:tcPr>
          <w:p>
            <w:pPr>
              <w:jc w:val="center"/>
              <w:ind w:left="353"/>
              <w:spacing w:after="0"/>
              <w:rPr>
                <w:sz w:val="20"/>
                <w:szCs w:val="20"/>
                <w:color w:val="auto"/>
              </w:rPr>
            </w:pPr>
            <w:r>
              <w:rPr>
                <w:rFonts w:ascii="Times New Roman" w:cs="Times New Roman" w:eastAsia="Times New Roman" w:hAnsi="Times New Roman"/>
                <w:sz w:val="14"/>
                <w:szCs w:val="14"/>
                <w:color w:val="auto"/>
              </w:rPr>
              <w:t>(23,883)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(16,629)</w:t>
            </w:r>
          </w:p>
        </w:tc>
      </w:tr>
      <w:tr>
        <w:trPr>
          <w:trHeight w:val="175"/>
        </w:trPr>
        <w:tc>
          <w:tcPr>
            <w:tcW w:w="60" w:type="dxa"/>
            <w:vAlign w:val="bottom"/>
          </w:tcPr>
          <w:p>
            <w:pPr>
              <w:spacing w:after="0"/>
              <w:rPr>
                <w:sz w:val="15"/>
                <w:szCs w:val="15"/>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94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color w:val="auto"/>
                <w:w w:val="98"/>
              </w:rPr>
              <w:t>50,734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rPr>
              <w:t>56,901</w:t>
            </w:r>
          </w:p>
        </w:tc>
      </w:tr>
      <w:tr>
        <w:trPr>
          <w:trHeight w:val="272"/>
        </w:trPr>
        <w:tc>
          <w:tcPr>
            <w:tcW w:w="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4"/>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4"/>
            <w:shd w:val="clear" w:color="auto" w:fill="CCEEFF"/>
          </w:tcPr>
          <w:p>
            <w:pPr>
              <w:ind w:left="4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60" w:type="dxa"/>
            <w:vAlign w:val="bottom"/>
            <w:tcBorders>
              <w:bottom w:val="single" w:sz="8" w:color="CCEEFF"/>
            </w:tcBorders>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14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144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60" w:type="dxa"/>
            <w:vAlign w:val="bottom"/>
          </w:tcPr>
          <w:p>
            <w:pPr>
              <w:spacing w:after="0"/>
              <w:rPr>
                <w:sz w:val="13"/>
                <w:szCs w:val="13"/>
                <w:color w:val="auto"/>
              </w:rPr>
            </w:pPr>
          </w:p>
        </w:tc>
      </w:tr>
      <w:tr>
        <w:trPr>
          <w:trHeight w:val="18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loans originated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780" w:type="dxa"/>
            <w:vAlign w:val="bottom"/>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814,406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6"/>
              </w:rPr>
              <w:t>775,572</w:t>
            </w:r>
          </w:p>
        </w:tc>
        <w:tc>
          <w:tcPr>
            <w:tcW w:w="160" w:type="dxa"/>
            <w:vAlign w:val="bottom"/>
          </w:tcPr>
          <w:p>
            <w:pPr>
              <w:spacing w:after="0"/>
              <w:rPr>
                <w:sz w:val="15"/>
                <w:szCs w:val="15"/>
                <w:color w:val="auto"/>
              </w:rPr>
            </w:pPr>
          </w:p>
        </w:tc>
      </w:tr>
      <w:tr>
        <w:trPr>
          <w:trHeight w:val="180"/>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guaranteed loans sold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607,560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630,028</w:t>
            </w:r>
          </w:p>
        </w:tc>
        <w:tc>
          <w:tcPr>
            <w:tcW w:w="160" w:type="dxa"/>
            <w:vAlign w:val="bottom"/>
          </w:tcPr>
          <w:p>
            <w:pPr>
              <w:spacing w:after="0"/>
              <w:rPr>
                <w:sz w:val="15"/>
                <w:szCs w:val="15"/>
                <w:color w:val="auto"/>
              </w:rPr>
            </w:pPr>
          </w:p>
        </w:tc>
      </w:tr>
      <w:tr>
        <w:trPr>
          <w:trHeight w:val="24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109.71 %</w:t>
            </w:r>
          </w:p>
        </w:tc>
        <w:tc>
          <w:tcPr>
            <w:tcW w:w="160" w:type="dxa"/>
            <w:vAlign w:val="bottom"/>
          </w:tcPr>
          <w:p>
            <w:pPr>
              <w:spacing w:after="0"/>
              <w:rPr>
                <w:sz w:val="21"/>
                <w:szCs w:val="21"/>
                <w:color w:val="auto"/>
              </w:rPr>
            </w:pPr>
          </w:p>
        </w:tc>
      </w:tr>
    </w:tbl>
    <w:p>
      <w:pPr>
        <w:ind w:left="140" w:hanging="135"/>
        <w:spacing w:after="0" w:line="218" w:lineRule="auto"/>
        <w:tabs>
          <w:tab w:leader="none" w:pos="140"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the average sale price as a percent of principal balance was 110.20% compared to 109.71% for the prior period. The modest increase in sales prices in 2023 resulted from an improved yield profile of the SBA 7(a) loans in comparison to other short term government guaranteed investment alternatives. The reduction in overall net gains on sales of loans resulted from lower volumes of sales compared to the prior year.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91" w:name="page92"/>
    <w:bookmarkEnd w:id="91"/>
    <w:p>
      <w:pPr>
        <w:ind w:right="80"/>
        <w:spacing w:after="0" w:line="249" w:lineRule="auto"/>
        <w:rPr>
          <w:sz w:val="20"/>
          <w:szCs w:val="20"/>
          <w:color w:val="auto"/>
        </w:rPr>
      </w:pPr>
      <w:r>
        <w:rPr>
          <w:rFonts w:ascii="Times New Roman" w:cs="Times New Roman" w:eastAsia="Times New Roman" w:hAnsi="Times New Roman"/>
          <w:sz w:val="14"/>
          <w:szCs w:val="14"/>
          <w:color w:val="auto"/>
        </w:rPr>
        <w:t>During the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w:t>
      </w:r>
    </w:p>
    <w:p>
      <w:pPr>
        <w:ind w:right="360" w:firstLine="5"/>
        <w:spacing w:after="0" w:line="247" w:lineRule="auto"/>
        <w:tabs>
          <w:tab w:leader="none" w:pos="27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Accounted for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(losses) on loans accounted for under the fair value option amounted to $18.0 million and $(26.5) million for the year ended December 31, 2023 and 2022,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gridSpan w:val="3"/>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For the year ended</w:t>
            </w: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660" w:type="dxa"/>
            <w:vAlign w:val="bottom"/>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14,765</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(19,972)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34,737</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6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w:t>
            </w:r>
          </w:p>
        </w:tc>
      </w:tr>
      <w:tr>
        <w:trPr>
          <w:trHeight w:val="18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6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r>
      <w:tr>
        <w:trPr>
          <w:trHeight w:val="171"/>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660" w:type="dxa"/>
            <w:vAlign w:val="bottom"/>
            <w:tcBorders>
              <w:top w:val="single" w:sz="8" w:color="auto"/>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18,008</w:t>
            </w:r>
          </w:p>
        </w:tc>
        <w:tc>
          <w:tcPr>
            <w:tcW w:w="24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(26,504)</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44,512</w:t>
            </w: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Net gain (loss) on loans accounted for under the fair value option relates to guaranteed portions of SBA loans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year ended December 31, 2023, there was an increase in the gain-on-sale pricing as compared to the prior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 and Electronic Payment Processing Income</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connection with the Acquisition and the withdrawal of the election to be treated as a BDC, noninterest income for the year ended December 31, 2023, included technology and IT support income, as well as electronic payment processing income the Company generated in the ordinary course of business.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368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6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2023/2022 Increase/(Decrease)</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Amount</w:t>
            </w:r>
          </w:p>
        </w:tc>
        <w:tc>
          <w:tcPr>
            <w:tcW w:w="19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center"/>
              <w:ind w:right="5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80" w:type="dxa"/>
            <w:vAlign w:val="bottom"/>
          </w:tcPr>
          <w:p>
            <w:pPr>
              <w:spacing w:after="0"/>
              <w:rPr>
                <w:sz w:val="15"/>
                <w:szCs w:val="15"/>
                <w:color w:val="auto"/>
              </w:rPr>
            </w:pPr>
          </w:p>
        </w:tc>
        <w:tc>
          <w:tcPr>
            <w:tcW w:w="1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45,522</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80" w:type="dxa"/>
            <w:vAlign w:val="bottom"/>
          </w:tcPr>
          <w:p>
            <w:pPr>
              <w:spacing w:after="0"/>
              <w:rPr>
                <w:sz w:val="15"/>
                <w:szCs w:val="15"/>
                <w:color w:val="auto"/>
              </w:rPr>
            </w:pPr>
          </w:p>
        </w:tc>
        <w:tc>
          <w:tcPr>
            <w:tcW w:w="1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(21,313)</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80" w:type="dxa"/>
            <w:vAlign w:val="bottom"/>
          </w:tcPr>
          <w:p>
            <w:pPr>
              <w:spacing w:after="0"/>
              <w:rPr>
                <w:sz w:val="15"/>
                <w:szCs w:val="15"/>
                <w:color w:val="auto"/>
              </w:rPr>
            </w:pPr>
          </w:p>
        </w:tc>
        <w:tc>
          <w:tcPr>
            <w:tcW w:w="1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1,106.7</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191.4</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right="5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79,934</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120.4 %</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right="449"/>
              <w:spacing w:after="0"/>
              <w:rPr>
                <w:sz w:val="20"/>
                <w:szCs w:val="20"/>
                <w:color w:val="auto"/>
              </w:rPr>
            </w:pPr>
            <w:r>
              <w:rPr>
                <w:rFonts w:ascii="Times New Roman" w:cs="Times New Roman" w:eastAsia="Times New Roman" w:hAnsi="Times New Roman"/>
                <w:sz w:val="14"/>
                <w:szCs w:val="14"/>
                <w:color w:val="auto"/>
                <w:w w:val="99"/>
              </w:rPr>
              <w:t>92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202"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The increase in salaries and benefits was primarily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Services Expenses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connection with the Acquisition and the withdrawal of the election to be treated as a BDC, noninterest expense for the year ended December 31, 2023, includes technology services expenses that the Company incurred in the ordinary course of business. Expenses for the year ended December 31, 2023, consist of expenses associated with web hosting and IT support of $14.3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Expenses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In connection with the Acquisition and the withdrawal of the election to be treated as a BDC, noninterest expense for the year ended December 31, 2023 includes electronic payment processing expenses the Company incurred in the ordinary course of business. Expenses for the year ended December 31, 2023 consists of electronic payment processing costs of $18.3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Fees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increase in professional fees period over period is primarily attributable to the addition of the newly consolidated subsidiaries and entities due to the withdrawal of the election to be treated as a BDC, which amounted to $4.6 million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Origination and loan processing expenses during the year ended December 31, 2023, was $9.4 million compared to $30.7 million for the year ended December 31, 2022. The decrease was due to the consolidation of the affiliated servicing company during the year, resulting in the elimination of the intercompany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General and Administrative Costs</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increase in other general and administrative costs of $14.7 million is primarily due to the Acquisition, as $14.7 million in additional expense is included in the current year from the additional entities now being consolidated after the withdrawal of the BDC election, partially offset by the elimination of intercompany expenses between the newly consolidated entities and those previously reported as a BDC.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four reportable segments Banking, Technology, NSBF, and Payments. A description of each segment and the methodologies used to measure financial performance is described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22—SEGMENTS in the accompanying Notes to the Consolidated Financial Statements. Net income (loss) by operating segment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5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28,127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5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5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47,329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40" w:type="dxa"/>
            <w:vAlign w:val="bottom"/>
            <w:vMerge w:val="restart"/>
          </w:tcPr>
          <w:p>
            <w:pPr>
              <w:jc w:val="right"/>
              <w:ind w:right="2969"/>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3" w:name="page94"/>
    <w:bookmarkEnd w:id="93"/>
    <w:p>
      <w:pPr>
        <w:spacing w:after="0" w:line="271"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The banking segment includes Newtek Bank as well as its consolidated subsidiary SBL. The financial results include the origination and servicing of SBA 504 loans, C&amp;I loans, CRE loans and ABL loans. In addition, the bank offers depository services. The results include $17.7 million of net interest income.</w:t>
      </w:r>
    </w:p>
    <w:p>
      <w:pPr>
        <w:spacing w:after="0" w:line="14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Technology (NTS)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$31.7 million of noninterest income and $29.9 million of noninterest expense. As a result of commitments made to the Federal Reserve, the Company will divest or otherwise terminate the activities conducted by NTS (SIDCO and EWS were merged into NTS on December 31, 2023), within two years of becoming a financial holding company, subject to any extension of the two-year period.</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of SBA 7(a) loans held outside Newtek Bank. During the year ended December 31, 2023, NSBF originated $158.5 million in SBA 7(a) loans. The results include $24.0 million of net interest income.</w:t>
      </w:r>
    </w:p>
    <w:p>
      <w:pPr>
        <w:spacing w:after="0" w:line="15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Payments, which includes NMS, POS and Mobil Money, contributed $12.2 million to consolidated net income. Within those results are $46.4 million of noninterest income resulting from marketing credit and debit card processing services, check approval services, processing equipment, and software. The net income also included $31.6 million of noninterest expense.</w:t>
      </w:r>
    </w:p>
    <w:p>
      <w:pPr>
        <w:spacing w:after="0" w:line="14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Represents operations not considered to be reportable segments and/or general operating expenses of the Company, and includes the parent company, other non-bank subsidiaries including NIA, PMT, non-bank lending, including Holdco 6 and our joint ventures, and elimination adjustments to reconcile the results of the operating segments to the consolidated financial statements prepared in conformity with GAAP.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4"/>
          <w:szCs w:val="14"/>
          <w:color w:val="auto"/>
        </w:rPr>
        <w:t>Our liquidity and capital resources are derived from our Notes payable - related parties, 2024 Notes, 2025 5.00% Notes, 2025 8.125% Notes, 2026 Notes, 2028 Notes, securitization transactions and cash flows from operations, including investment sales and repayments, and income earned. In the year ended December 31, 2023, our primary use of funds from operations included originations of loans and payments of fees and other operating expenses we incurred. We may raise additional equity or debt capital through both registered offerings off of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2023 ATM Equity Distribution Agreement. The 2023 ATM Equity Distribution Agreement, as amended, provided that the Company may offer and sell up to 3,000,000 shares of common stock from time to time through the placement agents.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NewtekOne and Newtek Bank are primarily constrained by the Total Capital and Leverage ratios given the mix of assets vis a vie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NewtekOne, Inc. as of December 31, 2023 are presented in the table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7"/>
                <w:szCs w:val="7"/>
                <w:b w:val="1"/>
                <w:bCs w:val="1"/>
                <w:color w:val="auto"/>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9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2023</w:t>
            </w: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50,153</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44" w:lineRule="exact"/>
        <w:rPr>
          <w:sz w:val="20"/>
          <w:szCs w:val="20"/>
          <w:color w:val="auto"/>
        </w:rPr>
      </w:pPr>
    </w:p>
    <w:p>
      <w:pPr>
        <w:ind w:left="140" w:hanging="135"/>
        <w:spacing w:after="0"/>
        <w:tabs>
          <w:tab w:leader="none" w:pos="140" w:val="left"/>
        </w:tabs>
        <w:numPr>
          <w:ilvl w:val="0"/>
          <w:numId w:val="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Exclusive of the capital conservation buffer of 2.5% of risk-weighted assets.</w:t>
      </w:r>
    </w:p>
    <w:p>
      <w:pPr>
        <w:spacing w:after="0" w:line="17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Capital amounts and ratios for Newtek Bank as of December 31, 2023, are presented in the table below. As of December 31, 2023, Newtek Bank was categorized as “well-capitalized” under the prompt corrective action measures and met the capital conservation buffer requirements.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3"/>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2023</w:t>
            </w: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93"/>
              </w:rPr>
              <w:t>Ratio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3"/>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30,026</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46,193</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29,866</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44" w:lineRule="exact"/>
        <w:rPr>
          <w:sz w:val="20"/>
          <w:szCs w:val="20"/>
          <w:color w:val="auto"/>
        </w:rPr>
      </w:pPr>
    </w:p>
    <w:p>
      <w:pPr>
        <w:ind w:left="140" w:hanging="135"/>
        <w:spacing w:after="0"/>
        <w:tabs>
          <w:tab w:leader="none" w:pos="140" w:val="left"/>
        </w:tabs>
        <w:numPr>
          <w:ilvl w:val="0"/>
          <w:numId w:val="4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20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On June 25, 2020, the Company entered into the 2020 ATM Equity Distribution Agreement. On July 20, 2022, the Company entered into Amendment No. 1 to the 2020 ATM Equity Distribution Agreement. The 2020 ATM Equity Distribution Agreement, as amended, provided that the Company could offer and sell up to 6,400,000 shares of common stock from time to time through the placement agents. From inception through December 31, 2022, we sold 3,069,754 shares of our common stock at a weighted average price of $23.02 per share. Proceeds, net of offering costs and expenses, were $70.6 million. The Company paid the placement agents $1.4 million in compensation. The ATM program was suspended as of January 6, 2023.</w:t>
      </w:r>
    </w:p>
    <w:p>
      <w:pPr>
        <w:spacing w:after="0" w:line="16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as amended, provides that the Company may offer and sell up to three million shares of common stock from time to time through the placement agents. The Company may, subject to market conditions, engage in activity under the current ATM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Company intends to use the net proceeds from the sale of the Notes for general corporate purposes. The 2028 Notes bear interest at a rate of 8.00% per year payable quarterly on March 1, June 1, September 1 and December 1 of each year, commencing on December 1, 2023, and trade on the Nasdaq Global Market under the trading symbol “NEWTI.” At December 31, 2023, the Company was in compliance with all covenants related to the 2028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2026 Notes will mature on February 1, 2026 and may be redeemed in whole or in part at any time or from time to time at the Company’s option on or after February 1, 2022, upon not less than 30 days nor more than 60 days written notice by mail prior to the date fixed for redemption thereof, at a redemption price equal to the following amounts, plus accrued and unpaid interest to, but excluding, the redemption date: (1) 100% of the principal amount of the 2026 Notes to be redeemed plus (2) the sum of the present value of the scheduled payments of interest (exclusive of accrued and unpaid interest to the date of redemption) on the 2026 Notes to be redeemed from the redemption date until February 1, 2023, discounted to the redemption date on a semi-annual basis (assuming a 360-day year consisting of twelve 30-day months) using the applicable Treasury Rate plus 50 basis points; provided, however, that if the Company redeems any 2026 Notes on or after February 1, 2023 (the date falling three years prior to the maturity date of the 2026 Notes), the redemption price for the 2026 Notes will be equal to 100%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95" w:name="page96"/>
    <w:bookmarkEnd w:id="95"/>
    <w:p>
      <w:pPr>
        <w:ind w:right="120"/>
        <w:spacing w:after="0" w:line="270" w:lineRule="auto"/>
        <w:rPr>
          <w:sz w:val="20"/>
          <w:szCs w:val="20"/>
          <w:color w:val="auto"/>
        </w:rPr>
      </w:pPr>
      <w:r>
        <w:rPr>
          <w:rFonts w:ascii="Times New Roman" w:cs="Times New Roman" w:eastAsia="Times New Roman" w:hAnsi="Times New Roman"/>
          <w:sz w:val="14"/>
          <w:szCs w:val="14"/>
          <w:color w:val="auto"/>
        </w:rPr>
        <w:t>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December 31, 2023, the Company was in compliance with all covenants related to the 2026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The 2024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2024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2024 Notes will mature on August 1, 2024 and may be redeemed in whole or in part at the Company’s option at any time or from time to time on or after August 1, 2021, at a redemption price of 100% of the outstanding principal amount thereof plus accrued and unpaid interest payments otherwise payable for the then-current quarterly interest period accrued to but not including the date fixed for redemption. The 2024 Notes bear interest at a rate of 5.75% per year payable quarterly on February 1, May 1, August 1, and November 1 of each year, commencing on November 1, 2019, and trade on the Nasdaq Global Market under the trading symbol “NEWTL.” At December 31, 2023, the Company was in compliance with all covenants related to the 2024 Notes.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15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As of December 31, 2023, the outstanding principal balance of the 2024 Notes was $38.25 million.</w:t>
      </w:r>
    </w:p>
    <w:p>
      <w:pPr>
        <w:spacing w:after="0" w:line="15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Each supplemental indenture (except for the Tenth Supplemental Indenture)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Notes and the Trustee if the Company should no longer be subject to the reporting requirements under the Exchange Act. These covenants are subject to important limitations and exceptions that are described in the Base Indenture, as supplemented by each supplemental indenture thereto. These covenants currently apply to the 2024 and 2026 Notes. At December 31, 2023, the Company was in compliance with all covenants related to the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 (Private Placements)</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color w:val="auto"/>
        </w:rPr>
        <w:t>Notes to the purchaser in an exempt offering in January 2021.</w:t>
      </w:r>
    </w:p>
    <w:p>
      <w:pPr>
        <w:spacing w:after="0" w:line="18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15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Company intends to use the net proceeds from the sale of the notes to fund investments in debt and equity in accordance with its investment objectives and strategies. The 2025 5.00%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 semiannually on February 1 and August 1 each year, commencing on August 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NSBF Capital One Facility</w:t>
      </w:r>
    </w:p>
    <w:p>
      <w:pPr>
        <w:spacing w:after="0" w:line="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Prior to October 2023, NSBF maintained a $150.0 million Capital One facility to finance NSBF’s origination of unguaranteed and guaranteed portions of SBA 7(a) loans. The portion of the facility collateralized by the government guaranteed portion of SBA 7(a) loans had an interest rate of Prime minus 0.75% and the interest rate on the portion of the facility collateralized by the non-guaranteed portion of SBA 7(a) loans was Prime plus 0.25% . The facility provided for a 55% advance rate on the non-guaranteed portions of the SBA 7(a) loans NSBF originated, and a 90% advance rate on the guaranteed portions of SBA 7(a) loans NSBF originated and a 90% advance rate on the guaranteed portions of SBA 7(a) loans NSBF originated. NSBF ceased originating new loans in April 2023. On May 7, 2020, NSBF amended the facility to, among other things, extend the maturity date on which the credit facility converted into a term loan for a period of three years to May 7, 2023, with the term loan maturing on May 7, 2025. The NSBF Capital One facility was paid off and terminated in October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7" w:name="page98"/>
    <w:bookmarkEnd w:id="97"/>
    <w:p>
      <w:pPr>
        <w:spacing w:after="0" w:line="264"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w:t>
      </w:r>
    </w:p>
    <w:p>
      <w:pPr>
        <w:spacing w:after="0" w:line="16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w:t>
      </w:r>
    </w:p>
    <w:p>
      <w:pPr>
        <w:spacing w:after="0" w:line="16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29"/>
        </w:trPr>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December 31, 2023:</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6"/>
        </w:trPr>
        <w:tc>
          <w:tcPr>
            <w:tcW w:w="9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86"/>
        </w:trPr>
        <w:tc>
          <w:tcPr>
            <w:tcW w:w="9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15,398</w:t>
            </w:r>
          </w:p>
        </w:tc>
      </w:tr>
      <w:tr>
        <w:trPr>
          <w:trHeight w:val="350"/>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p>
        </w:tc>
        <w:tc>
          <w:tcPr>
            <w:tcW w:w="300" w:type="dxa"/>
            <w:vAlign w:val="bottom"/>
          </w:tcPr>
          <w:p>
            <w:pPr>
              <w:spacing w:after="0"/>
              <w:rPr>
                <w:sz w:val="24"/>
                <w:szCs w:val="24"/>
                <w:color w:val="auto"/>
              </w:rPr>
            </w:pPr>
          </w:p>
        </w:tc>
        <w:tc>
          <w:tcPr>
            <w:tcW w:w="1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40,418</w:t>
            </w:r>
          </w:p>
        </w:tc>
      </w:tr>
      <w:tr>
        <w:trPr>
          <w:trHeight w:val="18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350"/>
        </w:trPr>
        <w:tc>
          <w:tcPr>
            <w:tcW w:w="9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00" w:type="dxa"/>
            <w:vAlign w:val="bottom"/>
          </w:tcPr>
          <w:p>
            <w:pPr>
              <w:spacing w:after="0"/>
              <w:rPr>
                <w:sz w:val="24"/>
                <w:szCs w:val="24"/>
                <w:color w:val="auto"/>
              </w:rPr>
            </w:pPr>
          </w:p>
        </w:tc>
        <w:tc>
          <w:tcPr>
            <w:tcW w:w="1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137,689</w:t>
            </w:r>
          </w:p>
        </w:tc>
      </w:tr>
      <w:tr>
        <w:trPr>
          <w:trHeight w:val="181"/>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FHLB borrowing availability</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61,947</w:t>
            </w:r>
          </w:p>
        </w:tc>
      </w:tr>
      <w:tr>
        <w:trPr>
          <w:trHeight w:val="180"/>
        </w:trPr>
        <w:tc>
          <w:tcPr>
            <w:tcW w:w="9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10,000</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265,452</w:t>
            </w:r>
          </w:p>
        </w:tc>
      </w:tr>
    </w:tbl>
    <w:p>
      <w:pPr>
        <w:spacing w:after="0" w:line="2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Restricted cash of $30.9 million as of December 31, 2023. The largest component is $12.4 million of restricted cash held by NSBF, which includes reserves in the event payments are insufficient to cover interest and/or principal with respect to</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8" w:name="page99"/>
    <w:bookmarkEnd w:id="98"/>
    <w:p>
      <w:pPr>
        <w:ind w:right="200"/>
        <w:spacing w:after="0" w:line="255" w:lineRule="auto"/>
        <w:rPr>
          <w:sz w:val="20"/>
          <w:szCs w:val="20"/>
          <w:color w:val="auto"/>
        </w:rPr>
      </w:pPr>
      <w:r>
        <w:rPr>
          <w:rFonts w:ascii="Times New Roman" w:cs="Times New Roman" w:eastAsia="Times New Roman" w:hAnsi="Times New Roman"/>
          <w:sz w:val="14"/>
          <w:szCs w:val="14"/>
          <w:color w:val="auto"/>
        </w:rPr>
        <w:t>securitizations and loan principal and interest collected which are due to loan participants. An additional $11.2 million of restricted cash is held by NewtekOne, which includes $10.0 million in an account to fund certain of NSBF’s potential obligations to the SBA pursuant to the Wind-down Agreement in which the Company is a guarantor.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20" w:type="dxa"/>
            <w:vAlign w:val="bottom"/>
          </w:tcPr>
          <w:p>
            <w:pPr>
              <w:spacing w:after="0"/>
              <w:rPr>
                <w:sz w:val="13"/>
                <w:szCs w:val="13"/>
                <w:color w:val="auto"/>
              </w:rPr>
            </w:pPr>
          </w:p>
        </w:tc>
        <w:tc>
          <w:tcPr>
            <w:tcW w:w="1720" w:type="dxa"/>
            <w:vAlign w:val="bottom"/>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80"/>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(62,418)</w:t>
            </w: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344,974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restricted cash</w:t>
            </w:r>
          </w:p>
        </w:tc>
        <w:tc>
          <w:tcPr>
            <w:tcW w:w="1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(61,254)</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186,860</w:t>
            </w:r>
          </w:p>
        </w:tc>
      </w:tr>
      <w:tr>
        <w:trPr>
          <w:trHeight w:val="18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2023, operating activities used cash of $169.2 million, consisting primarily of (i) $783.0 million of loans held for sale; (ii) an $11.8 million decrease in due to participants which arises when loan payments are received in the current period but not processed in time to have funds remitted to the participant during the current period; the amount varies depending on payment volume and timing at quarter end; (iii) a $62.2 million increase in broker receivables which arise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and (iv) $14.6 million in contributions to non-consolidating joint ventures. These uses of cash were offset by (i) $695.5 million of proceeds from the sale of loans and (ii) $12.2 million of principal payments received from loans held for sale.</w:t>
      </w:r>
    </w:p>
    <w:p>
      <w:pPr>
        <w:spacing w:after="0" w:line="14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Cash used by investing activities primarily comprised $27.2 million used to purchase available-for-sale securities and $169.0 million in the net increase in loans held for investment, at cost, partially offset by a $29.3 million in the net decrease in loans held for investment, at fair value.</w:t>
      </w:r>
    </w:p>
    <w:p>
      <w:pPr>
        <w:spacing w:after="0" w:line="12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$345.0 million consisting primarily of a (i) $19.5 million issuance of preferred stock, (ii) $324.7 million net increase in deposits; (iii) $103.9 million of issuances of securitization trusts; (iv) $50.0 million of issuances of the 2025 8.125% Notes and (v) $40.0 million of issuances of the 2028 8.00% Notes. These sources of cash were offset by (i) $90.8 million of principal payments related to securitization notes payable and $78.7 million of net payments under our bank notes payable.</w:t>
      </w:r>
    </w:p>
    <w:p>
      <w:pPr>
        <w:spacing w:after="0" w:line="13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association with the January 6, 2023 Acquisition and election to withdraw the Company’s status as a BDC, the Company’s newly consolidated subsidiaries’ cash was added to the balance sheet of the Company for the year ended December 31, 2023.</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the Company’s obligations and commitments as of December 31, 2023. Amounts represent principal only and are not shown net of unamortized debt issuance costs.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12—BORROWINGS.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17"/>
        </w:trPr>
        <w:tc>
          <w:tcPr>
            <w:tcW w:w="2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80" w:type="dxa"/>
            <w:vAlign w:val="bottom"/>
          </w:tcPr>
          <w:p>
            <w:pPr>
              <w:spacing w:after="0"/>
              <w:rPr>
                <w:sz w:val="10"/>
                <w:szCs w:val="10"/>
                <w:color w:val="auto"/>
              </w:rPr>
            </w:pPr>
          </w:p>
        </w:tc>
        <w:tc>
          <w:tcPr>
            <w:tcW w:w="10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370"/>
              <w:spacing w:after="0" w:line="117" w:lineRule="exact"/>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230"/>
              <w:spacing w:after="0" w:line="117" w:lineRule="exact"/>
              <w:rPr>
                <w:sz w:val="20"/>
                <w:szCs w:val="20"/>
                <w:color w:val="auto"/>
              </w:rPr>
            </w:pPr>
            <w:r>
              <w:rPr>
                <w:rFonts w:ascii="Times New Roman" w:cs="Times New Roman" w:eastAsia="Times New Roman" w:hAnsi="Times New Roman"/>
                <w:sz w:val="11"/>
                <w:szCs w:val="11"/>
                <w:b w:val="1"/>
                <w:bCs w:val="1"/>
                <w:color w:val="auto"/>
              </w:rPr>
              <w:t>Thereafter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Demand</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Checking</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Savings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296,223</w:t>
            </w:r>
          </w:p>
        </w:tc>
      </w:tr>
      <w:tr>
        <w:trPr>
          <w:trHeight w:val="18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 Company Notes: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2024</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2025</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2026</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0A2299"/>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2028</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Employment Agreements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2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1,124,644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407,664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170,572</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147,315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62,125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40,745</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Guaranteed by the parent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At December 31, 2023, the Company had $125.4 million of unfunded commitments consisting of $20.4 million in connection with its SBA 7(a) loans, $81.0 million in connection with its SBA 504 loans, $13.1 million in connection with its alternative lending program loans, and $10.9 million relating to commercial and industrial loans. The Company funds these commitments from the same sources it uses to fund its other loan commitments.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12—BORROWINGS to the consolidated financial statements for the amounts outstanding, line availability, and term. The Company is also a guarantor on an NMS term loan facility. At December 31, 2023,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fiscal year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For the fiscal year ended December 31, 2023,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59" w:lineRule="exact"/>
        <w:rPr>
          <w:sz w:val="20"/>
          <w:szCs w:val="20"/>
          <w:color w:val="auto"/>
        </w:rPr>
      </w:pPr>
    </w:p>
    <w:p>
      <w:pPr>
        <w:ind w:left="980" w:right="180" w:hanging="724"/>
        <w:spacing w:after="0" w:line="22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50" w:lineRule="exact"/>
        <w:rPr>
          <w:sz w:val="20"/>
          <w:szCs w:val="20"/>
          <w:color w:val="auto"/>
        </w:rPr>
      </w:pPr>
    </w:p>
    <w:p>
      <w:pPr>
        <w:jc w:val="both"/>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w:t>
      </w:r>
    </w:p>
    <w:p>
      <w:pPr>
        <w:spacing w:after="0" w:line="4" w:lineRule="exact"/>
        <w:rPr>
          <w:sz w:val="20"/>
          <w:szCs w:val="20"/>
          <w:color w:val="auto"/>
        </w:rPr>
      </w:pPr>
    </w:p>
    <w:p>
      <w:pPr>
        <w:ind w:left="980" w:right="580"/>
        <w:spacing w:after="0" w:line="228" w:lineRule="auto"/>
        <w:rPr>
          <w:sz w:val="20"/>
          <w:szCs w:val="20"/>
          <w:color w:val="auto"/>
        </w:rPr>
      </w:pPr>
      <w:r>
        <w:rPr>
          <w:rFonts w:ascii="Times New Roman" w:cs="Times New Roman" w:eastAsia="Times New Roman" w:hAnsi="Times New Roman"/>
          <w:sz w:val="14"/>
          <w:szCs w:val="14"/>
          <w:color w:val="auto"/>
        </w:rPr>
        <w:t>or can be derived principally from or corroborated by observable market data. This category generally includes certain U.S. Government and agency mortgage-backed debt securities, derivative contracts and loans held-for-sale.</w:t>
      </w:r>
    </w:p>
    <w:p>
      <w:pPr>
        <w:spacing w:after="0" w:line="47" w:lineRule="exact"/>
        <w:rPr>
          <w:sz w:val="20"/>
          <w:szCs w:val="20"/>
          <w:color w:val="auto"/>
        </w:rPr>
      </w:pPr>
    </w:p>
    <w:p>
      <w:pPr>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securitizations, residential mortgage servicing assets, warrant liabilities, joint ventures, guaranteed loans held at fair value, and highly structured or long-term derivative contracts.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Instruments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4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01" w:name="page102"/>
    <w:bookmarkEnd w:id="101"/>
    <w:p>
      <w:pPr>
        <w:ind w:right="12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See NOTE 1—DESCRIPTION OF BUSINESS AND BASIS OF PRESENTATION under the heading “Fair Value Measurements” and NOTE 9—FAIR VALUE MEASUREMENTS for a detailed discussion of determining fair value, including pricing validation processes.</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believe our portfolio as of December 31, 2023 and December 31, 2022 approximates fair value as of those dates based on the markets in which we operate and other conditions in existence on those reporting dates.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02" w:name="page103"/>
    <w:bookmarkEnd w:id="102"/>
    <w:p>
      <w:pPr>
        <w:ind w:right="20"/>
        <w:spacing w:after="0" w:line="253"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Nonaccrual Loans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judgement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15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For the fiscal year ended December 31, 2023, the Company accounted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Recognition</w:t>
      </w:r>
    </w:p>
    <w:p>
      <w:pPr>
        <w:spacing w:after="0" w:line="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For the fiscal year ended December 31, 2023,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under the PPP that began in the second quarter of 2020, the SBA reimbursed the Company for originating loans. Such SBA reimbursements are included as interest income on PPP loans.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fees are accounted for under ASC-310 Receivables and deferred until the loan was sold to one of our Participants. Income earned in connection with the PPP should not be viewed as recurring.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funded the balance of its PPP loans by the end of July 2021. NSBF has redeployed the resources used to generate PPP loans to the origination of SBA 7(a) loans.</w:t>
      </w:r>
    </w:p>
    <w:p>
      <w:pPr>
        <w:spacing w:after="0" w:line="185"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2023,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ind w:right="400"/>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2023, we received a variety of fees from borrowers in the ordinary course of conducting our business, including packaging fees, legal fees, late fees and prepayment fees. All other income was recorded when earned.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fiscal year ended December 31, 2023, distributions of earnings from our joint ventures were evaluated to determine if the distribution is income, return of capital or realized gain.</w:t>
      </w:r>
    </w:p>
    <w:p>
      <w:pPr>
        <w:spacing w:after="0" w:line="20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4"/>
          <w:szCs w:val="14"/>
          <w:color w:val="auto"/>
        </w:rPr>
        <w:t>Following our conversion to a financial holding company, we generate income in the form of interest, servicing and other fee income on the loans we and Newtek Bank originate. In addition, our portfolio companies have become consolidating subsidiaries of NewtekOne in 2023 and therefore, under the new organizational structure, their income is consolidated within the statement of operations going forward along with our joint ventures. With the inclusion of NMS, NIA, PMT, and NTS, we now report Technology and IT Support Income and Electronic Payment Processing Income on our consolidated statements of income, and we include insurance commissions income and payroll processing income within Other Noninterest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Provision for Income Taxes and Related Accounts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47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1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2023, we continue to believe it is more likely than not that the benefit for certain state net operating loss carryforwards will not be realized.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provision for income taxes, refer to NOTE 21—INCOME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104" w:name="page105"/>
    <w:bookmarkEnd w:id="104"/>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probable credit losses.</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14 (Commitments and Contingencies) of the Company’s audited consolidated financial statements included in Item 8 of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 performed a review of events subsequent to the balance sheet date through the date the financial statements were issued and determined that there were no such events requiring recognition or disclosure in the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NewtekOne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5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4"/>
          <w:szCs w:val="14"/>
          <w:color w:val="auto"/>
        </w:rPr>
        <w:t>The Company’s invested cash (includes cash and cash equivalents and restricted cash) of approximately $184.0 million is subject to changes in the Federal Funds rate set by the Federal Open Market Committee.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December 31, 2023, cash deposits in excess of insured amounts totaled approximately $37.2 million. The Company and its non-bank subsidiaries have deposit accounts at Newtek Bank that total $55.6 million, of which $52.8 million is uninsured.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05" w:name="page106"/>
    <w:bookmarkEnd w:id="105"/>
    <w:p>
      <w:pPr>
        <w:ind w:right="60"/>
        <w:spacing w:after="0" w:line="248"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available-for-sale securities, loan and lease portfolio, and available funding sources.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1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December 31, 2023,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640" w:type="dxa"/>
            <w:vAlign w:val="bottom"/>
            <w:gridSpan w:val="5"/>
          </w:tcPr>
          <w:p>
            <w:pPr>
              <w:ind w:left="1600"/>
              <w:spacing w:after="0"/>
              <w:rPr>
                <w:sz w:val="20"/>
                <w:szCs w:val="20"/>
                <w:color w:val="auto"/>
              </w:rPr>
            </w:pPr>
            <w:r>
              <w:rPr>
                <w:rFonts w:ascii="Times New Roman" w:cs="Times New Roman" w:eastAsia="Times New Roman" w:hAnsi="Times New Roman"/>
                <w:sz w:val="11"/>
                <w:szCs w:val="11"/>
                <w:color w:val="auto"/>
              </w:rPr>
              <w:t>Estimated Increase/Decrease in Net Interest Income</w:t>
            </w: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Estimated Percentage Change in EVE</w:t>
            </w:r>
          </w:p>
        </w:tc>
      </w:tr>
      <w:tr>
        <w:trPr>
          <w:trHeight w:val="153"/>
        </w:trPr>
        <w:tc>
          <w:tcPr>
            <w:tcW w:w="80" w:type="dxa"/>
            <w:vAlign w:val="bottom"/>
          </w:tcPr>
          <w:p>
            <w:pPr>
              <w:spacing w:after="0"/>
              <w:rPr>
                <w:sz w:val="13"/>
                <w:szCs w:val="13"/>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6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color w:val="auto"/>
              </w:rPr>
              <w:t>12 Months Beginning December 31, 2023</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color w:val="auto"/>
              </w:rPr>
              <w:t>12 Months Beginning December 31, 2024</w:t>
            </w:r>
          </w:p>
        </w:tc>
        <w:tc>
          <w:tcPr>
            <w:tcW w:w="100" w:type="dxa"/>
            <w:vAlign w:val="bottom"/>
          </w:tcPr>
          <w:p>
            <w:pPr>
              <w:spacing w:after="0"/>
              <w:rPr>
                <w:sz w:val="13"/>
                <w:szCs w:val="13"/>
                <w:color w:val="auto"/>
              </w:rPr>
            </w:pPr>
          </w:p>
        </w:tc>
        <w:tc>
          <w:tcPr>
            <w:tcW w:w="27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1"/>
                <w:szCs w:val="11"/>
                <w:color w:val="auto"/>
              </w:rPr>
              <w:t>As of December 31, 2023</w:t>
            </w:r>
          </w:p>
        </w:tc>
        <w:tc>
          <w:tcPr>
            <w:tcW w:w="80" w:type="dxa"/>
            <w:vAlign w:val="bottom"/>
          </w:tcPr>
          <w:p>
            <w:pPr>
              <w:spacing w:after="0"/>
              <w:rPr>
                <w:sz w:val="13"/>
                <w:szCs w:val="13"/>
                <w:color w:val="auto"/>
              </w:rPr>
            </w:pPr>
          </w:p>
        </w:tc>
      </w:tr>
      <w:tr>
        <w:trPr>
          <w:trHeight w:val="177"/>
        </w:trPr>
        <w:tc>
          <w:tcPr>
            <w:tcW w:w="80" w:type="dxa"/>
            <w:vAlign w:val="bottom"/>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7.7</w:t>
            </w:r>
          </w:p>
        </w:tc>
        <w:tc>
          <w:tcPr>
            <w:tcW w:w="29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(7.6)</w:t>
            </w:r>
          </w:p>
        </w:tc>
        <w:tc>
          <w:tcPr>
            <w:tcW w:w="290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r>
      <w:tr>
        <w:trPr>
          <w:trHeight w:val="184"/>
        </w:trPr>
        <w:tc>
          <w:tcPr>
            <w:tcW w:w="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(15.4)</w:t>
            </w:r>
          </w:p>
        </w:tc>
        <w:tc>
          <w:tcPr>
            <w:tcW w:w="29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r>
      <w:tr>
        <w:trPr>
          <w:trHeight w:val="664"/>
        </w:trPr>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00" w:type="dxa"/>
            <w:vAlign w:val="bottom"/>
            <w:gridSpan w:val="3"/>
          </w:tcPr>
          <w:p>
            <w:pPr>
              <w:jc w:val="right"/>
              <w:ind w:right="2576"/>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6" w:name="page107"/>
    <w:bookmarkEnd w:id="106"/>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financial statements and related notes begin on Page F-1, which are included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Evaluation of Disclosure Controls and Procedures:</w:t>
      </w:r>
    </w:p>
    <w:p>
      <w:pPr>
        <w:spacing w:after="0" w:line="19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As of December 31, 2023 (the end of the period covered by this report), management evaluated the effectiveness of the design and operation of the Company’s disclosure controls and procedures (as defined in Rule 13a-15(e) of the Exchange Act).</w:t>
      </w:r>
    </w:p>
    <w:p>
      <w:pPr>
        <w:spacing w:after="0" w:line="14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Based on the evaluation of our disclosure controls and procedures management concluded that the Company’s disclosure controls and procedures were not effective as of December 31, 2023, due to certain factors including identified material weaknesses.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be presented or not detected on a timely basis.</w:t>
      </w:r>
    </w:p>
    <w:p>
      <w:pPr>
        <w:spacing w:after="0" w:line="15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Based on additional analysis and other procedures performed by management, management concluded that the Consolidated Financial Statements included in this report fairly present in all material respects the Company’s financial position, results of operations, capital position, and cash flows for the periods presented, in conformity with U.S. GAAP. See the discussion below under “Management’s Report on Internal Control Over Financial Reporting” for further information regarding the material weaknesses identified, as well as “NOTE 24—SELECTED QUARTERLY FINANCIAL DATA (UNAUDITED)” to our consolidated financial statements included in “Item 15. Exhibits and Financial Statement Schedules” of this Form 10-K for further information regarding the 2023 prior period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Management’s Report on Internal Control over Financial Reporting</w:t>
      </w:r>
    </w:p>
    <w:p>
      <w:pPr>
        <w:spacing w:after="0" w:line="1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(“ICFR”) and for performing an assessment of the effectiveness of ICFR as of December 31, 2023, as such term is defined in Exchange Act Rule 13a-15(f). ICFR is a process designed to provide reasonable assurance regarding the reliability of financial reporting and the preparation of financial statements for external purposes in accordance with GAAP. The Company’s ICFR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the Board</w:t>
      </w:r>
    </w:p>
    <w:p>
      <w:pPr>
        <w:ind w:right="400" w:firstLine="5"/>
        <w:spacing w:after="0" w:line="247" w:lineRule="auto"/>
        <w:tabs>
          <w:tab w:leader="none" w:pos="7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(iii)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ICFR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7" w:name="page108"/>
    <w:bookmarkEnd w:id="107"/>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Management assessed the effectiveness of our ICFR based upon the criteria set forth by the Committee of Sponsoring Organizations of the Treadway Commission (“COSO”) in Internal Control — Integrated Framework (2013). Based on this assessment, management concluded that the Company did not maintain effective ICFR as of December 31, 2023, as a result of the material weaknesses described below.</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Material Weaknesses in Internal Control Over Financial Reporting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weaknesses that were identified are as follows:</w:t>
      </w:r>
    </w:p>
    <w:p>
      <w:pPr>
        <w:spacing w:after="0" w:line="187" w:lineRule="exact"/>
        <w:rPr>
          <w:sz w:val="20"/>
          <w:szCs w:val="20"/>
          <w:color w:val="auto"/>
        </w:rPr>
      </w:pPr>
    </w:p>
    <w:p>
      <w:pPr>
        <w:ind w:left="520" w:hanging="260"/>
        <w:spacing w:after="0"/>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Significant Unusual Transactions </w:t>
      </w:r>
      <w:r>
        <w:rPr>
          <w:rFonts w:ascii="Times New Roman" w:cs="Times New Roman" w:eastAsia="Times New Roman" w:hAnsi="Times New Roman"/>
          <w:sz w:val="14"/>
          <w:szCs w:val="14"/>
          <w:color w:val="auto"/>
        </w:rPr>
        <w:t>– As noted in Item 1. Business, the Company completed the Acquisition and converted from a BDC to a financial holding company effective January 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which caused a major restructuring within the Company, including a transition from being regulated under the 1940 Act and no longer qualifying for accounting treatment as an investment company, which resulted in a significant change in the Company’s accounting and financial reporting requirements for the year ended December 31, 2023. Given the effect of the Acquisition on the Company’s accounting and reporting requirements, the Company expended considerable capital and resources and engaged a reputable, national public accounting firm to assist management with this transition. Ultimately, the Company did not adequately or appropriately identify and assess changes and resulting risks that could significantly impact the system of internal control. This material weakness impacted the consolidation of the control investments that occurred on January 6, 2023 and the three subsequent interim periods, specifically goodwill and intangibles, net deferred tax assets, income taxes receivable, income tax expense, additional paid in capital, non-interest income and expense, and EPS. It also could affect all transaction cycles within the financial statements.</w:t>
      </w:r>
    </w:p>
    <w:p>
      <w:pPr>
        <w:spacing w:after="0" w:line="165" w:lineRule="exact"/>
        <w:rPr>
          <w:rFonts w:ascii="Times New Roman" w:cs="Times New Roman" w:eastAsia="Times New Roman" w:hAnsi="Times New Roman"/>
          <w:sz w:val="14"/>
          <w:szCs w:val="14"/>
          <w:color w:val="auto"/>
        </w:rPr>
      </w:pPr>
    </w:p>
    <w:p>
      <w:pPr>
        <w:ind w:left="520" w:right="60" w:hanging="260"/>
        <w:spacing w:after="0" w:line="244"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SOX Governance Program </w:t>
      </w:r>
      <w:r>
        <w:rPr>
          <w:rFonts w:ascii="Times New Roman" w:cs="Times New Roman" w:eastAsia="Times New Roman" w:hAnsi="Times New Roman"/>
          <w:sz w:val="14"/>
          <w:szCs w:val="14"/>
          <w:color w:val="auto"/>
        </w:rPr>
        <w:t>– Further adding to the complexity of the significant unusual transactions, the Company’s previously unconsolidated portfolio companies became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subject to the heightened standards of ICFR required by a SEC registrant under SOX 404 for the first time. While the Company engaged a reputable, national public accounting firm to prepare for this transition and the Acquisition, as noted above, there were significant delays in the documentation of the internal control environment’s processes, resulting in inadequate and untimely identification of financial reporting risks and the associated identification of key controls. This material weakness in our control environment impacted the overall effectiveness of our ICFR and also contributed to the Company adjusting its previously issued quarterly financial statements for 2023 as discussed in “NOTE 24—SELECTED QUARTERLY FINANCIAL DATA (UNAUDITED)” to our consolidated financial statements. This material weakness could affect all transaction cycles within the financial statements.</w:t>
      </w:r>
    </w:p>
    <w:p>
      <w:pPr>
        <w:spacing w:after="0" w:line="163" w:lineRule="exact"/>
        <w:rPr>
          <w:rFonts w:ascii="Times New Roman" w:cs="Times New Roman" w:eastAsia="Times New Roman" w:hAnsi="Times New Roman"/>
          <w:sz w:val="14"/>
          <w:szCs w:val="14"/>
          <w:color w:val="auto"/>
        </w:rPr>
      </w:pPr>
    </w:p>
    <w:p>
      <w:pPr>
        <w:ind w:left="520" w:right="40" w:hanging="260"/>
        <w:spacing w:after="0" w:line="242" w:lineRule="auto"/>
        <w:tabs>
          <w:tab w:leader="none" w:pos="516"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Knowledge, Skills, and Experience of Staff </w:t>
      </w:r>
      <w:r>
        <w:rPr>
          <w:rFonts w:ascii="Times New Roman" w:cs="Times New Roman" w:eastAsia="Times New Roman" w:hAnsi="Times New Roman"/>
          <w:sz w:val="14"/>
          <w:szCs w:val="14"/>
          <w:color w:val="auto"/>
        </w:rPr>
        <w:t>– Given the conversion to a financial holding company, the knowledge, skills, and experience of Company staff that comprised those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reporting oversight role consisted of individuals with experience at a public investment company and/or BDC, in positions with less financial reporting oversight at public companies, and/or limited public accounting experience auditing public financial holding companies. This impacted the overall effectiveness of the Company’s ICFR and also contributed to the Company adjusting its previously issued quarterly condensed financial statements for 2023, as discussed in “NOTE 24—SELECTED QUARTERLY FINANCIAL DATA (UNAUDITED)” to our consolidated financial statements. This material weakness could affect all transaction cycles within the financial statements.</w:t>
      </w:r>
    </w:p>
    <w:p>
      <w:pPr>
        <w:spacing w:after="0" w:line="164" w:lineRule="exact"/>
        <w:rPr>
          <w:rFonts w:ascii="Times New Roman" w:cs="Times New Roman" w:eastAsia="Times New Roman" w:hAnsi="Times New Roman"/>
          <w:sz w:val="14"/>
          <w:szCs w:val="14"/>
          <w:b w:val="1"/>
          <w:bCs w:val="1"/>
          <w:color w:val="auto"/>
        </w:rPr>
      </w:pPr>
    </w:p>
    <w:p>
      <w:pPr>
        <w:ind w:left="520" w:right="40" w:hanging="260"/>
        <w:spacing w:after="0" w:line="24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Information Technology General Controls (ITGC) </w:t>
      </w:r>
      <w:r>
        <w:rPr>
          <w:rFonts w:ascii="Times New Roman" w:cs="Times New Roman" w:eastAsia="Times New Roman" w:hAnsi="Times New Roman"/>
          <w:sz w:val="14"/>
          <w:szCs w:val="14"/>
          <w:color w:val="auto"/>
        </w:rPr>
        <w:t>– In the course of completing the Company’s assessment of ICFR as of December 31, 2023, management identified a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deficiencies related to the design and operating effectiveness of ITGCs for information systems that comprised part of the Company’s system of ICFR and are relevant to the preparation of the Company’s consolidated financial statements (such information technology systems are referred to as the “Affected IT Systems”). These deficiencies in the design and operating effectiveness of the controls involved logical access and program change management that are intended to ensure that access to financial applications and data are adequately restricted to appropriate personnel, and that changes affecting the financial applications and underlying account records are identified, authorized, tested and implemented appropriately. The material weakness was due to system limitations as a result to the age of the technology, which resulted in management’s inability to generate details of configuration, changes, and settings to evidence the operating effectiveness of ITGCs. Management has concluded that deficiencies in ITGC logical access and related program change management, including controls intended to ensure that access rights are compatible with job duties (segregation of duties) and to test changes to relevant information systems, existed and therefore represented a material weakness. This material weakness could affect all transaction cycles within the financial statements.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108" w:name="page109"/>
    <w:bookmarkEnd w:id="108"/>
    <w:p>
      <w:pPr>
        <w:ind w:left="520" w:right="20" w:hanging="260"/>
        <w:spacing w:after="0" w:line="244" w:lineRule="auto"/>
        <w:tabs>
          <w:tab w:leader="none" w:pos="516"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Review Controls </w:t>
      </w:r>
      <w:r>
        <w:rPr>
          <w:rFonts w:ascii="Times New Roman" w:cs="Times New Roman" w:eastAsia="Times New Roman" w:hAnsi="Times New Roman"/>
          <w:sz w:val="14"/>
          <w:szCs w:val="14"/>
          <w:color w:val="auto"/>
        </w:rPr>
        <w:t>– Management identified deficiencies due to the design and operating effectiveness of management review controls, including documentation and the level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precision. The deficiencies related to control gaps, unmitigated risks, untimely review, insufficient documentation, improper testing procedures, and inconsistent performance frequency of certain controls. This includes ITGCs that did not operate effectively due to insufficient management review controls related to the precision of the review, completeness and accuracy and insufficient evidence of report lists, and the parameters used to generate such report lists. The Company did not sufficiently document and deploy appropriate control activities through policies that establish what is expected and in procedures that put policies into action which resulted in a material weakness. This material weakness could affect all transaction cycles within the financial statements.</w:t>
      </w:r>
    </w:p>
    <w:p>
      <w:pPr>
        <w:spacing w:after="0" w:line="163" w:lineRule="exact"/>
        <w:rPr>
          <w:rFonts w:ascii="Times New Roman" w:cs="Times New Roman" w:eastAsia="Times New Roman" w:hAnsi="Times New Roman"/>
          <w:sz w:val="14"/>
          <w:szCs w:val="14"/>
          <w:color w:val="auto"/>
        </w:rPr>
      </w:pPr>
    </w:p>
    <w:p>
      <w:pPr>
        <w:ind w:left="520" w:hanging="260"/>
        <w:spacing w:after="0" w:line="242" w:lineRule="auto"/>
        <w:tabs>
          <w:tab w:leader="none" w:pos="516"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Completeness and Accuracy of Information Produced by the Entity (“IPE”) </w:t>
      </w:r>
      <w:r>
        <w:rPr>
          <w:rFonts w:ascii="Times New Roman" w:cs="Times New Roman" w:eastAsia="Times New Roman" w:hAnsi="Times New Roman"/>
          <w:sz w:val="14"/>
          <w:szCs w:val="14"/>
          <w:color w:val="auto"/>
        </w:rPr>
        <w:t>– Management identified deficiencies due to a lack of available and reliable IPE, including multiple control gaps.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control gaps are related to reports extracted from Affected IT Systems that were not verified for completeness and accuracy. These deficiencies related to untimely review, insufficient documentation, improper testing procedures, and ineffective design of certain controls. Management did not sufficiently select and develop IPE control activities that contribute to the mitigation of risks to achieve the reduction of risk to acceptable levels which resulted in a material weakness. This material weakness could affect all transaction cycles within the financial statements.</w:t>
      </w:r>
    </w:p>
    <w:p>
      <w:pPr>
        <w:spacing w:after="0" w:line="175" w:lineRule="exact"/>
        <w:rPr>
          <w:rFonts w:ascii="Times New Roman" w:cs="Times New Roman" w:eastAsia="Times New Roman" w:hAnsi="Times New Roman"/>
          <w:sz w:val="14"/>
          <w:szCs w:val="14"/>
          <w:color w:val="auto"/>
        </w:rPr>
      </w:pPr>
    </w:p>
    <w:p>
      <w:pPr>
        <w:ind w:left="520" w:right="20" w:hanging="260"/>
        <w:spacing w:after="0" w:line="262" w:lineRule="auto"/>
        <w:tabs>
          <w:tab w:leader="none" w:pos="516"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NTS System Conversion </w:t>
      </w:r>
      <w:r>
        <w:rPr>
          <w:rFonts w:ascii="Times New Roman" w:cs="Times New Roman" w:eastAsia="Times New Roman" w:hAnsi="Times New Roman"/>
          <w:sz w:val="14"/>
          <w:szCs w:val="14"/>
          <w:color w:val="auto"/>
        </w:rPr>
        <w:t>– NTS’s system of record for webhosting revenue was converted during the first quarter of 2023 and certain changes made to the sunsetting system and the newly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implemented system to which it was converted were not tested and approved in a separate environment prior to being placed into production, which is a program change management ITGC. As it specifically relates to this system conversion, the deficiencies in the aforementioned change management controls resulted in this material weakness as management did not develop sufficient general control activities over technology to support the achievement of the conversion’s objectives. This material weakness impacted other assets, retained earnings, technology services expense, and technology and IT support income.</w:t>
      </w:r>
    </w:p>
    <w:p>
      <w:pPr>
        <w:spacing w:after="0" w:line="161" w:lineRule="exact"/>
        <w:rPr>
          <w:rFonts w:ascii="Times New Roman" w:cs="Times New Roman" w:eastAsia="Times New Roman" w:hAnsi="Times New Roman"/>
          <w:sz w:val="14"/>
          <w:szCs w:val="14"/>
          <w:color w:val="auto"/>
        </w:rPr>
      </w:pPr>
    </w:p>
    <w:p>
      <w:pPr>
        <w:ind w:left="520" w:right="20" w:hanging="260"/>
        <w:spacing w:after="0" w:line="265" w:lineRule="auto"/>
        <w:tabs>
          <w:tab w:leader="none" w:pos="516"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NTS Revenue Cycle </w:t>
      </w:r>
      <w:r>
        <w:rPr>
          <w:rFonts w:ascii="Times New Roman" w:cs="Times New Roman" w:eastAsia="Times New Roman" w:hAnsi="Times New Roman"/>
          <w:sz w:val="14"/>
          <w:szCs w:val="14"/>
          <w:color w:val="auto"/>
        </w:rPr>
        <w:t>– Multiple controls over revenue recognition at NTS were not designed and implemented appropriately and/or did not operate effectively. As it specifically relates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deficiency, there was excessive turnover in the NTS controller role which led to the deficiencies in design, implementation, and operating effectiveness of the controls. Management did not consistently retain individuals in that financial reporting oversight role resulting in a material weakness This material weakness impacted other assets, retained earnings, technology services expense, and technology and IT support income.</w:t>
      </w:r>
    </w:p>
    <w:p>
      <w:pPr>
        <w:spacing w:after="0" w:line="15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Audit Report of the Registered Public Accounting Firm.</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RSM US LLP, our independent registered public accounting firm, has issued an audit report on the effectiveness of the Company’s internal control over financial reporting as of December 31, 2023, as stated in its report, which is included under “ITEM 8. CONSOLIDATED FINANCIAL STATEMENTS AND SUPPLEMENTARY DATA” of this annual report on Form 10-K, which is consistent with management’s report on ICFR as set forth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Changes in Internal Control over Financial Reporting.</w:t>
      </w:r>
    </w:p>
    <w:p>
      <w:pPr>
        <w:spacing w:after="0" w:line="19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Except as described below under “Remediation Process,” there were no changes in the Company’s ICFR (as defined in Rule 13a-15(f) of the Exchange Act) that occurred during our most recently completed fiscal quarter, that have materially affected, or are reasonably likely to materially affect, the Company’s ICFR.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Process</w:t>
      </w:r>
    </w:p>
    <w:p>
      <w:pPr>
        <w:spacing w:after="0" w:line="19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While certain actions have been taken to enhance the Company’s ICFR relating to the material weaknesses identified as of the date of this report, we are still in the process of implementing our comprehensive remediation plan. Accordingly, the previously identified material weaknesses cannot be considered remediated until each control has been appropriately designed, has operated for a sufficient period of time, and until management has concluded, through testing, that the control is operating effectively.</w:t>
      </w:r>
    </w:p>
    <w:p>
      <w:pPr>
        <w:spacing w:after="0" w:line="14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Following the identification of the material weaknesses described above, with the oversight of the Audit Committee, we commenced a process to remediate the underlying causes of those material weaknesses, enhance the control environment and strengthen our ICFR. The initial steps that the Company has taken to-date, and will continue to take, with respect to remediation of the material weaknesses identified are summarized below:</w:t>
      </w:r>
    </w:p>
    <w:p>
      <w:pPr>
        <w:spacing w:after="0" w:line="157" w:lineRule="exact"/>
        <w:rPr>
          <w:sz w:val="20"/>
          <w:szCs w:val="20"/>
          <w:color w:val="auto"/>
        </w:rPr>
      </w:pPr>
    </w:p>
    <w:p>
      <w:pPr>
        <w:ind w:left="5540" w:right="4380" w:hanging="5280"/>
        <w:spacing w:after="0" w:line="651" w:lineRule="auto"/>
        <w:tabs>
          <w:tab w:leader="none" w:pos="51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hiring of senior financial management and additional qualified finance and accounting resources, including: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7" w:right="359" w:bottom="1440" w:gutter="0" w:footer="0" w:header="0"/>
        </w:sectPr>
      </w:pPr>
    </w:p>
    <w:bookmarkStart w:id="109" w:name="page110"/>
    <w:bookmarkEnd w:id="109"/>
    <w:p>
      <w:pPr>
        <w:ind w:left="1020" w:hanging="251"/>
        <w:spacing w:after="0" w:line="249" w:lineRule="auto"/>
        <w:tabs>
          <w:tab w:leader="none" w:pos="101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hiring of a Chief Financial Officer in May 2023 with significant financial holding company experience and prior experience as a Chief Accounting Officer of a financial holding company, who was appointed to and is serving as the Company’s Principal Financial Officer as of April 1, 2024;</w:t>
      </w:r>
    </w:p>
    <w:p>
      <w:pPr>
        <w:ind w:left="1020" w:right="200" w:hanging="251"/>
        <w:spacing w:after="0" w:line="237" w:lineRule="auto"/>
        <w:tabs>
          <w:tab w:leader="none" w:pos="101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 new Chief Accounting Officer with significant financial holding company experience and prior experience as a Chief Accounting Officer of a bank holding company who is serving as the Company’s Principal Accounting Officer as of April 1, 2024;</w:t>
      </w:r>
    </w:p>
    <w:p>
      <w:pPr>
        <w:ind w:left="1020" w:right="440" w:hanging="251"/>
        <w:spacing w:after="0" w:line="237" w:lineRule="auto"/>
        <w:tabs>
          <w:tab w:leader="none" w:pos="101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hiring and appointment of a Chief Risk Officer with significant financial holding company experience and prior experience as a Chief Audit Executive of a bank holding company who began employment on April 1, 2024;</w:t>
      </w:r>
    </w:p>
    <w:p>
      <w:pPr>
        <w:ind w:left="1020" w:right="20" w:hanging="251"/>
        <w:spacing w:after="0" w:line="235" w:lineRule="auto"/>
        <w:tabs>
          <w:tab w:leader="none" w:pos="101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recent and anticipated hiring of additional qualified finance and accounting resources, as well as providing appropriate training to the relevant current and/or prospective control owners.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the design, operation, and monitoring of control activities and procedures to address ICFR requirements, including:</w:t>
      </w:r>
    </w:p>
    <w:p>
      <w:pPr>
        <w:spacing w:after="0" w:line="14" w:lineRule="exact"/>
        <w:rPr>
          <w:rFonts w:ascii="Times New Roman" w:cs="Times New Roman" w:eastAsia="Times New Roman" w:hAnsi="Times New Roman"/>
          <w:sz w:val="14"/>
          <w:szCs w:val="14"/>
          <w:color w:val="auto"/>
        </w:rPr>
      </w:pPr>
    </w:p>
    <w:p>
      <w:pPr>
        <w:ind w:left="1020" w:hanging="251"/>
        <w:spacing w:after="0" w:line="237" w:lineRule="auto"/>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Improvements to the financial reporting process and control activities, including strengthening reconciliation controls;</w:t>
      </w:r>
    </w:p>
    <w:p>
      <w:pPr>
        <w:ind w:left="1020" w:hanging="251"/>
        <w:spacing w:after="0" w:line="237" w:lineRule="auto"/>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expansion of the responsibilities of the Company’s third-party internal audit provider; and</w:t>
      </w:r>
    </w:p>
    <w:p>
      <w:pPr>
        <w:ind w:left="1020" w:right="360" w:hanging="251"/>
        <w:spacing w:after="0" w:line="247" w:lineRule="auto"/>
        <w:tabs>
          <w:tab w:leader="none" w:pos="101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evaluation of the Company’s third-party vendors whose role is the facilitation of the timely documentation and related evaluation of the design and operating effectiveness of IFCR under SOX 404 and commensurate with the complexity of a well-diversified financial holding company who actively participates in the capital markets.</w:t>
      </w:r>
    </w:p>
    <w:p>
      <w:pPr>
        <w:spacing w:after="0" w:line="161" w:lineRule="exact"/>
        <w:rPr>
          <w:rFonts w:ascii="Times New Roman" w:cs="Times New Roman" w:eastAsia="Times New Roman" w:hAnsi="Times New Roman"/>
          <w:sz w:val="14"/>
          <w:szCs w:val="14"/>
          <w:color w:val="auto"/>
        </w:rPr>
      </w:pPr>
    </w:p>
    <w:p>
      <w:pPr>
        <w:ind w:left="520" w:right="300" w:hanging="260"/>
        <w:spacing w:after="0" w:line="254"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the design, operating effectiveness, and documentation of management review controls and controls designed to verify the completeness and accuracy of data and IPE used in financial reporting. These activities include the development of new management review controls, training, and education for process owners on audit requirements, and the creation of review templates to properly document evidence of management review in addition to building a data governance framework for data used in financial reporting.</w:t>
      </w:r>
    </w:p>
    <w:p>
      <w:pPr>
        <w:spacing w:after="0" w:line="157"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 new ERP system, along with other technology, that interfaces with other internal systems and are designed to ensure only authorized individuals can access certain modules and perform certain duties based on their role and responsibilities. Detailed processes and automated controls are maintained in the systems in an effort to ensure all control activities conform with our risk and control matrix, and to limit manual intervention and the risk of human error.</w:t>
      </w:r>
    </w:p>
    <w:p>
      <w:pPr>
        <w:spacing w:after="0" w:line="157" w:lineRule="exact"/>
        <w:rPr>
          <w:rFonts w:ascii="Times New Roman" w:cs="Times New Roman" w:eastAsia="Times New Roman" w:hAnsi="Times New Roman"/>
          <w:sz w:val="14"/>
          <w:szCs w:val="14"/>
          <w:color w:val="auto"/>
        </w:rPr>
      </w:pPr>
    </w:p>
    <w:p>
      <w:pPr>
        <w:ind w:left="520" w:right="600" w:hanging="260"/>
        <w:spacing w:after="0" w:line="255"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new financial reporting software with (i) greater preventative controls that address completeness and accuracy of information produced by the Company and (ii) data connections that are directly tied to source systems and are explicitly linked to the future data governance framework.</w:t>
      </w:r>
    </w:p>
    <w:p>
      <w:pPr>
        <w:spacing w:after="0" w:line="156" w:lineRule="exact"/>
        <w:rPr>
          <w:rFonts w:ascii="Times New Roman" w:cs="Times New Roman" w:eastAsia="Times New Roman" w:hAnsi="Times New Roman"/>
          <w:sz w:val="14"/>
          <w:szCs w:val="14"/>
          <w:color w:val="auto"/>
        </w:rPr>
      </w:pPr>
    </w:p>
    <w:p>
      <w:pPr>
        <w:ind w:left="520" w:right="20" w:hanging="260"/>
        <w:spacing w:after="0" w:line="249"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has been actively engaged in the implementation of a remediation plan designed to ensure that controls contributing to remediation of our ITGC material weakness are designed appropriately and will operate effectively, which include but are not limited to the following:</w:t>
      </w:r>
    </w:p>
    <w:p>
      <w:pPr>
        <w:ind w:left="1020" w:hanging="251"/>
        <w:spacing w:after="0" w:line="237" w:lineRule="auto"/>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information technology governance policies and procedures;</w:t>
      </w:r>
    </w:p>
    <w:p>
      <w:pPr>
        <w:ind w:left="1020" w:hanging="251"/>
        <w:spacing w:after="0" w:line="237" w:lineRule="auto"/>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control activities and procedures around user and administrator access and program change management;</w:t>
      </w:r>
    </w:p>
    <w:p>
      <w:pPr>
        <w:ind w:left="1020" w:hanging="251"/>
        <w:spacing w:after="0" w:line="237" w:lineRule="auto"/>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Procuring and implementing technology to facilitate change management and logical access to systems; and</w:t>
      </w:r>
    </w:p>
    <w:p>
      <w:pPr>
        <w:ind w:left="1020" w:hanging="251"/>
        <w:spacing w:after="0"/>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of additional qualified information technology resources and providing appropriate t training to the relevant control owners.</w:t>
      </w:r>
    </w:p>
    <w:p>
      <w:pPr>
        <w:spacing w:after="0" w:line="17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The status of our remediation plan is being, and will continue to be, reported by management to the Audit Committee on a regular basis. In addition, management has assigned executive owners to oversee the remedial changes to the overall design of the Company’s internal control environment and to address the root causes of our material weaknesses.</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As management continues to evaluate and strive to improve the Company’s ICFR, management may take additional measures to address these control deficiencies or modify the previously disclosed remediation plan. While management intends to resolve all of the material weaknesses, no assurance can be provided that these remediation efforts will be successful, that the Company’s internal controls over financial reporting will be effective as a result of these efforts by any particular date, nor is it certain whether additional actions will be required.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Arrangements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On June 16, 2023, Salvatore Mulia, a member of our Board, entered into a written plan for the sale of an aggregate 9,000 shares of common stock. The plan is intended to satisfy the affirmative defense conditions of Rule 10b5-1(c) under the Exchange Act. The plan commenced on September 21, 2023 and terminates on September 22,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10 is hereby incorporated by reference from our definitive Proxy Statement relating to our 2024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is hereby incorporated by reference from our definitive Proxy Statement relating to our 2024 Annual Meeting of Shareholders, to be filed with the Securities and Exchange Commission not later than 120 days following the end of our fiscal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2023, the Company adopted a Clawback Policy in accordance with Section 10D of the Exchange Act and Rule 10D-1 promulgated thereunder.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12 is hereby incorporated by reference from our definitive Proxy Statement relating to our 2024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RELATED PARTY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is hereby incorporated by reference from our definitive Proxy Statement relating to our 2024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is hereby incorporated by reference from our definitive Proxy Statement relating to our 2024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(a)(1)</w:t>
        <w:tab/>
        <w:t>Financial Statements.</w:t>
      </w: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7"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(a)(2)</w:t>
        <w:tab/>
        <w:t>No financial statement schedules are filed herewith because (1) such schedules are not required or (2) the information has been presented in the aforementioned financial statements.</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(a)(3)</w:t>
        <w:tab/>
        <w:t>Exhibits.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exhibits are filed herewith or are incorporated by reference to exhibits previously filed with the Securities and Exchange Commission.</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127" w:right="8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80" w:type="dxa"/>
            <w:vAlign w:val="bottom"/>
            <w:gridSpan w:val="26"/>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Amended and Restated Articles of Incorporation of Newtek Business Services Corp. (Previously filed in connection with Pre-Effective Amendment No. 3 to the Registrant’s</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18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Registration Statement on Form N-2 (File No. 333-191499) filed on November 3, 2014, and incorporated by reference herein).</w:t>
              </w:r>
            </w:hyperlink>
          </w:p>
        </w:tc>
        <w:tc>
          <w:tcPr>
            <w:tcW w:w="26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3">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Amended Bylaws of NewtekOne, Inc. (Incorporated by reference to Exhibit 99.1 of NewtekOne, Inc.''s Current Report on Form 8-K, filed January 24, 2023).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80" w:type="dxa"/>
            <w:vAlign w:val="bottom"/>
          </w:tcPr>
          <w:p>
            <w:pPr>
              <w:spacing w:after="0"/>
              <w:rPr>
                <w:rFonts w:ascii="Times New Roman" w:cs="Times New Roman" w:eastAsia="Times New Roman" w:hAnsi="Times New Roman"/>
                <w:sz w:val="14"/>
                <w:szCs w:val="14"/>
                <w:color w:val="0000FF"/>
                <w:w w:val="91"/>
              </w:rPr>
            </w:pPr>
            <w:hyperlink r:id="rId134">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Newtek Conventional Lending II, LLC Limited Liability Company Agreement (Incorporated by reference to Exhibit 3.3 to Newtek’s Form 10-Q for the quarter ended March</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31, 2021 (File No. 814-01035), filed May 13, 2021.</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5">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Common Stock Certificate (Incorporated by reference to Exhibit 99.5 to Registrant’s Registration Statement on Form N-14 (File No. 333-195998), filed September 24,</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135">
              <w:r>
                <w:rPr>
                  <w:rFonts w:ascii="Times New Roman" w:cs="Times New Roman" w:eastAsia="Times New Roman" w:hAnsi="Times New Roman"/>
                  <w:sz w:val="13"/>
                  <w:szCs w:val="13"/>
                  <w:color w:val="0000FF"/>
                  <w:w w:val="95"/>
                </w:rPr>
                <w:t>2014).</w:t>
              </w:r>
            </w:hyperlink>
          </w:p>
        </w:tc>
        <w:tc>
          <w:tcPr>
            <w:tcW w:w="19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Description of Securities filed herewith.</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80" w:type="dxa"/>
            <w:vAlign w:val="bottom"/>
          </w:tcPr>
          <w:p>
            <w:pPr>
              <w:spacing w:after="0"/>
              <w:rPr>
                <w:rFonts w:ascii="Times New Roman" w:cs="Times New Roman" w:eastAsia="Times New Roman" w:hAnsi="Times New Roman"/>
                <w:sz w:val="14"/>
                <w:szCs w:val="14"/>
                <w:color w:val="0000FF"/>
                <w:w w:val="91"/>
              </w:rPr>
            </w:pPr>
            <w:hyperlink r:id="rId136">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Base Indenture, dated as of September 23, 2015, between Newtek, as issuer, and U.S. Bank National Association, as trustee (Incorporated by reference to Exhibit d.2 to</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44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Newtek’s Post-Effective Amendment No. 1 to its Registration Statement on Form N-2, No. 333-204915, filed September 23, 2015).</w:t>
              </w:r>
            </w:hyperlink>
          </w:p>
        </w:tc>
        <w:tc>
          <w:tcPr>
            <w:tcW w:w="2020" w:type="dxa"/>
            <w:vAlign w:val="bottom"/>
            <w:tcBorders>
              <w:top w:val="single" w:sz="8" w:color="0000FF"/>
            </w:tcBorders>
            <w:gridSpan w:val="5"/>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7">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4</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Fourth Supplemental Indenture, dated as of July 29, 2019, between Newtek, as issuer, and U.S. Bank, National Association, as trustee (Incorporated by reference to Exhibit d.8</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2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to Newtek’s Post-Effective Amendment No. 7 to its Registration Statement on Form N-2, No. 333-224976, filed July 29, 2019).</w:t>
              </w:r>
            </w:hyperlink>
          </w:p>
        </w:tc>
        <w:tc>
          <w:tcPr>
            <w:tcW w:w="26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7">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5</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Global Note with respect to the 5.75% Notes due 2024 (Incorporated by reference to Exhibit d.8 to Newtek’s Post-Effective Amendment No. 7 to its Registration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Statement on Form N-2, No. 333-224976, filed July 29, 2019).</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8">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6</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Fifth Supplemental Indenture, dated as of November 27, 2020, relating to the 6.85% Notes due 2025, by and between the Company and U.S. Bank, National Association, as</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6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trustee (Incorporated by reference to Exhibit 4.2 to Newtek’s Current Report on Form 8-K, filed November 27, 2020).</w:t>
              </w:r>
            </w:hyperlink>
          </w:p>
        </w:tc>
        <w:tc>
          <w:tcPr>
            <w:tcW w:w="308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9">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7</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Sixth Supplemental Indenture, dated as of January 6, 2021, relating to the 6.85% Notes due 2025, by and between the Company and U.S. Bank, National Association, as trustee</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96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(Incorporated by reference to Exhibit 4.3 to Newtek’s Current Report on Form 8-K filed January 6,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4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Seventh Supplemental Indenture dated of January 22, 2021 between Newtek Business Services Corp. and U.S. Bank National Association, as trustee (Incorporated by reference</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5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to Exhibit 4.1 to Newtek’s Current Report on Form 8-K filed January 22, 2021).</w:t>
              </w:r>
            </w:hyperlink>
          </w:p>
        </w:tc>
        <w:tc>
          <w:tcPr>
            <w:tcW w:w="544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4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5.50 % Notes due 2026 (Incorporated by reference to Exhibit 4.2 to Newtek’s Current Report on Form 8-K filed January 22, 2021).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400" w:type="dxa"/>
            <w:vAlign w:val="bottom"/>
            <w:gridSpan w:val="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10</w:t>
              </w:r>
            </w:hyperlink>
          </w:p>
        </w:tc>
        <w:tc>
          <w:tcPr>
            <w:tcW w:w="820" w:type="dxa"/>
            <w:vAlign w:val="bottom"/>
          </w:tcPr>
          <w:p>
            <w:pPr>
              <w:spacing w:after="0"/>
              <w:rPr>
                <w:sz w:val="17"/>
                <w:szCs w:val="17"/>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Eighth Supplement Indenture dated of February 16, 2021 between Newtek Business Services Corp. and U.S. Bank National Association, as trustee (Incorporated by reference</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to Exhibit 4.3 to Newtek’s Current Report on Form 8-K filed February 16, 2021).</w:t>
              </w:r>
            </w:hyperlink>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3"/>
        </w:trPr>
        <w:tc>
          <w:tcPr>
            <w:tcW w:w="240" w:type="dxa"/>
            <w:vAlign w:val="bottom"/>
            <w:gridSpan w:val="2"/>
          </w:tcPr>
          <w:p>
            <w:pPr>
              <w:spacing w:after="0"/>
              <w:rPr>
                <w:rFonts w:ascii="Times New Roman" w:cs="Times New Roman" w:eastAsia="Times New Roman" w:hAnsi="Times New Roman"/>
                <w:sz w:val="14"/>
                <w:szCs w:val="14"/>
                <w:color w:val="0000FF"/>
                <w:w w:val="89"/>
              </w:rPr>
            </w:pPr>
            <w:hyperlink r:id="rId141">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hyperlink>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5.75 % Notes due 2024 (Incorporated by reference to Exhibit 4.4 to Newtek’s Current Report on Form 8-K filed February 16, 2021).</w:t>
              </w:r>
            </w:hyperlink>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400" w:type="dxa"/>
            <w:vAlign w:val="bottom"/>
            <w:gridSpan w:val="4"/>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12</w:t>
              </w:r>
            </w:hyperlink>
          </w:p>
        </w:tc>
        <w:tc>
          <w:tcPr>
            <w:tcW w:w="820" w:type="dxa"/>
            <w:vAlign w:val="bottom"/>
          </w:tcPr>
          <w:p>
            <w:pPr>
              <w:spacing w:after="0"/>
              <w:rPr>
                <w:sz w:val="17"/>
                <w:szCs w:val="17"/>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Tenth Supplemental Indenture, dated as of March 31, 2022 relating to the 5.00% Notes due 2025, by and between the Company and U.S. Bank, National Association, as trustee</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(incorporated by reference to Exhibit 4.2 to Newtek’s Current Report on Form 8-K, filed March 31, 2022).</w:t>
              </w:r>
            </w:hyperlink>
          </w:p>
        </w:tc>
        <w:tc>
          <w:tcPr>
            <w:tcW w:w="3900" w:type="dxa"/>
            <w:vAlign w:val="bottom"/>
            <w:tcBorders>
              <w:top w:val="single" w:sz="8" w:color="0000FF"/>
            </w:tcBorders>
            <w:gridSpan w:val="19"/>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13"/>
        </w:trPr>
        <w:tc>
          <w:tcPr>
            <w:tcW w:w="400" w:type="dxa"/>
            <w:vAlign w:val="bottom"/>
            <w:gridSpan w:val="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Dividend Reinvestment Plan (Previously filed in connection with Pre-Effective Amendment No. 3 to the Registrant’s Registration Statement on Form N-2 (File No.</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333-191499) filed on November 3, 2014, and incorporated by reference herein).</w:t>
              </w:r>
            </w:hyperlink>
          </w:p>
        </w:tc>
        <w:tc>
          <w:tcPr>
            <w:tcW w:w="200" w:type="dxa"/>
            <w:vAlign w:val="bottom"/>
            <w:gridSpan w:val="8"/>
          </w:tcPr>
          <w:p>
            <w:pPr>
              <w:spacing w:after="0"/>
              <w:rPr>
                <w:sz w:val="10"/>
                <w:szCs w:val="10"/>
                <w:color w:val="auto"/>
              </w:rPr>
            </w:pPr>
          </w:p>
        </w:tc>
      </w:tr>
      <w:tr>
        <w:trPr>
          <w:trHeight w:val="20"/>
        </w:trPr>
        <w:tc>
          <w:tcPr>
            <w:tcW w:w="4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gridSpan w:val="6"/>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213"/>
        </w:trPr>
        <w:tc>
          <w:tcPr>
            <w:tcW w:w="400" w:type="dxa"/>
            <w:vAlign w:val="bottom"/>
            <w:gridSpan w:val="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Guaranty, dated as of February 28, 2011, by and between Newtek Business Services, Inc. and Sterling National Bank (Incorporated herein by reference to Exhibit 10.10.2 to</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Newtek Business Services, Inc.’s Current Report on Form 8-K (File No. 001-16123), filed March 3, 2011).</w:t>
              </w:r>
            </w:hyperlink>
          </w:p>
        </w:tc>
        <w:tc>
          <w:tcPr>
            <w:tcW w:w="220" w:type="dxa"/>
            <w:vAlign w:val="bottom"/>
            <w:gridSpan w:val="9"/>
          </w:tcPr>
          <w:p>
            <w:pPr>
              <w:spacing w:after="0"/>
              <w:rPr>
                <w:sz w:val="10"/>
                <w:szCs w:val="10"/>
                <w:color w:val="auto"/>
              </w:rPr>
            </w:pPr>
          </w:p>
        </w:tc>
      </w:tr>
      <w:tr>
        <w:trPr>
          <w:trHeight w:val="20"/>
        </w:trPr>
        <w:tc>
          <w:tcPr>
            <w:tcW w:w="4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gridSpan w:val="11"/>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r>
      <w:tr>
        <w:trPr>
          <w:trHeight w:val="213"/>
        </w:trPr>
        <w:tc>
          <w:tcPr>
            <w:tcW w:w="400" w:type="dxa"/>
            <w:vAlign w:val="bottom"/>
            <w:gridSpan w:val="4"/>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820" w:type="dxa"/>
            <w:vAlign w:val="bottom"/>
          </w:tcPr>
          <w:p>
            <w:pPr>
              <w:spacing w:after="0"/>
              <w:rPr>
                <w:sz w:val="18"/>
                <w:szCs w:val="18"/>
                <w:color w:val="auto"/>
              </w:rPr>
            </w:pPr>
          </w:p>
        </w:tc>
        <w:tc>
          <w:tcPr>
            <w:tcW w:w="10000" w:type="dxa"/>
            <w:vAlign w:val="bottom"/>
            <w:gridSpan w:val="35"/>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Fourth Amended and Restated Loan and Security Agreement, dated as of May 11, 2017, by and among Newtek Small Business Finance, LLC, Capital One, National</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3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Association and UBS Bank USA as Lenders, and Capital One, National Association as Administrative Agent, Sole Bookrunner and Sole Lead Arranger (Incorporated</w:t>
              </w:r>
            </w:hyperlink>
          </w:p>
        </w:tc>
        <w:tc>
          <w:tcPr>
            <w:tcW w:w="660" w:type="dxa"/>
            <w:vAlign w:val="bottom"/>
            <w:gridSpan w:val="14"/>
          </w:tcPr>
          <w:p>
            <w:pPr>
              <w:ind w:left="100"/>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by</w:t>
              </w:r>
            </w:hyperlink>
          </w:p>
        </w:tc>
      </w:tr>
      <w:tr>
        <w:trPr>
          <w:trHeight w:val="129"/>
        </w:trPr>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5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reference herein to Exhibit 10.1 to Newtek’s Current Report on Form 8-K, filed May 16, 2017).</w:t>
              </w:r>
            </w:hyperlink>
          </w:p>
        </w:tc>
        <w:tc>
          <w:tcPr>
            <w:tcW w:w="420" w:type="dxa"/>
            <w:vAlign w:val="bottom"/>
            <w:gridSpan w:val="12"/>
          </w:tcPr>
          <w:p>
            <w:pPr>
              <w:spacing w:after="0"/>
              <w:rPr>
                <w:sz w:val="11"/>
                <w:szCs w:val="11"/>
                <w:color w:val="auto"/>
              </w:rPr>
            </w:pPr>
          </w:p>
        </w:tc>
      </w:tr>
      <w:tr>
        <w:trPr>
          <w:trHeight w:val="20"/>
        </w:trPr>
        <w:tc>
          <w:tcPr>
            <w:tcW w:w="4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gridSpan w:val="11"/>
            <w:shd w:val="clear" w:color="auto" w:fill="0000FF"/>
          </w:tcPr>
          <w:p>
            <w:pPr>
              <w:spacing w:after="0" w:line="20" w:lineRule="exact"/>
              <w:rPr>
                <w:sz w:val="1"/>
                <w:szCs w:val="1"/>
                <w:color w:val="auto"/>
              </w:rPr>
            </w:pPr>
          </w:p>
        </w:tc>
        <w:tc>
          <w:tcPr>
            <w:tcW w:w="4600" w:type="dxa"/>
            <w:vAlign w:val="bottom"/>
            <w:gridSpan w:val="24"/>
          </w:tcPr>
          <w:p>
            <w:pPr>
              <w:spacing w:after="0" w:line="20" w:lineRule="exact"/>
              <w:rPr>
                <w:sz w:val="1"/>
                <w:szCs w:val="1"/>
                <w:color w:val="auto"/>
              </w:rPr>
            </w:pPr>
          </w:p>
        </w:tc>
      </w:tr>
      <w:tr>
        <w:trPr>
          <w:trHeight w:val="204"/>
        </w:trPr>
        <w:tc>
          <w:tcPr>
            <w:tcW w:w="400" w:type="dxa"/>
            <w:vAlign w:val="bottom"/>
            <w:gridSpan w:val="4"/>
          </w:tcPr>
          <w:p>
            <w:pPr>
              <w:spacing w:after="0"/>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10.4</w:t>
              </w:r>
            </w:hyperlink>
          </w:p>
        </w:tc>
        <w:tc>
          <w:tcPr>
            <w:tcW w:w="820" w:type="dxa"/>
            <w:vAlign w:val="bottom"/>
          </w:tcPr>
          <w:p>
            <w:pPr>
              <w:spacing w:after="0"/>
              <w:rPr>
                <w:sz w:val="17"/>
                <w:szCs w:val="17"/>
                <w:color w:val="auto"/>
              </w:rPr>
            </w:pPr>
          </w:p>
        </w:tc>
        <w:tc>
          <w:tcPr>
            <w:tcW w:w="10000" w:type="dxa"/>
            <w:vAlign w:val="bottom"/>
            <w:gridSpan w:val="35"/>
          </w:tcPr>
          <w:p>
            <w:pPr>
              <w:spacing w:after="0"/>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Second Amended and Restated Guaranty of Payment and Performance, dated as of May 11, 2017, delivered by Newtek Business Services Corp. in favor of Capital One,</w:t>
              </w:r>
            </w:hyperlink>
          </w:p>
        </w:tc>
      </w:tr>
    </w:tbl>
    <w:p>
      <w:pPr>
        <w:ind w:left="1240"/>
        <w:spacing w:after="0" w:line="235"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National Association, in its capacity as administrative agent, and the Lenders under the Fourth Amended and Restated Loan and Security Agreement (incorporated by reference</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herein to Exhibit 10.2 to Newtek’s Current Report on Form 8-K, filed May 16, 2017).</w:t>
        </w:r>
      </w:hyperlink>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920" w:type="dxa"/>
            <w:vAlign w:val="bottom"/>
          </w:tcPr>
          <w:p>
            <w:pPr>
              <w:spacing w:after="0"/>
              <w:rPr>
                <w:sz w:val="13"/>
                <w:szCs w:val="13"/>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Revolving Credit and Security Agreement, dated as of July 31, 2018, by and among Newtek Business Lending, LLC and Capital One, National Association (Incorporated by</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7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reference to Exhibit k.4 to Post-Effective Amendment No. 2 to Newtek’s Registration Statement on Form N-2, No. 333-224976, filed August 31,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Guaranty of Payment and Performance, dated as of July 31, 2018, by and among Newtek and Capital One, National Association (Incorporated by reference to Exhibit k.5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8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Post-Effective Amendment No. 2 to Newtek’s Registration Statement on Form N-2, No. 333-224976, filed August 31, 2018).</w:t>
              </w:r>
            </w:hyperlink>
          </w:p>
        </w:tc>
        <w:tc>
          <w:tcPr>
            <w:tcW w:w="26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Omnibus Amendment No. 3 to Loan Documents, dated as of September 13, 2019, by and among Newtek Small Business Finance, LLC, Capital One, National Association and</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UBS Bank USA as Lenders, and Capital One, National Association as Administrative Agent filed herewith.</w:t>
              </w:r>
            </w:hyperlink>
          </w:p>
        </w:tc>
        <w:tc>
          <w:tcPr>
            <w:tcW w:w="386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Amended and Restated Form of Custody Agreement dated as of October 30, 2015 by and between Newtek Business Services Corp. and U.S. Bank National Association</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20" w:type="dxa"/>
            <w:vAlign w:val="bottom"/>
            <w:gridSpan w:val="36"/>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(Incorporated herein by reference to Exhibit 99.1 to Newtek Business Services Corp.’s Quarterly Report on Form 10-Q for the quarter ended September 30, 2015 (File No. 814-</w:t>
              </w:r>
            </w:hyperlink>
          </w:p>
        </w:tc>
      </w:tr>
      <w:tr>
        <w:trPr>
          <w:trHeight w:val="129"/>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9"/>
              </w:rPr>
            </w:pPr>
            <w:hyperlink r:id="rId151">
              <w:r>
                <w:rPr>
                  <w:rFonts w:ascii="Times New Roman" w:cs="Times New Roman" w:eastAsia="Times New Roman" w:hAnsi="Times New Roman"/>
                  <w:sz w:val="14"/>
                  <w:szCs w:val="14"/>
                  <w:color w:val="0000FF"/>
                  <w:w w:val="99"/>
                </w:rPr>
                <w:t>01035) filed on November 5, 2015.</w:t>
              </w:r>
            </w:hyperlink>
          </w:p>
        </w:tc>
        <w:tc>
          <w:tcPr>
            <w:tcW w:w="800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920" w:type="dxa"/>
            <w:vAlign w:val="bottom"/>
          </w:tcPr>
          <w:p>
            <w:pPr>
              <w:spacing w:after="0"/>
              <w:rPr>
                <w:sz w:val="17"/>
                <w:szCs w:val="17"/>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Membership Purchase Agreement, dated July 23, 2015, by and among Newtek Business Services Corp., Newtek Business Services Holdco1, Inc., Premier Payments LLC and</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72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Jeffrey Rubin (Incorporated herein by reference to Exhibit 10.1 to Registrant’s Current Report on Form 8-K (File No. 814-01035), filed on July 29, 2015).</w:t>
              </w:r>
            </w:hyperlink>
          </w:p>
        </w:tc>
        <w:tc>
          <w:tcPr>
            <w:tcW w:w="11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260" w:type="dxa"/>
            <w:vAlign w:val="bottom"/>
            <w:gridSpan w:val="4"/>
          </w:tcPr>
          <w:p>
            <w:pPr>
              <w:ind w:left="20"/>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020" w:type="dxa"/>
            <w:vAlign w:val="bottom"/>
            <w:gridSpan w:val="36"/>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Omnibus Amendment No. 2 to Loan Documents, dated as of June 24, 2019, by and among Newtek Small Business Finance, LLC, and UBS Bank USA, as lender, and Capital</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88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One, National Association as Administrative Agent (Incorporated by reference to Exhibit 10.1 to Newtek’s Current Report on Form 8-K, filed June 24, 2019).</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53">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11</w:t>
              </w:r>
            </w:hyperlink>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Credit Agreement dated November 8, 2018, by and among Universal Processing Services of Wisconsin LLC and Premier Payments LLC, and the several banks and other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6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parties from time to time parties thereto as lenders and Webster Bank, National Association. (Incorporated by reference herein to Exhibit k.6 to Newtek’s Post-Effective</w:t>
              </w:r>
            </w:hyperlink>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Amendment No. 3 to its Registration Statement on Form N-2, No. 333-224976, filed December 14, 2018).</w:t>
              </w:r>
            </w:hyperlink>
          </w:p>
        </w:tc>
        <w:tc>
          <w:tcPr>
            <w:tcW w:w="3520" w:type="dxa"/>
            <w:vAlign w:val="bottom"/>
            <w:tcBorders>
              <w:top w:val="single" w:sz="8" w:color="0000FF"/>
            </w:tcBorders>
            <w:gridSpan w:val="9"/>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260" w:type="dxa"/>
            <w:vAlign w:val="bottom"/>
            <w:gridSpan w:val="4"/>
          </w:tcPr>
          <w:p>
            <w:pPr>
              <w:ind w:left="20"/>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020" w:type="dxa"/>
            <w:vAlign w:val="bottom"/>
            <w:gridSpan w:val="36"/>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Parent Guaranty Agreement, dated November 8, 2018, by and among the Company and Webster Bank, National Association. (Incorporated by reference herein to Exhibit k.7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742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Newtek’s Post-Effective Amendment No. 3 to its Registration Statement on Form N-2, No. 333-224976, filed December 14, 2018).</w:t>
              </w:r>
            </w:hyperlink>
          </w:p>
        </w:tc>
        <w:tc>
          <w:tcPr>
            <w:tcW w:w="258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260" w:type="dxa"/>
            <w:vAlign w:val="bottom"/>
            <w:gridSpan w:val="4"/>
          </w:tcPr>
          <w:p>
            <w:pPr>
              <w:ind w:left="20"/>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020" w:type="dxa"/>
            <w:vAlign w:val="bottom"/>
            <w:gridSpan w:val="36"/>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Limited Liability Agreement, dated as of November 27, 2018, by and between Newtek Commercial Lending, Inc. and Conventional Lending TCP Holdings LLC (Incorporated</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54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by reference to Exhibit 10.1 to Newtek’s Current Report on Form 8-K filed November 29, 2018).</w:t>
              </w:r>
            </w:hyperlink>
          </w:p>
        </w:tc>
        <w:tc>
          <w:tcPr>
            <w:tcW w:w="4480" w:type="dxa"/>
            <w:vAlign w:val="bottom"/>
            <w:tcBorders>
              <w:top w:val="single" w:sz="8" w:color="0000FF"/>
            </w:tcBorders>
            <w:gridSpan w:val="25"/>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13"/>
        </w:trPr>
        <w:tc>
          <w:tcPr>
            <w:tcW w:w="1260" w:type="dxa"/>
            <w:vAlign w:val="bottom"/>
            <w:gridSpan w:val="4"/>
          </w:tcPr>
          <w:p>
            <w:pPr>
              <w:ind w:left="20"/>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10020" w:type="dxa"/>
            <w:vAlign w:val="bottom"/>
            <w:gridSpan w:val="3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Omnibus Amendment No. 4 to Loan Documents, dated as of May 7, 2020, by and among Newtek Small Business Finance, LLC, Capital One, National Association and UBS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8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Bank USA as Lenders and Capital One, National Association as Administrative Agent (incorporated by reference to Exhibit 10.1 to Newtek’s Current Report on Form 8-K,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70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filed May 11, 2020).</w:t>
              </w:r>
            </w:hyperlink>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340" w:type="dxa"/>
            <w:vAlign w:val="bottom"/>
            <w:gridSpan w:val="3"/>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3"/>
        </w:trPr>
        <w:tc>
          <w:tcPr>
            <w:tcW w:w="1260" w:type="dxa"/>
            <w:vAlign w:val="bottom"/>
            <w:gridSpan w:val="4"/>
          </w:tcPr>
          <w:p>
            <w:pPr>
              <w:ind w:left="20"/>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0020" w:type="dxa"/>
            <w:vAlign w:val="bottom"/>
            <w:gridSpan w:val="36"/>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Stock Purchase Agreement by and among Newtek Business Services Corp. and the Sellers named in Schedule A thereto (incorporated by reference to the Company’s Current</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Report on Form 8-K, filed August 2, 2021).</w:t>
              </w:r>
            </w:hyperlink>
          </w:p>
        </w:tc>
        <w:tc>
          <w:tcPr>
            <w:tcW w:w="73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58">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16</w:t>
            </w:r>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Mortgage Warehouse Loan and Security Agreement, by and between NBL SPV III, LLC and One Florida Bank, dated September 21, 2021 (incorporated by reference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5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Exhibit 10.1 to Newtek’s Quarterly Report on Form 10-Q for the quarter ended September 30, 2021 (File No. 814-010305), filed November 12, 2021).</w:t>
              </w:r>
            </w:hyperlink>
          </w:p>
        </w:tc>
        <w:tc>
          <w:tcPr>
            <w:tcW w:w="6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340" w:type="dxa"/>
            <w:vAlign w:val="bottom"/>
            <w:gridSpan w:val="3"/>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59">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17</w:t>
            </w:r>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Master Repurchase Agreement, by and between NBL SPV II, LLC and Deutsche Bank AG, dated March 18, 2021 (incorporated by reference to Exhibit 10.1 to Newtek’s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706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Quarterly Report on Form 10-Q for the quarter ended September 30, 2021 (File No. 814-010305), filed November 12, 2021).</w:t>
              </w:r>
            </w:hyperlink>
          </w:p>
        </w:tc>
        <w:tc>
          <w:tcPr>
            <w:tcW w:w="2520" w:type="dxa"/>
            <w:vAlign w:val="bottom"/>
            <w:tcBorders>
              <w:top w:val="single" w:sz="8" w:color="0000FF"/>
            </w:tcBorders>
            <w:gridSpan w:val="8"/>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404"/>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60">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18</w:t>
            </w:r>
          </w:p>
        </w:tc>
        <w:tc>
          <w:tcPr>
            <w:tcW w:w="920" w:type="dxa"/>
            <w:vAlign w:val="bottom"/>
          </w:tcPr>
          <w:p>
            <w:pPr>
              <w:spacing w:after="0"/>
              <w:rPr>
                <w:sz w:val="24"/>
                <w:szCs w:val="24"/>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Newtek Business Services Corp. 2015 Stock Incentive Plan (incorporated by reference to Exhibit 4.4 to Newtek’s Registration Statement on Form S-8 (File No. 333-212679),</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8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filed July 26, 2016)</w:t>
              </w:r>
              <w:r>
                <w:rPr>
                  <w:rFonts w:ascii="Times New Roman" w:cs="Times New Roman" w:eastAsia="Times New Roman" w:hAnsi="Times New Roman"/>
                  <w:sz w:val="13"/>
                  <w:szCs w:val="13"/>
                  <w:u w:val="single" w:color="auto"/>
                  <w:color w:val="0000FF"/>
                </w:rPr>
                <w:t>.</w:t>
              </w:r>
            </w:hyperlink>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260" w:type="dxa"/>
            <w:vAlign w:val="bottom"/>
            <w:tcBorders>
              <w:right w:val="single" w:sz="8" w:color="0000FF"/>
            </w:tcBorders>
            <w:gridSpan w:val="4"/>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6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3"/>
        </w:trPr>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p>
        </w:tc>
        <w:tc>
          <w:tcPr>
            <w:tcW w:w="1002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Form of Restricted Stock Award Agreement - 2015 Stock Incentive Plan, filed herewith.</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76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61">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20</w:t>
            </w:r>
          </w:p>
        </w:tc>
        <w:tc>
          <w:tcPr>
            <w:tcW w:w="920" w:type="dxa"/>
            <w:vAlign w:val="bottom"/>
          </w:tcPr>
          <w:p>
            <w:pPr>
              <w:spacing w:after="0"/>
              <w:rPr>
                <w:sz w:val="17"/>
                <w:szCs w:val="17"/>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NewtekOne 2023 Stock Incentive Plan (incorporated by reference to Exhibit 10.1 to Newtek’s Quarterly Report on Form 10-Q for the quarter ended June 30, 2023 (File No.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19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001-36742), filed August 7, 2023).</w:t>
              </w:r>
            </w:hyperlink>
          </w:p>
        </w:tc>
        <w:tc>
          <w:tcPr>
            <w:tcW w:w="7780" w:type="dxa"/>
            <w:vAlign w:val="bottom"/>
            <w:tcBorders>
              <w:top w:val="single" w:sz="8" w:color="0000FF"/>
            </w:tcBorders>
            <w:gridSpan w:val="21"/>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62">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21</w:t>
            </w:r>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Restricted Stock Award Agreement - 2023 Stock Incentive Plan (incorporated by reference to Exhibit 10.3 to Newtek’s Quarterly Report on Form 10-Q for the quarter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ended September 30, 2023 (File No. 001-36742), filed November 9, 2023).</w:t>
              </w:r>
            </w:hyperlink>
          </w:p>
        </w:tc>
        <w:tc>
          <w:tcPr>
            <w:tcW w:w="5680" w:type="dxa"/>
            <w:vAlign w:val="bottom"/>
            <w:tcBorders>
              <w:top w:val="single" w:sz="8" w:color="0000FF"/>
            </w:tcBorders>
            <w:gridSpan w:val="2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61">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22</w:t>
            </w:r>
          </w:p>
        </w:tc>
        <w:tc>
          <w:tcPr>
            <w:tcW w:w="920" w:type="dxa"/>
            <w:vAlign w:val="bottom"/>
          </w:tcPr>
          <w:p>
            <w:pPr>
              <w:spacing w:after="0"/>
              <w:rPr>
                <w:sz w:val="18"/>
                <w:szCs w:val="18"/>
                <w:color w:val="auto"/>
              </w:rPr>
            </w:pPr>
          </w:p>
        </w:tc>
        <w:tc>
          <w:tcPr>
            <w:tcW w:w="10020" w:type="dxa"/>
            <w:vAlign w:val="bottom"/>
            <w:gridSpan w:val="36"/>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NewtekOne 2023 Employee Stock Purchase Plan (incorporated by reference to Exhibit 10.2 to Newtek’s Quarterly Report on Form 10-Q for the quarter ended June 30, 2023</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0" w:type="dxa"/>
            <w:vAlign w:val="bottom"/>
          </w:tcPr>
          <w:p>
            <w:pPr>
              <w:spacing w:after="0"/>
              <w:rPr>
                <w:sz w:val="10"/>
                <w:szCs w:val="10"/>
                <w:color w:val="auto"/>
              </w:rPr>
            </w:pPr>
          </w:p>
        </w:tc>
        <w:tc>
          <w:tcPr>
            <w:tcW w:w="98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(File No. 001-36742), filed August 7, 2023).</w:t>
              </w:r>
            </w:hyperlink>
          </w:p>
        </w:tc>
        <w:tc>
          <w:tcPr>
            <w:tcW w:w="220" w:type="dxa"/>
            <w:vAlign w:val="bottom"/>
            <w:gridSpan w:val="11"/>
          </w:tcPr>
          <w:p>
            <w:pPr>
              <w:spacing w:after="0"/>
              <w:rPr>
                <w:sz w:val="10"/>
                <w:szCs w:val="10"/>
                <w:color w:val="auto"/>
              </w:rPr>
            </w:pPr>
          </w:p>
        </w:tc>
      </w:tr>
      <w:tr>
        <w:trPr>
          <w:trHeight w:val="55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Borders>
              <w:top w:val="single" w:sz="8" w:color="0000FF"/>
            </w:tcBorders>
            <w:gridSpan w:val="5"/>
          </w:tcPr>
          <w:p>
            <w:pPr>
              <w:spacing w:after="0"/>
              <w:rPr>
                <w:sz w:val="24"/>
                <w:szCs w:val="24"/>
                <w:color w:val="auto"/>
              </w:rPr>
            </w:pPr>
          </w:p>
        </w:tc>
        <w:tc>
          <w:tcPr>
            <w:tcW w:w="2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114</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ind w:left="20"/>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23</w:t>
            </w:r>
          </w:p>
        </w:tc>
        <w:tc>
          <w:tcPr>
            <w:tcW w:w="10040" w:type="dxa"/>
            <w:vAlign w:val="bottom"/>
            <w:gridSpan w:val="1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Employment Agreement by and between NewtekOne, Inc., Newtek Bank N.A., and M. Scott Price dated as of May 16, 2023 (incorporated by reference to Exhibit 10.1 to</w:t>
              </w:r>
            </w:hyperlink>
          </w:p>
        </w:tc>
      </w:tr>
      <w:tr>
        <w:trPr>
          <w:trHeight w:val="118"/>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Newtek’s Quarterly Report on Form 10-Q for the quarter ended September 30, 2023 (File No. 001-36742), filed November 9, 2023).</w:t>
              </w:r>
            </w:hyperlink>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240" w:type="dxa"/>
            <w:vAlign w:val="bottom"/>
            <w:gridSpan w:val="3"/>
          </w:tcPr>
          <w:p>
            <w:pPr>
              <w:ind w:left="20"/>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24</w:t>
            </w:r>
          </w:p>
        </w:tc>
        <w:tc>
          <w:tcPr>
            <w:tcW w:w="10040" w:type="dxa"/>
            <w:vAlign w:val="bottom"/>
            <w:gridSpan w:val="1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Amendment to Employment Agreement by and between NewtekOne, Inc., Newtek Bank N.A., and M. Scott Price dated as of July 1, 2023 (incorporated by reference to Exhibit</w:t>
              </w:r>
            </w:hyperlink>
          </w:p>
        </w:tc>
      </w:tr>
      <w:tr>
        <w:trPr>
          <w:trHeight w:val="118"/>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9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Newtek’s Quarterly Report on Form 10-Q for the quarter ended September 30, 2023 (File No. 001-36742), filed November 9, 2023).</w:t>
              </w:r>
            </w:hyperlink>
          </w:p>
        </w:tc>
        <w:tc>
          <w:tcPr>
            <w:tcW w:w="204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25</w:t>
            </w: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Form of Change in Control Agreement. filed herewith.</w:t>
            </w: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03"/>
        </w:trPr>
        <w:tc>
          <w:tcPr>
            <w:tcW w:w="280" w:type="dxa"/>
            <w:vAlign w:val="bottom"/>
            <w:gridSpan w:val="2"/>
          </w:tcPr>
          <w:p>
            <w:pPr>
              <w:ind w:left="20"/>
              <w:spacing w:after="0"/>
              <w:rPr>
                <w:rFonts w:ascii="Times New Roman" w:cs="Times New Roman" w:eastAsia="Times New Roman" w:hAnsi="Times New Roman"/>
                <w:sz w:val="14"/>
                <w:szCs w:val="14"/>
                <w:color w:val="0000FF"/>
                <w:w w:val="89"/>
              </w:rPr>
            </w:pPr>
            <w:hyperlink r:id="rId166">
              <w:r>
                <w:rPr>
                  <w:rFonts w:ascii="Times New Roman" w:cs="Times New Roman" w:eastAsia="Times New Roman" w:hAnsi="Times New Roman"/>
                  <w:sz w:val="14"/>
                  <w:szCs w:val="14"/>
                  <w:color w:val="0000FF"/>
                  <w:w w:val="89"/>
                </w:rPr>
                <w:t>14.</w:t>
              </w:r>
              <w:r>
                <w:rPr>
                  <w:rFonts w:ascii="Times New Roman" w:cs="Times New Roman" w:eastAsia="Times New Roman" w:hAnsi="Times New Roman"/>
                  <w:sz w:val="14"/>
                  <w:szCs w:val="14"/>
                  <w:u w:val="single" w:color="auto"/>
                  <w:color w:val="0000FF"/>
                  <w:w w:val="89"/>
                </w:rPr>
                <w:t>1</w:t>
              </w:r>
            </w:hyperlink>
          </w:p>
        </w:tc>
        <w:tc>
          <w:tcPr>
            <w:tcW w:w="960" w:type="dxa"/>
            <w:vAlign w:val="bottom"/>
          </w:tcPr>
          <w:p>
            <w:pPr>
              <w:spacing w:after="0"/>
              <w:rPr>
                <w:sz w:val="17"/>
                <w:szCs w:val="17"/>
                <w:color w:val="auto"/>
              </w:rPr>
            </w:pPr>
          </w:p>
        </w:tc>
        <w:tc>
          <w:tcPr>
            <w:tcW w:w="10040" w:type="dxa"/>
            <w:vAlign w:val="bottom"/>
            <w:gridSpan w:val="14"/>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Code of Ethics (Previously filed in connection with Pre-Effective Amendment No. 3 to the Registrant’s Registration Statement on Form N-2 (File No. 333-191499) filed on</w:t>
              </w:r>
            </w:hyperlink>
          </w:p>
        </w:tc>
      </w:tr>
      <w:tr>
        <w:trPr>
          <w:trHeight w:val="118"/>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972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November 3, 2014, and incorporated by reference herein).</w:t>
              </w:r>
            </w:hyperlink>
          </w:p>
        </w:tc>
        <w:tc>
          <w:tcPr>
            <w:tcW w:w="320" w:type="dxa"/>
            <w:vAlign w:val="bottom"/>
            <w:gridSpan w:val="2"/>
          </w:tcPr>
          <w:p>
            <w:pPr>
              <w:spacing w:after="0"/>
              <w:rPr>
                <w:sz w:val="10"/>
                <w:szCs w:val="10"/>
                <w:color w:val="auto"/>
              </w:rPr>
            </w:pPr>
          </w:p>
        </w:tc>
      </w:tr>
      <w:tr>
        <w:trPr>
          <w:trHeight w:val="21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p>
        </w:tc>
        <w:tc>
          <w:tcPr>
            <w:tcW w:w="960" w:type="dxa"/>
            <w:vAlign w:val="bottom"/>
          </w:tcPr>
          <w:p>
            <w:pPr>
              <w:spacing w:after="0"/>
              <w:rPr>
                <w:sz w:val="18"/>
                <w:szCs w:val="18"/>
                <w:color w:val="auto"/>
              </w:rPr>
            </w:pPr>
          </w:p>
        </w:tc>
        <w:tc>
          <w:tcPr>
            <w:tcW w:w="3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Subsidiaries of the Registrant filed herewith.</w:t>
            </w:r>
          </w:p>
        </w:tc>
        <w:tc>
          <w:tcPr>
            <w:tcW w:w="6760" w:type="dxa"/>
            <w:vAlign w:val="bottom"/>
            <w:gridSpan w:val="9"/>
          </w:tcPr>
          <w:p>
            <w:pPr>
              <w:spacing w:after="0"/>
              <w:rPr>
                <w:sz w:val="18"/>
                <w:szCs w:val="18"/>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23.</w:t>
            </w:r>
            <w:r>
              <w:rPr>
                <w:rFonts w:ascii="Times New Roman" w:cs="Times New Roman" w:eastAsia="Times New Roman" w:hAnsi="Times New Roman"/>
                <w:sz w:val="14"/>
                <w:szCs w:val="14"/>
                <w:u w:val="single" w:color="auto"/>
                <w:color w:val="0000FF"/>
                <w:w w:val="89"/>
              </w:rPr>
              <w:t>1</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 13a-14 under the Securities Exchange Act of 1934, as amended, furnished herewith.</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660" w:type="dxa"/>
            <w:vAlign w:val="bottom"/>
            <w:gridSpan w:val="6"/>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 13a-14 under the Securities Exchange Act of 1934, as amended, furnished herewith.</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660" w:type="dxa"/>
            <w:vAlign w:val="bottom"/>
            <w:gridSpan w:val="6"/>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840" w:type="dxa"/>
            <w:vAlign w:val="bottom"/>
            <w:gridSpan w:val="7"/>
            <w:shd w:val="clear" w:color="auto" w:fill="0000FF"/>
          </w:tcPr>
          <w:p>
            <w:pPr>
              <w:spacing w:after="0" w:line="20" w:lineRule="exact"/>
              <w:rPr>
                <w:sz w:val="1"/>
                <w:szCs w:val="1"/>
                <w:color w:val="auto"/>
              </w:rPr>
            </w:pPr>
          </w:p>
        </w:tc>
        <w:tc>
          <w:tcPr>
            <w:tcW w:w="640" w:type="dxa"/>
            <w:vAlign w:val="bottom"/>
            <w:tcBorders>
              <w:left w:val="single" w:sz="8" w:color="0000FF"/>
            </w:tcBorders>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840" w:type="dxa"/>
            <w:vAlign w:val="bottom"/>
            <w:gridSpan w:val="7"/>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203"/>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97.</w:t>
            </w:r>
            <w:r>
              <w:rPr>
                <w:rFonts w:ascii="Times New Roman" w:cs="Times New Roman" w:eastAsia="Times New Roman" w:hAnsi="Times New Roman"/>
                <w:sz w:val="14"/>
                <w:szCs w:val="14"/>
                <w:u w:val="single" w:color="auto"/>
                <w:color w:val="0000FF"/>
                <w:w w:val="89"/>
              </w:rPr>
              <w:t>1</w:t>
            </w:r>
          </w:p>
        </w:tc>
        <w:tc>
          <w:tcPr>
            <w:tcW w:w="960" w:type="dxa"/>
            <w:vAlign w:val="bottom"/>
          </w:tcPr>
          <w:p>
            <w:pPr>
              <w:spacing w:after="0"/>
              <w:rPr>
                <w:sz w:val="17"/>
                <w:szCs w:val="17"/>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NewtekOne Clawback Policy, filed herewith.</w:t>
            </w:r>
          </w:p>
        </w:tc>
      </w:tr>
      <w:tr>
        <w:trPr>
          <w:trHeight w:val="499"/>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top w:val="single" w:sz="8" w:color="0000FF"/>
            </w:tcBorders>
            <w:gridSpan w:val="2"/>
          </w:tcPr>
          <w:p>
            <w:pPr>
              <w:spacing w:after="0"/>
              <w:rPr>
                <w:sz w:val="24"/>
                <w:szCs w:val="24"/>
                <w:color w:val="auto"/>
              </w:rPr>
            </w:pPr>
          </w:p>
        </w:tc>
        <w:tc>
          <w:tcPr>
            <w:tcW w:w="4940" w:type="dxa"/>
            <w:vAlign w:val="bottom"/>
            <w:gridSpan w:val="4"/>
          </w:tcPr>
          <w:p>
            <w:pPr>
              <w:jc w:val="right"/>
              <w:ind w:right="3000"/>
              <w:spacing w:after="0"/>
              <w:rPr>
                <w:sz w:val="20"/>
                <w:szCs w:val="20"/>
                <w:color w:val="auto"/>
              </w:rPr>
            </w:pPr>
            <w:r>
              <w:rPr>
                <w:rFonts w:ascii="Times New Roman" w:cs="Times New Roman" w:eastAsia="Times New Roman" w:hAnsi="Times New Roman"/>
                <w:sz w:val="14"/>
                <w:szCs w:val="14"/>
                <w:color w:val="auto"/>
              </w:rPr>
              <w:t>115</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860" w:val="left"/>
          <w:tab w:leader="none" w:pos="816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2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ind w:left="79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pacing w:after="0" w:line="66" w:lineRule="exact"/>
        <w:rPr>
          <w:sz w:val="20"/>
          <w:szCs w:val="20"/>
          <w:color w:val="auto"/>
        </w:rPr>
      </w:pPr>
    </w:p>
    <w:p>
      <w:pPr>
        <w:ind w:left="20"/>
        <w:spacing w:after="0"/>
        <w:tabs>
          <w:tab w:leader="none" w:pos="5500" w:val="left"/>
          <w:tab w:leader="none" w:pos="7840" w:val="left"/>
          <w:tab w:leader="none" w:pos="812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Frank DeMaria</w:t>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1"/>
          <w:szCs w:val="11"/>
          <w:b w:val="1"/>
          <w:bCs w:val="1"/>
          <w:color w:val="auto"/>
        </w:rPr>
        <w:t>Chief Accounting Officer</w:t>
      </w:r>
    </w:p>
    <w:p>
      <w:pPr>
        <w:ind w:left="786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p>
      <w:pPr>
        <w:sectPr>
          <w:pgSz w:w="11900" w:h="16838" w:orient="portrait"/>
          <w:cols w:equalWidth="0" w:num="1">
            <w:col w:w="10980"/>
          </w:cols>
          <w:pgMar w:left="300" w:top="1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Exchange Act, this report has been signed below by the following persons on behalf of the registrant and in the capacities and on the dates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60" w:type="dxa"/>
            <w:vAlign w:val="bottom"/>
          </w:tcPr>
          <w:p>
            <w:pPr>
              <w:spacing w:after="0"/>
              <w:rPr>
                <w:sz w:val="11"/>
                <w:szCs w:val="11"/>
                <w:color w:val="auto"/>
              </w:rPr>
            </w:pPr>
          </w:p>
        </w:tc>
        <w:tc>
          <w:tcPr>
            <w:tcW w:w="5340" w:type="dxa"/>
            <w:vAlign w:val="bottom"/>
            <w:gridSpan w:val="3"/>
          </w:tcPr>
          <w:p>
            <w:pPr>
              <w:jc w:val="center"/>
              <w:ind w:left="9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tc>
        <w:tc>
          <w:tcPr>
            <w:tcW w:w="534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4"/>
                <w:szCs w:val="14"/>
                <w:color w:val="auto"/>
              </w:rPr>
              <w:t>Chairman of the Board, President and Chief Executive Officer (Principal Executive Officer)</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Barry Sloane</w:t>
            </w:r>
          </w:p>
        </w:tc>
        <w:tc>
          <w:tcPr>
            <w:tcW w:w="5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M. Scott Price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240"/>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Chief Accounting Officer</w:t>
            </w: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Frank DeMaria</w:t>
            </w:r>
          </w:p>
        </w:tc>
        <w:tc>
          <w:tcPr>
            <w:tcW w:w="5340" w:type="dxa"/>
            <w:vAlign w:val="bottom"/>
            <w:gridSpan w:val="3"/>
          </w:tcPr>
          <w:p>
            <w:pPr>
              <w:jc w:val="center"/>
              <w:ind w:left="9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0" w:type="dxa"/>
            <w:vAlign w:val="bottom"/>
          </w:tcPr>
          <w:p>
            <w:pPr>
              <w:spacing w:after="0"/>
              <w:rPr>
                <w:sz w:val="1"/>
                <w:szCs w:val="1"/>
                <w:color w:val="auto"/>
              </w:rPr>
            </w:pPr>
          </w:p>
        </w:tc>
      </w:tr>
      <w:tr>
        <w:trPr>
          <w:trHeight w:val="231"/>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/S/</w:t>
            </w:r>
          </w:p>
        </w:tc>
        <w:tc>
          <w:tcPr>
            <w:tcW w:w="240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1"/>
                <w:szCs w:val="11"/>
                <w:color w:val="auto"/>
              </w:rPr>
              <w:t>RICHARD SALUTE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Richard Salute</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3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center"/>
              <w:ind w:right="1320"/>
              <w:spacing w:after="0"/>
              <w:rPr>
                <w:sz w:val="20"/>
                <w:szCs w:val="20"/>
                <w:color w:val="auto"/>
              </w:rPr>
            </w:pPr>
            <w:r>
              <w:rPr>
                <w:rFonts w:ascii="Times New Roman" w:cs="Times New Roman" w:eastAsia="Times New Roman" w:hAnsi="Times New Roman"/>
                <w:sz w:val="11"/>
                <w:szCs w:val="11"/>
                <w:color w:val="auto"/>
              </w:rPr>
              <w:t>/S/  SALVATORE MULIA</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Salvatore Mulia</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w w:val="97"/>
              </w:rPr>
              <w:t>/S/</w:t>
            </w:r>
          </w:p>
        </w:tc>
        <w:tc>
          <w:tcPr>
            <w:tcW w:w="240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1"/>
                <w:szCs w:val="11"/>
                <w:color w:val="auto"/>
              </w:rPr>
              <w:t>GREGORY ZINK</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Gregory Zink</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81"/>
              </w:rPr>
              <w:t>/S/</w:t>
            </w:r>
          </w:p>
        </w:tc>
        <w:tc>
          <w:tcPr>
            <w:tcW w:w="240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1"/>
                <w:szCs w:val="11"/>
                <w:color w:val="auto"/>
              </w:rPr>
              <w:t>PETER DOWNS</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Peter Downs</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color w:val="auto"/>
              </w:rPr>
              <w:t>/S/</w:t>
            </w:r>
          </w:p>
        </w:tc>
        <w:tc>
          <w:tcPr>
            <w:tcW w:w="268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1"/>
                <w:szCs w:val="11"/>
                <w:color w:val="auto"/>
              </w:rPr>
              <w:t>FERNANDO PEREZ-HICKMAN</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680" w:type="dxa"/>
            <w:vAlign w:val="bottom"/>
            <w:gridSpan w:val="4"/>
          </w:tcPr>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Fernando Perez-Hickman</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1"/>
                <w:szCs w:val="11"/>
                <w:color w:val="auto"/>
                <w:w w:val="81"/>
              </w:rPr>
              <w:t>/S/</w:t>
            </w:r>
          </w:p>
        </w:tc>
        <w:tc>
          <w:tcPr>
            <w:tcW w:w="268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1"/>
                <w:szCs w:val="11"/>
                <w:color w:val="auto"/>
              </w:rPr>
              <w:t>HALLI RAZON-FEINGOLD</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680" w:type="dxa"/>
            <w:vAlign w:val="bottom"/>
            <w:gridSpan w:val="4"/>
          </w:tcPr>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Halli Razon-Feingold</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1"/>
          <w:szCs w:val="11"/>
          <w:b w:val="1"/>
          <w:bCs w:val="1"/>
          <w:u w:val="single" w:color="auto"/>
          <w:color w:val="auto"/>
        </w:rPr>
        <w:t>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97" w:lineRule="exact"/>
        <w:rPr>
          <w:sz w:val="20"/>
          <w:szCs w:val="20"/>
          <w:color w:val="auto"/>
        </w:rPr>
      </w:pPr>
    </w:p>
    <w:p>
      <w:pPr>
        <w:sectPr>
          <w:pgSz w:w="11900" w:h="16838" w:orient="portrait"/>
          <w:cols w:equalWidth="0" w:num="2">
            <w:col w:w="9740" w:space="260"/>
            <w:col w:w="980"/>
          </w:cols>
          <w:pgMar w:left="300" w:top="127"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7" w:right="619" w:bottom="144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63"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(PCAOB ID: 49)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on Internal Control Over Financial Reporting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Consolidated Statements of Financial Condition as of December 31, 2023 and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Consolidated Statements of Income for the years ended December 31, 2023,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Consolidated Statements of Comprehensive Income for the years ended December 31, 2023,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Consolidated Statements of Changes in Changes in Shareholders’ Equity for the years ended December 31, 2023,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 for the years ended December 31, 2023,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PAGE NO.</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E32E1"/>
        </w:rPr>
        <w:t>F-2</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E32E1"/>
        </w:rPr>
        <w:t>F-5</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E32E1"/>
        </w:rPr>
        <w:t>F-7</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E32E1"/>
        </w:rPr>
        <w:t>F-9</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E32E1"/>
        </w:rPr>
        <w:t>F-11</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0E32E1"/>
        </w:rPr>
        <w:t>F-12</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0E32E1"/>
        </w:rPr>
        <w:t>F-14</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0E32E1"/>
        </w:rPr>
        <w:t>F-16</w:t>
      </w:r>
    </w:p>
    <w:p>
      <w:pPr>
        <w:sectPr>
          <w:pgSz w:w="11900" w:h="16838" w:orient="portrait"/>
          <w:cols w:equalWidth="0" w:num="2">
            <w:col w:w="9560" w:space="720"/>
            <w:col w:w="960"/>
          </w:cols>
          <w:pgMar w:left="320" w:top="1440" w:right="339" w:bottom="1440" w:gutter="0" w:footer="0" w:header="0"/>
        </w:sectPr>
      </w:pPr>
    </w:p>
    <w:bookmarkStart w:id="117" w:name="page118"/>
    <w:bookmarkEnd w:id="117"/>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condition of NewtekOne, Inc. and its subsidiaries (the Company) as of December 31, 2023 and 2022, the related consolidated statements of income, comprehensive income, shareholders' equity and cash flows for each of the three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69"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 Our report dated April 1, 2024 expressed an opinion that the Company had not maintained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 xml:space="preserve">Internal Control — Integrated Framework </w:t>
      </w:r>
      <w:r>
        <w:rPr>
          <w:rFonts w:ascii="Times New Roman" w:cs="Times New Roman" w:eastAsia="Times New Roman" w:hAnsi="Times New Roman"/>
          <w:sz w:val="14"/>
          <w:szCs w:val="14"/>
          <w:color w:val="auto"/>
        </w:rPr>
        <w:t>issued by the Committee of Sponsoring Organizations of the Treadway Commission in 2013.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Accounting Principle</w:t>
      </w:r>
    </w:p>
    <w:p>
      <w:pPr>
        <w:spacing w:after="0" w:line="1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As discussed in Note 1 to the consolidated financial statements, the Company has changed its method of accounting for the recognition and measurement of credit losses as of January 1, 2023, due to the adoption of Accounting Standard Codification (“ASC”)Topic 326, Financial Instruments—Credit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Registered Investment Company to Financial Holding Company</w:t>
      </w:r>
    </w:p>
    <w:p>
      <w:pPr>
        <w:spacing w:after="0" w:line="16" w:lineRule="exact"/>
        <w:rPr>
          <w:sz w:val="20"/>
          <w:szCs w:val="20"/>
          <w:color w:val="auto"/>
        </w:rPr>
      </w:pPr>
    </w:p>
    <w:p>
      <w:pPr>
        <w:jc w:val="both"/>
        <w:ind w:right="540"/>
        <w:spacing w:after="0" w:line="242" w:lineRule="auto"/>
        <w:rPr>
          <w:sz w:val="20"/>
          <w:szCs w:val="20"/>
          <w:color w:val="auto"/>
        </w:rPr>
      </w:pPr>
      <w:r>
        <w:rPr>
          <w:rFonts w:ascii="Times New Roman" w:cs="Times New Roman" w:eastAsia="Times New Roman" w:hAnsi="Times New Roman"/>
          <w:sz w:val="14"/>
          <w:szCs w:val="14"/>
          <w:color w:val="auto"/>
        </w:rPr>
        <w:t>As discussed in Note 1 to the consolidated financial statements, the Company ceased being an investment company subject to accounting guidance ASC 946, Financial Services - Investment Companies and ASC 810, Consolidations became effective for the Company on January 6, 2023. Therefore, controlled investments previously carried at fair value became subsidiaries of the Company and consolidated utilizing historical cost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held for sale and loans held for investment, measured at fair value – Accrual and Non-accrual loans</w:t>
      </w:r>
    </w:p>
    <w:p>
      <w:pPr>
        <w:spacing w:after="0" w:line="6"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As described in Notes 2, 5, 7 and 9 to the consolidated financial statements, the Company has loans held for sale and loans held for investment, which are measured at fair value using unobservable inputs and assumptions, and as such the Company’s loans held for sale and loans held for investment, which are measured at fair value as of December 31, 2023 are classified as level 3 within the fair value hierarchy as described in Note 9.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 As of December 31, 2023, total Level 3 loans held for sale and loans held for investment, which are measured at fair value had a fair value of $118.5 and $469.8 million, respectively.</w:t>
      </w:r>
    </w:p>
    <w:p>
      <w:pPr>
        <w:spacing w:after="0" w:line="158"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4"/>
          <w:szCs w:val="14"/>
          <w:color w:val="auto"/>
        </w:rPr>
        <w:t>We identified the valuation of level 3 loans held for sale and loans held for investment, which are measured at fair value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Company’s level 3 loans held for sale and loans held for investment, which are measured at fair value included the following, among others:</w:t>
      </w:r>
    </w:p>
    <w:p>
      <w:pPr>
        <w:spacing w:after="0" w:line="166" w:lineRule="exact"/>
        <w:rPr>
          <w:sz w:val="20"/>
          <w:szCs w:val="20"/>
          <w:color w:val="auto"/>
        </w:rPr>
      </w:pPr>
    </w:p>
    <w:p>
      <w:pPr>
        <w:ind w:left="520" w:right="320" w:hanging="260"/>
        <w:spacing w:after="0" w:line="233"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loans held for sale and loans held for investment, which are measured at fair value - accrual and non-accrual loans.</w:t>
      </w:r>
    </w:p>
    <w:p>
      <w:pPr>
        <w:ind w:left="520" w:hanging="260"/>
        <w:spacing w:after="0" w:line="221" w:lineRule="auto"/>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amount of schedules to the trial balance.</w:t>
      </w:r>
    </w:p>
    <w:p>
      <w:pPr>
        <w:ind w:left="520" w:right="20" w:hanging="260"/>
        <w:spacing w:after="0" w:line="229"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accrual loans (discount rate, default rate, prepayment rate, cost of servicing, etc.) and performed a recalculation for a sample of loans to ensure validity of the valuation model.</w:t>
      </w:r>
    </w:p>
    <w:p>
      <w:pPr>
        <w:ind w:left="520" w:hanging="260"/>
        <w:spacing w:after="0" w:line="229"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non-accrual loans (prepayment rate, probability of default, time to liquidate and discount rate).</w:t>
      </w:r>
    </w:p>
    <w:p>
      <w:pPr>
        <w:ind w:left="520" w:right="220" w:hanging="260"/>
        <w:spacing w:after="0" w:line="231"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management’s estimates to evaluate the reasonableness of the fair market value of collateral used by management in the valuation of non-accrual loans for a sample of loans, by validating the source of information used by management with the relevant internal or external information from which it was derived. Additionally, we recalculated the present value of expected cashflows and compared it with the value of loans determined by management.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1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4"/>
          <w:szCs w:val="14"/>
          <w:color w:val="auto"/>
        </w:rPr>
        <w:t>As described in Notes 2, 7 and 9 to the consolidated financial statements, servicing assets are measured at fair value. The Company’s servicing assets are measured at fair value using unobservable inputs and assumptions, and as such the Company’s servicing assets as of December 31, 2023 are classified as Level 3 within the fair value hierarchy as described in Note 9. Determining the fair value of the Level 3 servicing assets requires management to make significant judgments about the valuation methodologies and inputs and assumptions used in the fair value calculation, including, but not limited to, discount rate, servicing costs, default rate, prepayment rate, and the impact of economic conditions. As of December 31, 2023, total Level 3 servicing assets had a fair value of $39.7 million.</w:t>
      </w:r>
    </w:p>
    <w:p>
      <w:pPr>
        <w:spacing w:after="0" w:line="15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We identified the valuation of servicing assets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servicing assets included the following, among others:</w:t>
      </w:r>
    </w:p>
    <w:p>
      <w:pPr>
        <w:spacing w:after="0" w:line="166" w:lineRule="exact"/>
        <w:rPr>
          <w:sz w:val="20"/>
          <w:szCs w:val="20"/>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servicing assets.</w:t>
      </w:r>
    </w:p>
    <w:p>
      <w:pPr>
        <w:spacing w:after="0" w:line="3"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principal balance of the loans sold in the schedules to the loan subledger.</w:t>
      </w:r>
    </w:p>
    <w:p>
      <w:pPr>
        <w:ind w:left="520" w:hanging="260"/>
        <w:spacing w:after="0" w:line="237" w:lineRule="auto"/>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valuation specialists, developed an independent estimate of fair value for servicing assets or tested management’s fair value estimates as of December 31, 2023.</w:t>
      </w: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reviewed the significant assumptions (e.g. discount rate, prepayment rate, default rate and servicing cost) used by externally engaged valuation specialist for reasonableness.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loans</w:t>
      </w:r>
    </w:p>
    <w:p>
      <w:pPr>
        <w:spacing w:after="0" w:line="6"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4"/>
          <w:szCs w:val="14"/>
          <w:color w:val="auto"/>
        </w:rPr>
        <w:t>As described in Notes 2 and 5 to the consolidated financial statements, the allowance for credit losses on loans is established through a provision for credit losses and represents an amount which, in management’s judgment, will be adequate to absorb losses on existing loans. The Company’s consolidated allowance for credit losses on loan balances was $12.6 million at December 31, 2023. The allowance for credit losses on loans is comprised of reserves measured on a collective (pool) basis based on a lifetime loss-rate model when similar risk characteristics exist. Loans that do not share risk characteristics are evaluated on an individual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19" w:name="page120"/>
    <w:bookmarkEnd w:id="119"/>
    <w:p>
      <w:pPr>
        <w:spacing w:after="0" w:line="230" w:lineRule="auto"/>
        <w:rPr>
          <w:sz w:val="20"/>
          <w:szCs w:val="20"/>
          <w:color w:val="auto"/>
        </w:rPr>
      </w:pPr>
      <w:r>
        <w:rPr>
          <w:rFonts w:ascii="Times New Roman" w:cs="Times New Roman" w:eastAsia="Times New Roman" w:hAnsi="Times New Roman"/>
          <w:sz w:val="14"/>
          <w:szCs w:val="14"/>
          <w:color w:val="auto"/>
        </w:rPr>
        <w:t>The Company uses the discounted cash flow method to estimate expected credit losses for all loan portfolio segments measured on a pool basis wherein payment expectations are adjusted for estimated prepayment speeds, probability of default (PD), and loss given default (LGD). The Company uses regression analysis of historical internal and peer data to determine suitable loss drivers to utilize when modeling lifetime PD. This analysis also determines how expected PD and LGD will react to forecasted levels of the loss drivers. Management utilizes various economic indicators such as changes in unemployment rates, gross domestic product (GDP), and other relevant factors as loss drivers and has determined that, due to historical volatility in economic data, four quarters currently represents a reasonable and supportable forecast period, followed by a four-period reversion to historical mean levels for each of the various economic indicators. 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(v) and other external factors, that may include, but are not limited to, results of internal loan reviews, stress testing, examinations by bank regulatory agencies, or other events such as a natural disaster. The development of the loan loss allocation for pools of loans with similar risk characteristics requires a significant amount of judgment by management and the assumptions utilized are subject to changing economic conditions.</w:t>
      </w:r>
    </w:p>
    <w:p>
      <w:pPr>
        <w:spacing w:after="0" w:line="16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4"/>
          <w:szCs w:val="14"/>
          <w:color w:val="auto"/>
        </w:rPr>
        <w:t>We identified the Company’s allowance for credit losses on loans as a critical audit matter, specifically the economic forecasts and qualitative factors, because they involved complex auditor judgment in the evaluation of the Company’s assumptions. Additionally, complex auditor judgment was required to examine the methodology that underpins the allowance for credit losses on pools of loans with similar risk characteristics. This includes modeling of PD, LGD, economic forecasts, and qualitative factors. Our audit procedures related to this critical audit matter included the following, among others:</w:t>
      </w:r>
    </w:p>
    <w:p>
      <w:pPr>
        <w:spacing w:after="0" w:line="157" w:lineRule="exact"/>
        <w:rPr>
          <w:sz w:val="20"/>
          <w:szCs w:val="20"/>
          <w:color w:val="auto"/>
        </w:rPr>
      </w:pPr>
    </w:p>
    <w:p>
      <w:pPr>
        <w:ind w:left="520" w:right="40" w:hanging="260"/>
        <w:spacing w:after="0" w:line="241"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data used by management in determining inputs to the PD and LGD, and the loss rate model used for SBA 7(a) loans by agreeing those inputs to internal or external information sources.</w:t>
      </w:r>
    </w:p>
    <w:p>
      <w:pPr>
        <w:ind w:left="520" w:hanging="260"/>
        <w:spacing w:after="0" w:line="221"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judgments used in the identification of peer banks for PD and LGD calculations, by comparing peer banks to external information sources.</w:t>
      </w:r>
    </w:p>
    <w:p>
      <w:pPr>
        <w:ind w:left="520" w:right="240" w:hanging="260"/>
        <w:spacing w:after="0" w:line="247"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forecasts of future economic indicators for reasonableness, which included unemployment, housing price index, and national GDP growth, among others, by comparing these forecasts to external and internal information 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 xml:space="preserve">We have audited NewtekOne, Inc. and its subsidiaries' (the Company)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issued by the Committee of Sponsoring Organizations of the Treadway Commission in 2013. In our opinion, because of the effect of the material weaknesses described below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 xml:space="preserve">Internal Control — Integrated Framework </w:t>
      </w:r>
      <w:r>
        <w:rPr>
          <w:rFonts w:ascii="Times New Roman" w:cs="Times New Roman" w:eastAsia="Times New Roman" w:hAnsi="Times New Roman"/>
          <w:sz w:val="14"/>
          <w:szCs w:val="14"/>
          <w:color w:val="auto"/>
        </w:rPr>
        <w:t>issued by the Committee of Sponsoring Organizations of the Treadway Commission in 2013.</w:t>
      </w:r>
    </w:p>
    <w:p>
      <w:pPr>
        <w:spacing w:after="0" w:line="168" w:lineRule="exact"/>
        <w:rPr>
          <w:sz w:val="20"/>
          <w:szCs w:val="20"/>
          <w:color w:val="auto"/>
        </w:rPr>
      </w:pPr>
    </w:p>
    <w:p>
      <w:pPr>
        <w:jc w:val="both"/>
        <w:ind w:right="360"/>
        <w:spacing w:after="0" w:line="246"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statements of financial condition of the Company as of December 31, 2023 and 2022, the related consolidated statements of income, comprehensive income, shareholders' equity and cash flows for each of the three years in the period ended December 31, 2023, and the related notes to the consolidated financial statements and our report dated April 1, 2024 expressed an unqualified opinion.</w:t>
      </w:r>
    </w:p>
    <w:p>
      <w:pPr>
        <w:spacing w:after="0" w:line="163"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55" w:lineRule="exact"/>
        <w:rPr>
          <w:sz w:val="20"/>
          <w:szCs w:val="20"/>
          <w:color w:val="auto"/>
        </w:rPr>
      </w:pPr>
    </w:p>
    <w:p>
      <w:pPr>
        <w:ind w:left="520" w:hanging="260"/>
        <w:spacing w:after="0" w:line="242"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Significant Unusual Transactions </w:t>
      </w:r>
      <w:r>
        <w:rPr>
          <w:rFonts w:ascii="Times New Roman" w:cs="Times New Roman" w:eastAsia="Times New Roman" w:hAnsi="Times New Roman"/>
          <w:sz w:val="14"/>
          <w:szCs w:val="14"/>
          <w:color w:val="auto"/>
        </w:rPr>
        <w:t>– The Company converted from a business development company (BDC) to a financial holding company (FHC) effective January 6, 2023.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did not adequately or appropriately identify and assess changes and resulting risks that could significantly impact the system of internal control resulting from this conversion. This material weakness impacted the consolidation of the control investments that occurred on January 6, 2023, and the three subsequent interim periods, specifically goodwill and intangibles, net deferred tax assets, income taxes receivable, income tax expense, additional paid in capital, non-interest income and expense, and earnings per share. This material weakness could affect all transaction cycles within the consolidated financial statements.</w:t>
      </w:r>
    </w:p>
    <w:p>
      <w:pPr>
        <w:spacing w:after="0" w:line="2" w:lineRule="exact"/>
        <w:rPr>
          <w:rFonts w:ascii="Times New Roman" w:cs="Times New Roman" w:eastAsia="Times New Roman" w:hAnsi="Times New Roman"/>
          <w:sz w:val="14"/>
          <w:szCs w:val="14"/>
          <w:color w:val="auto"/>
        </w:rPr>
      </w:pPr>
    </w:p>
    <w:p>
      <w:pPr>
        <w:ind w:left="520" w:right="100" w:hanging="260"/>
        <w:spacing w:after="0" w:line="234"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SOX Governance Program </w:t>
      </w:r>
      <w:r>
        <w:rPr>
          <w:rFonts w:ascii="Times New Roman" w:cs="Times New Roman" w:eastAsia="Times New Roman" w:hAnsi="Times New Roman"/>
          <w:sz w:val="14"/>
          <w:szCs w:val="14"/>
          <w:color w:val="auto"/>
        </w:rPr>
        <w:t>– The Company’s controlled investments which were previously unconsolidated portfolio companies became consolidated subsidiaries subject to internal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 financial reporting (ICFR) for the first time. There were significant delays in the documentation of the internal control environment’s processes, resulting in inadequate and untimely identification of financial reporting risks and the associated identification of key controls over financial reporting. This material weakness in the control environment impacted the overall effectiveness of the Company’s ICFR and contributed to the Company adjusting its previously issued quarterly financial statements for 2023 as discussed in “Note 24 – Selected Quarterly Financial Data (Unaudited)” to the consolidated financial statements. This material weakness could affect all transaction cycles within the consolidated financial statements.</w:t>
      </w:r>
    </w:p>
    <w:p>
      <w:pPr>
        <w:ind w:left="520" w:right="100" w:hanging="260"/>
        <w:spacing w:after="0" w:line="237"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Knowledge, Skills, and Experience of Staff </w:t>
      </w:r>
      <w:r>
        <w:rPr>
          <w:rFonts w:ascii="Times New Roman" w:cs="Times New Roman" w:eastAsia="Times New Roman" w:hAnsi="Times New Roman"/>
          <w:sz w:val="14"/>
          <w:szCs w:val="14"/>
          <w:color w:val="auto"/>
        </w:rPr>
        <w:t>– Certain Company staff in financial reporting oversight roles had insufficient knowledge, skills, and experience for a public FHC. This impacted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overall effectiveness of the Company’s ICFR and contributed to the Company adjusting its previously issued quarterly financial statements for 2023, as discussed in “Note 24- Selected Quarterly Financial Data (Unaudited)” to the consolidated financial statements. This material weakness could affect all transaction cycles within the consolidated financial statements.</w:t>
      </w:r>
    </w:p>
    <w:p>
      <w:pPr>
        <w:ind w:left="520" w:right="40" w:hanging="260"/>
        <w:spacing w:after="0" w:line="239"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Information Technology General Controls (ITGC) </w:t>
      </w:r>
      <w:r>
        <w:rPr>
          <w:rFonts w:ascii="Times New Roman" w:cs="Times New Roman" w:eastAsia="Times New Roman" w:hAnsi="Times New Roman"/>
          <w:sz w:val="14"/>
          <w:szCs w:val="14"/>
          <w:color w:val="auto"/>
        </w:rPr>
        <w:t>– There were a number of deficiencies related to the design and operating effectiveness of ITGCs for information systems that comprised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 of the Company’s system of ICFR and are relevant to the preparation of the Company’s consolidated financial statements. These deficiencies in the design and operating effectiveness of the ITGCs involved logical access and program change management which are intended to ensure that access to financial applications and data are adequately restricted to appropriate personnel, and that changes affecting the financial applications and underlying account records are identified, authorized, tested and implemented appropriately. Deficiencies in ITGC logical access and related program change management, including controls intended to ensure that access rights are compatible with job duties (segregation of duties) and to test changes to relevant information systems, existed and therefore represented a material weakness. This material weakness could affect all transaction cycles within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21" w:name="page122"/>
    <w:bookmarkEnd w:id="121"/>
    <w:p>
      <w:pPr>
        <w:ind w:left="520" w:right="80" w:hanging="260"/>
        <w:spacing w:after="0" w:line="243"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Review Controls </w:t>
      </w:r>
      <w:r>
        <w:rPr>
          <w:rFonts w:ascii="Times New Roman" w:cs="Times New Roman" w:eastAsia="Times New Roman" w:hAnsi="Times New Roman"/>
          <w:sz w:val="14"/>
          <w:szCs w:val="14"/>
          <w:color w:val="auto"/>
        </w:rPr>
        <w:t>– There were deficiencies in the design and operating effectiveness of management review controls, including documentation and the level of precision.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deficiencies related to control gaps, unmitigated risks, untimely review, insufficient documentation, improper testing procedures, and inconsistent performance frequency of certain controls. This includes ITGC deficiencies in the precision of review, completeness and accuracy of reports used in management reviews, and the parameters used to generate such reports. This material weakness could affect all transaction cycles within the consolidated financial statements.</w:t>
      </w:r>
    </w:p>
    <w:p>
      <w:pPr>
        <w:spacing w:after="0" w:line="2" w:lineRule="exact"/>
        <w:rPr>
          <w:rFonts w:ascii="Times New Roman" w:cs="Times New Roman" w:eastAsia="Times New Roman" w:hAnsi="Times New Roman"/>
          <w:sz w:val="14"/>
          <w:szCs w:val="14"/>
          <w:color w:val="auto"/>
        </w:rPr>
      </w:pPr>
    </w:p>
    <w:p>
      <w:pPr>
        <w:ind w:left="520" w:right="20" w:hanging="260"/>
        <w:spacing w:after="0" w:line="234"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Completeness and Accuracy of Information Produced by the Entity (“IPE”) </w:t>
      </w:r>
      <w:r>
        <w:rPr>
          <w:rFonts w:ascii="Times New Roman" w:cs="Times New Roman" w:eastAsia="Times New Roman" w:hAnsi="Times New Roman"/>
          <w:sz w:val="14"/>
          <w:szCs w:val="14"/>
          <w:color w:val="auto"/>
        </w:rPr>
        <w:t>– There were deficiencies due to a lack of available and reliable IPE, including multiple control gaps. The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gaps are related to reports extracted from certain information technology systems that were not verified for completeness and accuracy. These deficiencies related to untimely review, insufficient documentation, improper testing procedures, and ineffective design of certain controls. Management did not sufficiently select and develop IPE control activities that contribute to the mitigation of risks to achieve the reduction of risk to acceptable levels which resulted in a material weakness. This material weakness could affect all transaction cycles within the consolidated financial statements.</w:t>
      </w:r>
    </w:p>
    <w:p>
      <w:pPr>
        <w:ind w:left="520" w:hanging="260"/>
        <w:spacing w:after="0" w:line="237"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Newtek Technology Solutions (NTS) System Conversion </w:t>
      </w:r>
      <w:r>
        <w:rPr>
          <w:rFonts w:ascii="Times New Roman" w:cs="Times New Roman" w:eastAsia="Times New Roman" w:hAnsi="Times New Roman"/>
          <w:sz w:val="14"/>
          <w:szCs w:val="14"/>
          <w:color w:val="auto"/>
        </w:rPr>
        <w:t>– NTS’s system of record for webhosting revenue was converted during the first quarter of 2023 and certain changes made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former and current systems were not tested and approved in a separate environment prior to being placed into production. As it relates to this system conversion, management did not develop sufficient general control activities over program change management to support the achievement of the conversion’s objectives, resulting in a material weakness. This material weakness impacted other assets, retained earnings, technology services expense, and technology and IT support income.</w:t>
      </w:r>
    </w:p>
    <w:p>
      <w:pPr>
        <w:ind w:left="520" w:right="360" w:hanging="260"/>
        <w:spacing w:after="0" w:line="242"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NTS Revenue Cycle </w:t>
      </w:r>
      <w:r>
        <w:rPr>
          <w:rFonts w:ascii="Times New Roman" w:cs="Times New Roman" w:eastAsia="Times New Roman" w:hAnsi="Times New Roman"/>
          <w:sz w:val="14"/>
          <w:szCs w:val="14"/>
          <w:color w:val="auto"/>
        </w:rPr>
        <w:t>– There were deficiencies in design, implementation and operating effectiveness of the NTS revenue recognition controls. Management did not retain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individuals with the appropriate skills knowledge and expertise in that financial reporting oversight role resulting in a material weakness. This material weakness impacted other assets, retained earnings, technology services expense, and technology and IT support income.</w:t>
      </w:r>
    </w:p>
    <w:p>
      <w:pPr>
        <w:spacing w:after="0" w:line="16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These material weaknesses were considered in determining the nature, timing and extent of audit tests applied in our audit of the consolidated financial statements as of and for the year ended December 31, 2023 of the Company, and this report does not affect our report dated April 1, 2024 on those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8"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Pr>
          <w:p>
            <w:pPr>
              <w:spacing w:after="0"/>
              <w:rPr>
                <w:sz w:val="13"/>
                <w:szCs w:val="13"/>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66"/>
        </w:trPr>
        <w:tc>
          <w:tcPr>
            <w:tcW w:w="260" w:type="dxa"/>
            <w:vAlign w:val="bottom"/>
          </w:tcPr>
          <w:p>
            <w:pPr>
              <w:spacing w:after="0"/>
              <w:rPr>
                <w:sz w:val="14"/>
                <w:szCs w:val="14"/>
                <w:color w:val="auto"/>
              </w:rPr>
            </w:pPr>
          </w:p>
        </w:tc>
        <w:tc>
          <w:tcPr>
            <w:tcW w:w="692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240" w:type="dxa"/>
            <w:vAlign w:val="bottom"/>
          </w:tcPr>
          <w:p>
            <w:pPr>
              <w:spacing w:after="0"/>
              <w:rPr>
                <w:sz w:val="14"/>
                <w:szCs w:val="14"/>
                <w:color w:val="auto"/>
              </w:rPr>
            </w:pPr>
          </w:p>
        </w:tc>
      </w:tr>
      <w:tr>
        <w:trPr>
          <w:trHeight w:val="184"/>
        </w:trPr>
        <w:tc>
          <w:tcPr>
            <w:tcW w:w="26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53,692</w:t>
            </w:r>
          </w:p>
        </w:tc>
        <w:tc>
          <w:tcPr>
            <w:tcW w:w="240" w:type="dxa"/>
            <w:vAlign w:val="bottom"/>
          </w:tcPr>
          <w:p>
            <w:pPr>
              <w:spacing w:after="0"/>
              <w:rPr>
                <w:sz w:val="16"/>
                <w:szCs w:val="16"/>
                <w:color w:val="auto"/>
              </w:rPr>
            </w:pPr>
          </w:p>
        </w:tc>
      </w:tr>
      <w:tr>
        <w:trPr>
          <w:trHeight w:val="181"/>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240" w:type="dxa"/>
            <w:vAlign w:val="bottom"/>
          </w:tcPr>
          <w:p>
            <w:pPr>
              <w:spacing w:after="0"/>
              <w:rPr>
                <w:sz w:val="14"/>
                <w:szCs w:val="14"/>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 (cost of $37,864 and $23,314), respectively</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Controlled investments (cost of $0 and $131,495), respectively</w:t>
            </w:r>
          </w:p>
        </w:tc>
        <w:tc>
          <w:tcPr>
            <w:tcW w:w="2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 investments (cost of $796 and $1,360), respectively</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assets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28,506</w:t>
            </w:r>
          </w:p>
        </w:tc>
        <w:tc>
          <w:tcPr>
            <w:tcW w:w="240" w:type="dxa"/>
            <w:vAlign w:val="bottom"/>
          </w:tcPr>
          <w:p>
            <w:pPr>
              <w:spacing w:after="0"/>
              <w:rPr>
                <w:sz w:val="15"/>
                <w:szCs w:val="15"/>
                <w:color w:val="auto"/>
              </w:rPr>
            </w:pPr>
          </w:p>
        </w:tc>
      </w:tr>
      <w:tr>
        <w:trPr>
          <w:trHeight w:val="196"/>
        </w:trPr>
        <w:tc>
          <w:tcPr>
            <w:tcW w:w="260" w:type="dxa"/>
            <w:vAlign w:val="bottom"/>
          </w:tcPr>
          <w:p>
            <w:pPr>
              <w:spacing w:after="0"/>
              <w:rPr>
                <w:sz w:val="16"/>
                <w:szCs w:val="16"/>
                <w:color w:val="auto"/>
              </w:rPr>
            </w:pPr>
          </w:p>
        </w:tc>
        <w:tc>
          <w:tcPr>
            <w:tcW w:w="6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998,902</w:t>
            </w:r>
          </w:p>
        </w:tc>
        <w:tc>
          <w:tcPr>
            <w:tcW w:w="2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8"/>
        </w:trPr>
        <w:tc>
          <w:tcPr>
            <w:tcW w:w="2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539,326</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19,194</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35,627</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21,424</w:t>
            </w:r>
          </w:p>
        </w:tc>
        <w:tc>
          <w:tcPr>
            <w:tcW w:w="240" w:type="dxa"/>
            <w:vAlign w:val="bottom"/>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1,180,467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623,544</w:t>
            </w:r>
          </w:p>
        </w:tc>
        <w:tc>
          <w:tcPr>
            <w:tcW w:w="240" w:type="dxa"/>
            <w:vAlign w:val="bottom"/>
          </w:tcPr>
          <w:p>
            <w:pPr>
              <w:spacing w:after="0"/>
              <w:rPr>
                <w:sz w:val="14"/>
                <w:szCs w:val="14"/>
                <w:color w:val="auto"/>
              </w:rPr>
            </w:pPr>
          </w:p>
        </w:tc>
      </w:tr>
      <w:tr>
        <w:trPr>
          <w:trHeight w:val="65"/>
        </w:trPr>
        <w:tc>
          <w:tcPr>
            <w:tcW w:w="2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 and contingencies (Note 14)</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(par value $0.02 per share; authorized 20 shares, 20 shares issued and outstanding)</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38"/>
        </w:trPr>
        <w:tc>
          <w:tcPr>
            <w:tcW w:w="260" w:type="dxa"/>
            <w:vAlign w:val="bottom"/>
          </w:tcPr>
          <w:p>
            <w:pPr>
              <w:spacing w:after="0"/>
              <w:rPr>
                <w:sz w:val="11"/>
                <w:szCs w:val="11"/>
                <w:color w:val="auto"/>
              </w:rPr>
            </w:pPr>
          </w:p>
        </w:tc>
        <w:tc>
          <w:tcPr>
            <w:tcW w:w="69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(par value $0.02 per share; authorized 200,000 shares, 24,680 and 24,609 shares issued and outstanding,</w:t>
            </w: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91"/>
        </w:trPr>
        <w:tc>
          <w:tcPr>
            <w:tcW w:w="260" w:type="dxa"/>
            <w:vAlign w:val="bottom"/>
          </w:tcPr>
          <w:p>
            <w:pPr>
              <w:spacing w:after="0"/>
              <w:rPr>
                <w:sz w:val="16"/>
                <w:szCs w:val="16"/>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40" w:type="dxa"/>
            <w:vAlign w:val="bottom"/>
          </w:tcPr>
          <w:p>
            <w:pPr>
              <w:spacing w:after="0"/>
              <w:rPr>
                <w:sz w:val="16"/>
                <w:szCs w:val="16"/>
                <w:color w:val="auto"/>
              </w:rPr>
            </w:pPr>
          </w:p>
        </w:tc>
      </w:tr>
      <w:tr>
        <w:trPr>
          <w:trHeight w:val="181"/>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2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485"/>
        </w:trPr>
        <w:tc>
          <w:tcPr>
            <w:tcW w:w="260" w:type="dxa"/>
            <w:vAlign w:val="bottom"/>
          </w:tcPr>
          <w:p>
            <w:pPr>
              <w:spacing w:after="0"/>
              <w:rPr>
                <w:sz w:val="24"/>
                <w:szCs w:val="24"/>
                <w:color w:val="auto"/>
              </w:rPr>
            </w:pPr>
          </w:p>
        </w:tc>
        <w:tc>
          <w:tcPr>
            <w:tcW w:w="6920" w:type="dxa"/>
            <w:vAlign w:val="bottom"/>
          </w:tcPr>
          <w:p>
            <w:pPr>
              <w:ind w:left="5280"/>
              <w:spacing w:after="0"/>
              <w:rPr>
                <w:sz w:val="20"/>
                <w:szCs w:val="20"/>
                <w:color w:val="auto"/>
              </w:rPr>
            </w:pPr>
            <w:r>
              <w:rPr>
                <w:rFonts w:ascii="Times New Roman" w:cs="Times New Roman" w:eastAsia="Times New Roman" w:hAnsi="Times New Roman"/>
                <w:sz w:val="14"/>
                <w:szCs w:val="14"/>
                <w:color w:val="auto"/>
              </w:rPr>
              <w:t>F-7</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4"/>
        </w:trPr>
        <w:tc>
          <w:tcPr>
            <w:tcW w:w="260" w:type="dxa"/>
            <w:vAlign w:val="bottom"/>
          </w:tcPr>
          <w:p>
            <w:pPr>
              <w:spacing w:after="0"/>
              <w:rPr>
                <w:sz w:val="16"/>
                <w:szCs w:val="16"/>
                <w:color w:val="auto"/>
              </w:rPr>
            </w:pPr>
          </w:p>
        </w:tc>
        <w:tc>
          <w:tcPr>
            <w:tcW w:w="7160" w:type="dxa"/>
            <w:vAlign w:val="bottom"/>
            <w:gridSpan w:val="2"/>
          </w:tcPr>
          <w:p>
            <w:pPr>
              <w:ind w:left="36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6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1"/>
        </w:trPr>
        <w:tc>
          <w:tcPr>
            <w:tcW w:w="260" w:type="dxa"/>
            <w:vAlign w:val="bottom"/>
          </w:tcPr>
          <w:p>
            <w:pPr>
              <w:spacing w:after="0"/>
              <w:rPr>
                <w:sz w:val="16"/>
                <w:szCs w:val="16"/>
                <w:color w:val="auto"/>
              </w:rPr>
            </w:pPr>
          </w:p>
        </w:tc>
        <w:tc>
          <w:tcPr>
            <w:tcW w:w="3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76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1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240" w:type="dxa"/>
            <w:vAlign w:val="bottom"/>
          </w:tcPr>
          <w:p>
            <w:pPr>
              <w:spacing w:after="0"/>
              <w:rPr>
                <w:sz w:val="16"/>
                <w:szCs w:val="16"/>
                <w:color w:val="auto"/>
              </w:rPr>
            </w:pPr>
          </w:p>
        </w:tc>
      </w:tr>
      <w:tr>
        <w:trPr>
          <w:trHeight w:val="196"/>
        </w:trPr>
        <w:tc>
          <w:tcPr>
            <w:tcW w:w="260" w:type="dxa"/>
            <w:vAlign w:val="bottom"/>
          </w:tcPr>
          <w:p>
            <w:pPr>
              <w:spacing w:after="0"/>
              <w:rPr>
                <w:sz w:val="16"/>
                <w:szCs w:val="16"/>
                <w:color w:val="auto"/>
              </w:rPr>
            </w:pPr>
          </w:p>
        </w:tc>
        <w:tc>
          <w:tcPr>
            <w:tcW w:w="3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7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998,902</w:t>
            </w:r>
          </w:p>
        </w:tc>
        <w:tc>
          <w:tcPr>
            <w:tcW w:w="2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7"/>
        </w:trPr>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4"/>
        </w:trPr>
        <w:tc>
          <w:tcPr>
            <w:tcW w:w="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92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right="50"/>
              <w:spacing w:after="0" w:line="108"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jc w:val="right"/>
              <w:ind w:right="570"/>
              <w:spacing w:after="0" w:line="108"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10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 Company</w:t>
            </w:r>
          </w:p>
        </w:tc>
      </w:tr>
      <w:tr>
        <w:trPr>
          <w:trHeight w:val="168"/>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30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940" w:type="dxa"/>
            <w:vAlign w:val="bottom"/>
            <w:gridSpan w:val="2"/>
            <w:shd w:val="clear" w:color="auto" w:fill="CCEEFF"/>
          </w:tcPr>
          <w:p>
            <w:pPr>
              <w:jc w:val="right"/>
              <w:ind w:right="78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25,951</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and fees on loans - PPP loans</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49,989</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from affiliates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30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38,617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78,966</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18,591</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payable related party</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30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20,515</w:t>
            </w:r>
          </w:p>
        </w:tc>
        <w:tc>
          <w:tcPr>
            <w:tcW w:w="10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3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58,451</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0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58,451</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53,113</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 (loss) on loans under the fair value option</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3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10,295</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0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89,310</w:t>
            </w:r>
          </w:p>
        </w:tc>
        <w:tc>
          <w:tcPr>
            <w:tcW w:w="100" w:type="dxa"/>
            <w:vAlign w:val="bottom"/>
          </w:tcPr>
          <w:p>
            <w:pPr>
              <w:spacing w:after="0"/>
              <w:rPr>
                <w:sz w:val="14"/>
                <w:szCs w:val="14"/>
                <w:color w:val="auto"/>
              </w:rPr>
            </w:pPr>
          </w:p>
        </w:tc>
      </w:tr>
      <w:tr>
        <w:trPr>
          <w:trHeight w:val="160"/>
        </w:trPr>
        <w:tc>
          <w:tcPr>
            <w:tcW w:w="12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3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3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7,454</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0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66,395</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62,292</w:t>
            </w:r>
          </w:p>
        </w:tc>
        <w:tc>
          <w:tcPr>
            <w:tcW w:w="10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85,469</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30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100" w:type="dxa"/>
            <w:vAlign w:val="bottom"/>
          </w:tcPr>
          <w:p>
            <w:pPr>
              <w:spacing w:after="0"/>
              <w:rPr>
                <w:sz w:val="14"/>
                <w:szCs w:val="14"/>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3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12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940" w:type="dxa"/>
            <w:vAlign w:val="bottom"/>
            <w:gridSpan w:val="2"/>
          </w:tcPr>
          <w:p>
            <w:pPr>
              <w:jc w:val="right"/>
              <w:ind w:right="78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r>
      <w:tr>
        <w:trPr>
          <w:trHeight w:val="491"/>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40" w:type="dxa"/>
            <w:vAlign w:val="bottom"/>
            <w:gridSpan w:val="2"/>
          </w:tcPr>
          <w:p>
            <w:pPr>
              <w:jc w:val="right"/>
              <w:ind w:right="1643"/>
              <w:spacing w:after="0"/>
              <w:rPr>
                <w:sz w:val="20"/>
                <w:szCs w:val="20"/>
                <w:color w:val="auto"/>
              </w:rPr>
            </w:pPr>
            <w:r>
              <w:rPr>
                <w:rFonts w:ascii="Times New Roman" w:cs="Times New Roman" w:eastAsia="Times New Roman" w:hAnsi="Times New Roman"/>
                <w:sz w:val="14"/>
                <w:szCs w:val="14"/>
                <w:color w:val="auto"/>
              </w:rPr>
              <w:t>F-9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7"/>
        </w:trPr>
        <w:tc>
          <w:tcPr>
            <w:tcW w:w="12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32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320" w:type="dxa"/>
            <w:vAlign w:val="bottom"/>
          </w:tcPr>
          <w:p>
            <w:pPr>
              <w:jc w:val="center"/>
              <w:ind w:left="1469"/>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INCOME</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120" w:type="dxa"/>
            <w:vAlign w:val="bottom"/>
          </w:tcPr>
          <w:p>
            <w:pPr>
              <w:spacing w:after="0"/>
              <w:rPr>
                <w:sz w:val="15"/>
                <w:szCs w:val="15"/>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53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w:t>
            </w:r>
          </w:p>
        </w:tc>
        <w:tc>
          <w:tcPr>
            <w:tcW w:w="7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w:t>
            </w:r>
          </w:p>
        </w:tc>
        <w:tc>
          <w:tcPr>
            <w:tcW w:w="7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5"/>
                <w:szCs w:val="15"/>
                <w:color w:val="auto"/>
              </w:rPr>
            </w:pPr>
          </w:p>
        </w:tc>
      </w:tr>
      <w:tr>
        <w:trPr>
          <w:trHeight w:val="495"/>
        </w:trPr>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20" w:type="dxa"/>
            <w:vAlign w:val="bottom"/>
          </w:tcPr>
          <w:p>
            <w:pPr>
              <w:jc w:val="center"/>
              <w:ind w:left="1469"/>
              <w:spacing w:after="0"/>
              <w:rPr>
                <w:sz w:val="20"/>
                <w:szCs w:val="20"/>
                <w:color w:val="auto"/>
              </w:rPr>
            </w:pPr>
            <w:r>
              <w:rPr>
                <w:rFonts w:ascii="Times New Roman" w:cs="Times New Roman" w:eastAsia="Times New Roman" w:hAnsi="Times New Roman"/>
                <w:sz w:val="14"/>
                <w:szCs w:val="14"/>
                <w:color w:val="auto"/>
                <w:w w:val="98"/>
              </w:rPr>
              <w:t>F-10</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320" w:type="dxa"/>
            <w:vAlign w:val="bottom"/>
          </w:tcPr>
          <w:p>
            <w:pPr>
              <w:jc w:val="center"/>
              <w:ind w:left="144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7"/>
        </w:trPr>
        <w:tc>
          <w:tcPr>
            <w:tcW w:w="12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5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jc w:val="center"/>
              <w:ind w:right="74"/>
              <w:spacing w:after="0" w:line="108"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Financial Holding</w:t>
            </w: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loss on debt securities available-for-sale during the period</w:t>
            </w:r>
          </w:p>
        </w:tc>
        <w:tc>
          <w:tcPr>
            <w:tcW w:w="2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2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tax benefit</w:t>
            </w:r>
          </w:p>
        </w:tc>
        <w:tc>
          <w:tcPr>
            <w:tcW w:w="2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20" w:type="dxa"/>
            <w:vAlign w:val="bottom"/>
            <w:gridSpan w:val="2"/>
          </w:tcPr>
          <w:p>
            <w:pPr>
              <w:jc w:val="right"/>
              <w:ind w:right="1389"/>
              <w:spacing w:after="0"/>
              <w:rPr>
                <w:sz w:val="20"/>
                <w:szCs w:val="20"/>
                <w:color w:val="auto"/>
              </w:rPr>
            </w:pPr>
            <w:r>
              <w:rPr>
                <w:rFonts w:ascii="Times New Roman" w:cs="Times New Roman" w:eastAsia="Times New Roman" w:hAnsi="Times New Roman"/>
                <w:sz w:val="14"/>
                <w:szCs w:val="14"/>
                <w:color w:val="auto"/>
              </w:rPr>
              <w:t>F-11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8420" w:type="dxa"/>
            <w:vAlign w:val="bottom"/>
            <w:gridSpan w:val="5"/>
          </w:tcPr>
          <w:p>
            <w:pPr>
              <w:ind w:left="38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484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7" w:name="page128"/>
    <w:bookmarkEnd w:id="127"/>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Accumul-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ated other</w:t>
            </w:r>
          </w:p>
        </w:tc>
        <w:tc>
          <w:tcPr>
            <w:tcW w:w="9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9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nsive income</w:t>
            </w: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Conversion from BDC to Bank Holding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 Adjustments: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presentation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Removal of fair value adjustments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Consolidation of controlled investments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Reassessment of deferred tax assets and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liabilities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net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declared related to RSA, net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Purchase of vested stock for employee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payroll tax 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issuance costs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declared common shares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($0.18/share)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declared preferred shares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($12.27/share)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F-12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gridSpan w:val="10"/>
          </w:tcPr>
          <w:p>
            <w:pPr>
              <w:ind w:left="1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24" w:right="31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00" w:type="dxa"/>
            <w:vAlign w:val="bottom"/>
            <w:gridSpan w:val="3"/>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related to RSA</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RIC tax reclassification</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resulting from operations:</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investment income</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unrealized depreciation on investments</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2"/>
          </w:tcPr>
          <w:p>
            <w:pPr>
              <w:jc w:val="center"/>
              <w:ind w:left="789"/>
              <w:spacing w:after="0"/>
              <w:rPr>
                <w:sz w:val="20"/>
                <w:szCs w:val="20"/>
                <w:color w:val="auto"/>
              </w:rPr>
            </w:pPr>
            <w:r>
              <w:rPr>
                <w:rFonts w:ascii="Times New Roman" w:cs="Times New Roman" w:eastAsia="Times New Roman" w:hAnsi="Times New Roman"/>
                <w:sz w:val="14"/>
                <w:szCs w:val="14"/>
                <w:color w:val="auto"/>
                <w:w w:val="98"/>
              </w:rPr>
              <w:t>F-13</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3720" w:type="dxa"/>
            <w:vAlign w:val="bottom"/>
            <w:gridSpan w:val="7"/>
          </w:tcPr>
          <w:p>
            <w:pPr>
              <w:jc w:val="center"/>
              <w:ind w:right="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04"/>
        </w:trPr>
        <w:tc>
          <w:tcPr>
            <w:tcW w:w="7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tcPr>
          <w:p>
            <w:pPr>
              <w:spacing w:after="0"/>
              <w:rPr>
                <w:sz w:val="9"/>
                <w:szCs w:val="9"/>
                <w:color w:val="auto"/>
              </w:rPr>
            </w:pPr>
          </w:p>
        </w:tc>
        <w:tc>
          <w:tcPr>
            <w:tcW w:w="1200" w:type="dxa"/>
            <w:vAlign w:val="bottom"/>
          </w:tcPr>
          <w:p>
            <w:pPr>
              <w:jc w:val="center"/>
              <w:ind w:right="110"/>
              <w:spacing w:after="0" w:line="104" w:lineRule="exact"/>
              <w:rPr>
                <w:sz w:val="20"/>
                <w:szCs w:val="20"/>
                <w:color w:val="auto"/>
              </w:rPr>
            </w:pPr>
            <w:r>
              <w:rPr>
                <w:rFonts w:ascii="Times New Roman" w:cs="Times New Roman" w:eastAsia="Times New Roman" w:hAnsi="Times New Roman"/>
                <w:sz w:val="11"/>
                <w:szCs w:val="11"/>
                <w:b w:val="1"/>
                <w:bCs w:val="1"/>
                <w:color w:val="auto"/>
              </w:rPr>
              <w:t>Financial Holding</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100" w:type="dxa"/>
            <w:vAlign w:val="bottom"/>
          </w:tcPr>
          <w:p>
            <w:pPr>
              <w:spacing w:after="0"/>
              <w:rPr>
                <w:sz w:val="9"/>
                <w:szCs w:val="9"/>
                <w:color w:val="auto"/>
              </w:rPr>
            </w:pP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0" w:type="dxa"/>
            <w:vAlign w:val="bottom"/>
          </w:tcPr>
          <w:p>
            <w:pPr>
              <w:spacing w:after="0"/>
              <w:rPr>
                <w:sz w:val="1"/>
                <w:szCs w:val="1"/>
                <w:color w:val="auto"/>
              </w:rPr>
            </w:pPr>
          </w:p>
        </w:tc>
      </w:tr>
      <w:tr>
        <w:trPr>
          <w:trHeight w:val="157"/>
        </w:trPr>
        <w:tc>
          <w:tcPr>
            <w:tcW w:w="70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on joint ventures and non-control investments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on controlled investments</w:t>
            </w:r>
          </w:p>
        </w:tc>
        <w:tc>
          <w:tcPr>
            <w:tcW w:w="1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realized gain (loss) on controlled investments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on servicing assets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(appreciation) on derivative transactions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(53,113)</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1,203,475</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 of loans held for sale from affiliate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 of loans held for sale</w:t>
            </w:r>
          </w:p>
        </w:tc>
        <w:tc>
          <w:tcPr>
            <w:tcW w:w="1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(9,096)</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Sale of loans to affiliate</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(1,289,572)</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Funding of controlled investments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(55,270)</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non-control/affiliate investment</w:t>
            </w:r>
          </w:p>
        </w:tc>
        <w:tc>
          <w:tcPr>
            <w:tcW w:w="1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77,070</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Principal received from controlled investments</w:t>
            </w:r>
          </w:p>
        </w:tc>
        <w:tc>
          <w:tcPr>
            <w:tcW w:w="1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from non-control investments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Return of investment from controlled investments</w:t>
            </w:r>
          </w:p>
        </w:tc>
        <w:tc>
          <w:tcPr>
            <w:tcW w:w="1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34,856</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180"/>
        </w:trPr>
        <w:tc>
          <w:tcPr>
            <w:tcW w:w="7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receivable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receivable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to/from related parties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128,340</w:t>
            </w:r>
          </w:p>
        </w:tc>
        <w:tc>
          <w:tcPr>
            <w:tcW w:w="0" w:type="dxa"/>
            <w:vAlign w:val="bottom"/>
          </w:tcPr>
          <w:p>
            <w:pPr>
              <w:spacing w:after="0"/>
              <w:rPr>
                <w:sz w:val="1"/>
                <w:szCs w:val="1"/>
                <w:color w:val="auto"/>
              </w:rPr>
            </w:pPr>
          </w:p>
        </w:tc>
      </w:tr>
      <w:tr>
        <w:trPr>
          <w:trHeight w:val="180"/>
        </w:trPr>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5"/>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(169,219)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80"/>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decrease in loans held for investment, at fair value</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capital - non-control investments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increase in Federal Home Loan and Federal Reserve Bank stock</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(172,235)</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(paydowns) borrowings on bank notes payable</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(36,339)</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shares sold, net of offering costs</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50,007</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preferred stock, net of offering costs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repayments under related party line of credit</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2024 Notes</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2025 6.85% Notes</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2025 5.00% Notes</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2025 8.125% Notes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2026 Notes</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2028 8.00% Notes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Redemption of 2023 Notes</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Redemption of 2024 Notes</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Redemption of 2025 6.85% Notes</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(75,432)</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Notes Payable - Securitization Trusts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(70,144)</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4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71"/>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344,974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w:t>
            </w:r>
          </w:p>
        </w:tc>
        <w:tc>
          <w:tcPr>
            <w:tcW w:w="0" w:type="dxa"/>
            <w:vAlign w:val="bottom"/>
          </w:tcPr>
          <w:p>
            <w:pPr>
              <w:spacing w:after="0"/>
              <w:rPr>
                <w:sz w:val="1"/>
                <w:szCs w:val="1"/>
                <w:color w:val="auto"/>
              </w:rPr>
            </w:pPr>
          </w:p>
        </w:tc>
      </w:tr>
      <w:tr>
        <w:trPr>
          <w:trHeight w:val="17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restricted cash</w:t>
            </w: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135,435</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51,425</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186,860</w:t>
            </w:r>
          </w:p>
        </w:tc>
        <w:tc>
          <w:tcPr>
            <w:tcW w:w="0" w:type="dxa"/>
            <w:vAlign w:val="bottom"/>
          </w:tcPr>
          <w:p>
            <w:pPr>
              <w:spacing w:after="0"/>
              <w:rPr>
                <w:sz w:val="1"/>
                <w:szCs w:val="1"/>
                <w:color w:val="auto"/>
              </w:rPr>
            </w:pPr>
          </w:p>
        </w:tc>
      </w:tr>
      <w:tr>
        <w:trPr>
          <w:trHeight w:val="65"/>
        </w:trPr>
        <w:tc>
          <w:tcPr>
            <w:tcW w:w="7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shares under dividend reinvestment plan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40" w:type="dxa"/>
            <w:vAlign w:val="bottom"/>
            <w:vMerge w:val="continue"/>
          </w:tcPr>
          <w:p>
            <w:pPr>
              <w:spacing w:after="0"/>
              <w:rPr>
                <w:sz w:val="12"/>
                <w:szCs w:val="12"/>
                <w:color w:val="auto"/>
              </w:rPr>
            </w:pPr>
          </w:p>
        </w:tc>
        <w:tc>
          <w:tcPr>
            <w:tcW w:w="460" w:type="dxa"/>
            <w:vAlign w:val="bottom"/>
            <w:tcBorders>
              <w:bottom w:val="single" w:sz="8" w:color="auto"/>
            </w:tcBorders>
          </w:tcPr>
          <w:p>
            <w:pPr>
              <w:jc w:val="right"/>
              <w:ind w:right="2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60"/>
        </w:trPr>
        <w:tc>
          <w:tcPr>
            <w:tcW w:w="70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46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20,131</w:t>
            </w:r>
          </w:p>
        </w:tc>
        <w:tc>
          <w:tcPr>
            <w:tcW w:w="0" w:type="dxa"/>
            <w:vAlign w:val="bottom"/>
          </w:tcPr>
          <w:p>
            <w:pPr>
              <w:spacing w:after="0"/>
              <w:rPr>
                <w:sz w:val="1"/>
                <w:szCs w:val="1"/>
                <w:color w:val="auto"/>
              </w:rPr>
            </w:pPr>
          </w:p>
        </w:tc>
      </w:tr>
      <w:tr>
        <w:trPr>
          <w:trHeight w:val="184"/>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0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91"/>
        </w:trPr>
        <w:tc>
          <w:tcPr>
            <w:tcW w:w="704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F-15</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500" w:type="dxa"/>
            <w:vAlign w:val="bottom"/>
            <w:gridSpan w:val="2"/>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70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SMBs and provides SMBs with the following Newtek® branded business and financial solutions: Newtek Bank, Newtek Lending, Newtek Payments, Newtek Insurance, Newtek Payroll and Newtek Technology.</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pursuant to which the Company acquired from NBNYC’s shareholders all of the issued and outstanding stock of NBNYC for $20 million, plus reimbursement of certain expenses. NBNYC has been renamed Newtek Bank, National Association and has become a wholly owned subsidiary of the Company. In connection with the completion of the Acquisition, the Company contributed to Newtek Bank $31 million of cash and two of the Company’s unconsolidated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6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Included in the Operating Agreement were the contribution of two subsidiaries to Newtek Bank which also occurred on January 6, 2023: SBL and NBL (NBL was subsequently merged into SBL on May 3, 2023).</w:t>
      </w:r>
    </w:p>
    <w:p>
      <w:pPr>
        <w:spacing w:after="0" w:line="13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In addition, on January 6, 2023, the Company filed with the SEC a Form N-54C, Notification of Withdrawal of Election to be Subject to the 1940 Act (“Withdrawal of Election”), and has ceased to be a BDC effective as of January 6, 2023. As a result of the Acquisition and the Withdrawal of Election, the Company’s accounting and financial reporting requirements changed in the following ways:</w:t>
      </w:r>
    </w:p>
    <w:p>
      <w:pPr>
        <w:spacing w:after="0" w:line="157" w:lineRule="exact"/>
        <w:rPr>
          <w:sz w:val="20"/>
          <w:szCs w:val="20"/>
          <w:color w:val="auto"/>
        </w:rPr>
      </w:pPr>
    </w:p>
    <w:p>
      <w:pPr>
        <w:ind w:left="500" w:hanging="240"/>
        <w:spacing w:after="0"/>
        <w:tabs>
          <w:tab w:leader="none" w:pos="500" w:val="left"/>
        </w:tabs>
        <w:numPr>
          <w:ilvl w:val="0"/>
          <w:numId w:val="58"/>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 no longer qualifies as a regulated investment company (RIC) for federal income tax purposes and no longer qualifies for accounting treatment as an investment company, and</w:t>
      </w:r>
    </w:p>
    <w:p>
      <w:pPr>
        <w:ind w:left="520" w:right="200" w:hanging="260"/>
        <w:spacing w:after="0" w:line="227" w:lineRule="auto"/>
        <w:tabs>
          <w:tab w:leader="none" w:pos="513" w:val="left"/>
        </w:tabs>
        <w:numPr>
          <w:ilvl w:val="0"/>
          <w:numId w:val="58"/>
        </w:numPr>
        <w:rPr>
          <w:rFonts w:ascii="Calibri" w:cs="Calibri" w:eastAsia="Calibri" w:hAnsi="Calibri"/>
          <w:sz w:val="16"/>
          <w:szCs w:val="16"/>
          <w:color w:val="auto"/>
        </w:rPr>
      </w:pPr>
      <w:r>
        <w:rPr>
          <w:rFonts w:ascii="Times New Roman" w:cs="Times New Roman" w:eastAsia="Times New Roman" w:hAnsi="Times New Roman"/>
          <w:sz w:val="14"/>
          <w:szCs w:val="14"/>
          <w:color w:val="auto"/>
        </w:rPr>
        <w:t>The Company is now a financial holding company subject to the regulation and supervision of the Federal Reserve and the Federal Reserve Bank of Atlanta and also subject to the related FASB ASC Topics for financial holding companies and depository institutions.</w:t>
      </w:r>
    </w:p>
    <w:p>
      <w:pPr>
        <w:spacing w:after="0" w:line="15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4"/>
          <w:szCs w:val="14"/>
          <w:color w:val="auto"/>
        </w:rPr>
        <w:t>Following these changes, as of and for the year ended December 31, 2023 NewtekOne reports on a consolidated basis the financial condition and results of operations for the following consolidated subsidiaries: Newtek Bank; SBL; NSBF; NMS; Mobil Money; NBC; PMT; NIA; TAM; Holdco 6; NCL; EWS; and NTS. Our investment in POS is treated as a non-controlling interest and is included on our consolidated financial statements. In addition, as a result of commitments made to the Federal Reserve, the Company will divest or otherwise terminate the activities conducted by NTS, which includes SIDCO and EWS after a December 31, 2023 merger, within two years of becoming a financial holding company, subject to any extension of the two-year period. As of the date of this filing, the Company has concluded that the assets, liabilities and operations of NTS do not qualify for Discontinued Operations.</w:t>
      </w:r>
    </w:p>
    <w:p>
      <w:pPr>
        <w:spacing w:after="0" w:line="1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Moreover, on April 13, 2023, the Company, NSBF and the SBA entered into an agreement in connection with NSBF’s and Newtek Bank’s participation in the SBA 7(a) loan program (the "Wind-down Agreement"). The Company’s business plan prepared in connection with the Acquisition provided for all SBA 7(a) loan originations to be transitioned to Newtek Bank and for NSBF to cease originations of SBA 7(a) loans. Pursuant to the Wind-down Agreement, NSBF has begun to wind-down its operations and NSBF’s SBA 7(a) pipeline of new loans was transitioned to Newtek Bank during the second quarter of 2023. During this wind-down process, NSBF will continue to own the SBA 7(a) loans and PPP Loans currently in its SBA loan portfolio to maturity, liquidation, charge-off or (subject to SBA’s prior written approval) sale or transfer. SBL will service and liquidate NSBF’s SBA loan portfolio, including processing forgiveness and loan reviews for PPP Loans,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The Company has guaranteed NSBF’s obligations to the SBA and has funded a $10 million account at Newtek Bank to secure these potential obligations.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As a result of the Acquisition and its effects as described above, comparisons to prior periods include adjustments made to reconcile prior investment company accounting to the current financial holding company accounting requirements. For example, the statement of changes in stockholders’ equity includes adjustments for changes in presentation between accumulated undistributed earnings and additional paid in capital, removal of fair value adjustments on entities that are now consolidating entities, and the reassessment of deferred tax assets and liabilities relating to the consolidation of the previous portfolio companies investments. The statement of cash flows includes an adjustment to the opening cash balance for the cash from the previously unconsolidated subsidiaries.</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The Company’s results of operations for the three and twelve months ended December 31, 2023 include the results of operations of Newtek Bank on and after January 6, 2023. Results for the period prior to January 6, 2023 do not include the results of operations of NBNYC.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17, 2023, the Company changed its name from Newtek Business Services Corp. to NewtekOne,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either the equity method of accounting. The maximum potential exposure to losses relative to investments in VIEs is generally limited to the investment balance. Refer to NOTE 4—INVESTMENTS.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to the extent comparable, have been reclassified to conform to the current period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Financial Statements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December 31, 2023, cash deposits in excess of insured amounts totaled $37.2 million. The Company has not experienced any losses with respect to cash balances in excess of insured amounts and management does not believe there was a significant concentration of risk with respect to cash balances as of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securitization transactions, and cash margin as collateral for derivative instruments. As of December 31, 2023, total restricted cash was $30.9 million.</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December 31, 2023 and 2022:</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13"/>
                <w:szCs w:val="13"/>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53,692</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71,914</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125,606</w:t>
            </w: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securities, available for sale</w:t>
      </w:r>
    </w:p>
    <w:p>
      <w:pPr>
        <w:spacing w:after="0" w:line="20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The Company’s securities portfolio primarily consists of available for sale debt securities held by Newtek Bank that are classified as “available for sale” and carried at their estimated fair value, with any unrealized gains or losses, net of taxes, reported as accumulated other comprehensive income or loss in stockholders’ equity. The fair values of our instruments are affected by changes in market interest rates and credit spreads. In general, as interest rates rise and/or credit spreads widen, the fair value of instruments will decline. As interest rates fall and/or credit spreads tighten, the fair value of instruments will rise. The Company evaluates available-for-sale instruments in unrealized loss positions at least quarterly to determine if an allowance for credit losses is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Purchases and sales of debt securities are accounted for on a trade-date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receivable that management has the intent and ability to hold for the foreseeable future or until maturity or pay-off are classified as held for investment.</w:t>
      </w:r>
    </w:p>
    <w:p>
      <w:pPr>
        <w:spacing w:after="0" w:line="19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fees and costs: </w:t>
      </w:r>
      <w:r>
        <w:rPr>
          <w:rFonts w:ascii="Times New Roman" w:cs="Times New Roman" w:eastAsia="Times New Roman" w:hAnsi="Times New Roman"/>
          <w:sz w:val="14"/>
          <w:szCs w:val="14"/>
          <w:color w:val="auto"/>
        </w:rPr>
        <w:t>Loans are reported at their principal amount outstanding, net of charge-offs, deferred origination costs and fees and purchase premiums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 over the remaining period to contractual maturity. Currently, all LHI at amortized cost, net of deferred fees and costs are originated and carried at Newtek Bank and have a weighted average life of five years. Newtek Bank originates SBA 7(a) loans, under its PLP status, and typically sells the guaranteed portions and holds the unguaranteed portions for investment. Newtek Bank also holds CRE and C&amp;I loans for investment. The net amount of deferred fees and costs as of December 31, 2023 was $1.2 million.</w:t>
      </w:r>
    </w:p>
    <w:p>
      <w:pPr>
        <w:spacing w:after="0" w:line="16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On a quarterly basis, management determines the fair values of the retained unguaranteed portions of SBA 7(a) loans HFI, and unrealized changes in FV are recognized in the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 The loans within this portfolio were originated by NSBF. Refer to the “Fair Value Option” section below for further information on loans HFI carried at FV under the FV option.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Management designates loans as HFS based on its intent to sell loans, or portions of loans, in established secondary markets or to participant banks and credit unions. Salability requirements of government guaranteed portions include, but are not limited to, full disbursement of the loan commitment amount. The Company occasionally transfers loans between the HFS and HFI classifications based on its intent and ability to hold or sell loans. Management’s intent to sell may be impacted by secondary market conditions, loan credit quality, or other factors.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At lower of amortized cost basis or fair value</w:t>
      </w:r>
      <w:r>
        <w:rPr>
          <w:rFonts w:ascii="Times New Roman" w:cs="Times New Roman" w:eastAsia="Times New Roman" w:hAnsi="Times New Roman"/>
          <w:sz w:val="14"/>
          <w:szCs w:val="14"/>
          <w:color w:val="auto"/>
        </w:rPr>
        <w:t>: Both mortgage and non-mortgage loans classified as HFS are carried at the LCM. If the amortized cost basis of a loan exceeds FV, a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allowance should be established for the difference. Currently, HFS loans at LCM are carried at Newtek Bank. This includes the government guaranteed portion of SBA 7(a) loans and SBA 504 loans. Management may also make a determination to market for sale certain CRE and C&amp;I loans on a loan by loan basis.</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At fair value</w:t>
      </w:r>
      <w:r>
        <w:rPr>
          <w:rFonts w:ascii="Times New Roman" w:cs="Times New Roman" w:eastAsia="Times New Roman" w:hAnsi="Times New Roman"/>
          <w:sz w:val="14"/>
          <w:szCs w:val="14"/>
          <w:color w:val="auto"/>
        </w:rPr>
        <w:t>: The Company originates alternative lending program loans (formerly referred to as our nonconforming conventional loans), which are either HFS or HFI, via its nonbank subsidiaries,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joint ventures. Nonconforming loans are carried at FV. The Company also originated SBA 504 loans HFS prior to the Acquisition through its nonbank subsidiaries. SBA 504 loans HFS held at Holdco 6 are accounted for under the FV option. Alternative lending program loans are held at Holdco 6, NCL JV, and TSO JV and are also accounted for under the FV option. Additionally, the existing government guaranteed portion of SBA 7(a) loans held at NSBF are also HFS at FV. Refer to the “Fair Value Option” section below for further information on loans HFS carried at FV under the FV option.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and the Fair Value Option</w:t>
      </w:r>
    </w:p>
    <w:p>
      <w:pPr>
        <w:spacing w:after="0" w:line="20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In accordance with GAAP, a fair value hierarchy for inputs is used in measuring fair value that maximizes the use of observable inputs and minimizes the use of unobservable inputs by requiring that the most observable inputs be used when available.</w:t>
      </w:r>
    </w:p>
    <w:p>
      <w:pPr>
        <w:ind w:right="320"/>
        <w:spacing w:after="0" w:line="266"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157" w:lineRule="exact"/>
        <w:rPr>
          <w:sz w:val="20"/>
          <w:szCs w:val="20"/>
          <w:color w:val="auto"/>
        </w:rPr>
      </w:pPr>
    </w:p>
    <w:p>
      <w:pPr>
        <w:ind w:left="640" w:right="200" w:hanging="636"/>
        <w:spacing w:after="0" w:line="27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157" w:lineRule="exact"/>
        <w:rPr>
          <w:sz w:val="20"/>
          <w:szCs w:val="20"/>
          <w:color w:val="auto"/>
        </w:rPr>
      </w:pPr>
    </w:p>
    <w:p>
      <w:pPr>
        <w:ind w:left="640" w:right="100" w:hanging="636"/>
        <w:spacing w:after="0" w:line="261"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spacing w:after="0" w:line="164" w:lineRule="exact"/>
        <w:rPr>
          <w:sz w:val="20"/>
          <w:szCs w:val="20"/>
          <w:color w:val="auto"/>
        </w:rPr>
      </w:pPr>
    </w:p>
    <w:p>
      <w:pPr>
        <w:ind w:left="640" w:right="140" w:hanging="636"/>
        <w:spacing w:after="0" w:line="264"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year ended December 31, 2023 or 2022.</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4"/>
          <w:szCs w:val="14"/>
          <w:color w:val="auto"/>
        </w:rPr>
        <w:t>Level 1 investments were valued using quoted market prices. Level 2 investments were valued using market consensus prices that are corroborated by observable market data and quoted market prices for similar assets and liabilities.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has two joint venture investments. For TSO JV, the Company calculates the fair value of the investment based on the NAV of the entity. The fair value of the investment is equivalent to 50% of the total NAV of the JV, which represents the Company’s share of the entity and is based upon the practical expedient method permitted under ASC 820. For NCL JV, the Company uses a discounted cash flow methodology and adjusts the NAV of the entity by a fair value adjustment for the fixed rate debt liability.</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December 31, 2023, in addition to other circumstances and events that are not yet known.</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w:t>
      </w:r>
    </w:p>
    <w:p>
      <w:pPr>
        <w:spacing w:after="0" w:line="16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Any changes to the valuation methodology are reviewed by management to confirm that the changes are appropriate. As markets change, new products develop and the pricing for products becomes more or less transparent, the Company will continue to refine its valuation methodologies. See further description of fair value methodology in NOTE 9—FAIR VALUE MEASUREMENTS.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for which the FV option were elected are measured at FV and classified as either HFS or HFI, as outlined above. Not electing FV generally results in a larger discount being recorded on the date of the sale. This discount will subsequently be accreted into interest income over the underlying loan’s remaining term using the effective interest method. Management made this election in alignment with its ongoing effort to reduce volatility and drive more predictable revenue. 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in noninterest income as Net gain (loss) on loans accounted for under the fair value option. FV of loans includes adjustments for historical credit losses, market liquidity, and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19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57" w:lineRule="exact"/>
        <w:rPr>
          <w:sz w:val="20"/>
          <w:szCs w:val="20"/>
          <w:color w:val="auto"/>
        </w:rPr>
      </w:pPr>
    </w:p>
    <w:p>
      <w:pPr>
        <w:jc w:val="both"/>
        <w:ind w:right="560"/>
        <w:spacing w:after="0" w:line="239"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5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The SBA 7(a) loan portfolio is the single loan pool where management solely utilizes historical internal data to determine the loss rate as an input to the model. The data utilized represents the most recent economic cycle and management determines the loss rate by analyzing defaulted principal and net charge offs to calculate the historical loss rate.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6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15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which is generally based upon federal call report segmentation. Portfolio segments have been combined or sub-segmented as needed to ensure loans of similar risk profiles are appropriately pooled. These portfolio segments are as follows:</w:t>
      </w:r>
    </w:p>
    <w:p>
      <w:pPr>
        <w:spacing w:after="0" w:line="144"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4"/>
          <w:szCs w:val="14"/>
          <w:i w:val="1"/>
          <w:iCs w:val="1"/>
          <w:color w:val="auto"/>
        </w:rPr>
        <w:t>Commercial Real Estate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commercial real estate portfolio is comprised of loans to borrowers on small offices, owner-occupied commercial buildings, industrial/warehouse properties,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Commercial &amp; Industrial: </w:t>
      </w:r>
      <w:r>
        <w:rPr>
          <w:rFonts w:ascii="Times New Roman" w:cs="Times New Roman" w:eastAsia="Times New Roman" w:hAnsi="Times New Roman"/>
          <w:sz w:val="14"/>
          <w:szCs w:val="14"/>
          <w:color w:val="auto"/>
        </w:rPr>
        <w:t>The commercial &amp; industrial portfolio consists of loans made for general business purposes consisting of short-term working capital loans, equipment loans and unsecured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lines.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4"/>
          <w:szCs w:val="14"/>
          <w:i w:val="1"/>
          <w:iCs w:val="1"/>
          <w:color w:val="auto"/>
        </w:rPr>
        <w:t xml:space="preserve">SBA 7(a): </w:t>
      </w:r>
      <w:r>
        <w:rPr>
          <w:rFonts w:ascii="Times New Roman" w:cs="Times New Roman" w:eastAsia="Times New Roman" w:hAnsi="Times New Roman"/>
          <w:sz w:val="14"/>
          <w:szCs w:val="14"/>
          <w:color w:val="auto"/>
        </w:rPr>
        <w:t>The SBA 7(a) portfolio includes loans originated under the federal Section 7(a) loan program. The SBA is an independent government agency that facilitates one of the nation’s largest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sources of SMB financing by providing credit guarantees for its loan programs. SBA 7(a) loans are partially guaranteed by the SBA, with SBA guarantees typically ranging between 50% and 90% of the principal and interest due. Under the SBA’s 7(a) lending program, a bank or other lender may underwrite loans between $5,000 and $5.0 million for a variety of general business purposes based on the SBA’s loan program requirements. The guaranteed portion of the loans are held for sale and carried at LCM and therefore are not subject to CECL. The unguaranteed portion of the loans that are held on balance sheet at amortized cost are subject to CECL.</w:t>
      </w:r>
    </w:p>
    <w:p>
      <w:pPr>
        <w:spacing w:after="0" w:line="15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4"/>
          <w:szCs w:val="14"/>
          <w:color w:val="auto"/>
        </w:rPr>
        <w:t>Individually Evaluated Loans: Loans that do not share risk characteristics with existing pools are evaluated on an individual basis.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5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Accrued Interest. Accrued interest receivable balances are presented within other assets on the consolidated balance sheet. Accrued interest is excluded from the measurement of the allowance for credit losses, including investments and loans. Generally, accrued interest is reversed when a loan is placed on non-accrual or is written-off. Current year accrued interest is reversed through interest income while accrued interest from prior years is written-off through the ACL. Historically, we have not experienced uncollectible accrued interest receivable on investment debt securities.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Allowance for off-balance sheet credit exposures. The exposure is a component of other liabilities in the consolidated balance sheet and represents the estimate for probable credit losses inherent in 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70"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December 31, 2023, the Company determined that the unrealized loss positions in the AFS securities were not the result of credit losses, and therefore, an allowance for credit losses was not recorded.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Doubtful Accounts</w:t>
      </w:r>
    </w:p>
    <w:p>
      <w:pPr>
        <w:spacing w:after="0" w:line="18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Technology: </w:t>
      </w:r>
      <w:r>
        <w:rPr>
          <w:rFonts w:ascii="Times New Roman" w:cs="Times New Roman" w:eastAsia="Times New Roman" w:hAnsi="Times New Roman"/>
          <w:sz w:val="14"/>
          <w:szCs w:val="14"/>
          <w:color w:val="auto"/>
        </w:rPr>
        <w:t>The allowance for doubtful accounts is established by management through provisions for bad debts charged against income. Amounts deemed to be uncollectible are charged against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allowance for doubtful accounts and subsequent recoveries, if any, are credited to income.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amount of the allowance for doubtful accounts is inherently subjective, as it requires making material estimates which may vary from actual results. Management’s ongoing estimates of the allowance for doubtful accounts are particularly affected by the performance of the client in their ability to provide the Company with future receivables coupled with the collections of their current receivables. The allowance consists of general and specific components. The specific component relates to a client’s aggregate net balance that is owed to the Company that is classified as doubtful. The general component covers non-classified balances and is based on historical loss experience.</w:t>
      </w:r>
    </w:p>
    <w:p>
      <w:pPr>
        <w:spacing w:after="0" w:line="16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A client’s aggregate net balance is considered uncollectible when, based on current information and events, it is probable that the Company will be unable to collect the receivable payments or the Company has greatly reduced the amount of receivables to be purchased. The Company’s charge-off policy is based on a client-by-client review for which the estimated uncollectible portion is charged off against the corresponding client’s net balance and the allowance for doubtful accounts.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the allowance for doubtful accounts was $1.0 million. There was no allowance for doubtful accounts as of December 31, 2022 prior to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year-end but have not yet settled. The guaranteed portion of SBA 7(a) principal balances that have been sold but not yet settled at December 31, 2023 was $56.5 million. The settlement receivable also includes $5.7 million of premiums, which have been recognized in Net Gains on Sales of Loans.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Goodwill is an indefinite lived asset, which is not amortized and is instead subject to impairment testing, at least annually. Intangible assets, such as customer merchant accounts, with finite lives are amortized over an estimated useful life of 66 to 120 months. (See NOTE 8—GOODWILL AND INTANGIBLE ASSETS.)</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 - Right of use assets and lease liabilities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three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and Servicing of Financial Assets</w:t>
      </w:r>
    </w:p>
    <w:p>
      <w:pPr>
        <w:spacing w:after="0" w:line="1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Assets related to transactions that do not meet ASC Topic 860 — Transfers and Servicing (“ASC Topic 860”) requirements for accounting sale treatment are reflected in the Company’s consolidated statements of assets and liabilities as investments and the sale proceeds are recognized as a liability.</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Assets owned by securitization trusts and included in the Company’s consolidated financial statements. The creditors of the special purpose entities have received security interests in such assets and such assets are not intended to be available to the creditors of the Company. From 2010 through December 31, 2023, NSBF engaged in thirteen (13) securitizations of the unguaranteed portions of its SBA 7(a) loans. A securitization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vehicles, based on its power to direct activities through its role as servicer for the Trusts and its obligation to absorb losses and right to receive benefits, it needed to consolidate the Trusts. The Company therefore consolidates the entities using the carrying amounts of the Trusts’ assets and liabilities and reflects the assets in SBA 7(a) Unguaranteed Loans and reflects the associated financing in Notes Payable - Securitization trusts on the Consolidated Statements of Assets and Liabilities.</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and Newtek Bank earn servicing fees from the guaranteed portions of SBA 7(a) loans they originate and sell. The Company has also recorded servicing assets/liabilities on loans sold where the Company retained an obligation to service the loan sold.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9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Accounts receivable represent amounts owed to the Company by third parties for electronic payment processing, technology services and related residuals. The Company estimates losses on accounts receivable based on known troubled accounts and historical experience of losses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Interest Receivable</w:t>
      </w:r>
    </w:p>
    <w:p>
      <w:pPr>
        <w:spacing w:after="0" w:line="20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Historically, the Company has not experienced uncollectible accrued interest receivable on investment securities.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spacing w:after="0" w:line="1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Fixed Assets</w:t>
      </w:r>
    </w:p>
    <w:p>
      <w:pPr>
        <w:spacing w:after="0" w:line="20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Fixed assets, which are composed of merchant processing terminals, software, telephone systems, computer equipment, automobile, website and leasehold improvements, are stated at cost less accumulated depreciation and amortization. Depreciation of fixed assets is provided on a straight-line basis using estimated useful lives of the related assets ranging from three to seven years. Amortization of leasehold improvements is provided on a straight-line basis using the lesser of the useful life of the asset, which is generally three to five years, or lease term.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Participants</w:t>
      </w:r>
    </w:p>
    <w:p>
      <w:pPr>
        <w:spacing w:after="0" w:line="18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Due to participants represents amounts due to third party investors in the SBA guaranteed portion of SBA 7(a) and PPP loans. When the Company receives principal payments, including PPP loan forgiveness, after the loan has been either partially or fully sold to the participant, the remittances received by the Company are either owed in part or in full to the participant and amounts are recorded as a liability on the consolidated statements of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Shareholders</w:t>
      </w:r>
    </w:p>
    <w:p>
      <w:pPr>
        <w:spacing w:after="0" w:line="19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Dividends and distributions to the Company's stockholders are recorded on the declaration date. The timing and amount to be paid out as a dividend or distribution is determined by the Company's Board each quarter.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Interest Income Recognition and Changes in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18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loan fees and costs: </w:t>
      </w:r>
      <w:r>
        <w:rPr>
          <w:rFonts w:ascii="Times New Roman" w:cs="Times New Roman" w:eastAsia="Times New Roman" w:hAnsi="Times New Roman"/>
          <w:sz w:val="14"/>
          <w:szCs w:val="14"/>
          <w:color w:val="auto"/>
        </w:rPr>
        <w:t>Interest on loans is generally recognized on a daily accrual basis at the applicable interest rate. Interest is not accrued on loans that are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6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 The Company values performing accrual loans on a pool basis. Loans that have experienced credit deterioration are valued individually based on resolution plans developed by the Company based on timing and amount of expected future cash flows from all sources of repayment, including both cash flows of the borrower as a going concern as well as the liquidation of collateral and pursuit of personal guarantees.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LCM: </w:t>
      </w:r>
      <w:r>
        <w:rPr>
          <w:rFonts w:ascii="Times New Roman" w:cs="Times New Roman" w:eastAsia="Times New Roman" w:hAnsi="Times New Roman"/>
          <w:sz w:val="14"/>
          <w:szCs w:val="14"/>
          <w:color w:val="auto"/>
        </w:rPr>
        <w:t>Net unrealized losses, if any, on loans without a FV election, are recognized through a valuation allowance and recorded as a charge to Other noninterest income. The cost basis of loans HFS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unamortized loan origination fees and costs. The pro-rata portion, based on the percent of the total loan sold, of the remaining deferred fees and costs are recognized as an adjustment to the gain on sale. Not electing FV generally results in a larger discount being recorded on the origination date. This discount will subsequently be accreted into interest income over the underlying loan’s remaining term using the effective interest method. Management made this change of election in alignment with its ongoing effort to reduce volatility and drive more predictable revenue.</w:t>
      </w:r>
    </w:p>
    <w:p>
      <w:pPr>
        <w:spacing w:after="0" w:line="16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If the transfer is accounted for as a sale, the loans are derecognized from the Company’s consolidated balance sheet and a gain or loss is recognized in net gains on sales of loans line item on the consolidated statements of income. The gain on sale recognized in income is the sum of the premium on the guaranteed loan and the FV of the servicing assets recognized, less the discount recorded on the unguaranteed portion of the loan retained. If the transfer does not satisfy the aforementioned control criteria, the transaction is recorded as a secured borrowing with the transferred loans remaining on the Company’s consolidated balance sheet and proceeds recognized as a liability.</w:t>
      </w:r>
    </w:p>
    <w:p>
      <w:pPr>
        <w:spacing w:after="0" w:line="1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Dividend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income is recognized on an accrual basis for equity securities to the extent that such amounts are expected to be collected or realized. In determining the amount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income to recognize, if any, from cash distributions on equity securities, we assess many factors, including the joint ventures’ and non-controlled equity investments’ cumulative undistributed income and operating cash flow. Cash distributions from equity securities received in excess of such undistributed amounts are recorded first as a reduction of our investment and then as a realized gain on investment.</w:t>
      </w:r>
    </w:p>
    <w:p>
      <w:pPr>
        <w:spacing w:after="0" w:line="15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u w:val="single" w:color="auto"/>
          <w:color w:val="auto"/>
        </w:rPr>
        <w:t>Servicing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earns servicing income related to the guaranteed portions of SBA 7(a) and ALP loan investments sold into the secondary market. These recurring servicing fees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earned and recorded daily. Servicing income is earned for the full term of the loan or until the loan is repaid.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Technology and IT support income</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Our technology segment sells a range of services and goods, including managed IT services, product and procurement services, professional services, webhosting, secure private cloud hosting, and backup disaster recovery. Our technology segment sells hardware and software products on both a stand-alone basis without any services and as solutions bundled with services. When our technology segment provides a combination of hardware and software products with the provision of services, it separately identifies its performance obligations under its contract with the customer as the distinct goods (hardware and/or software products) or services that will be provided. The total transaction price for an arrangement with multiple performance obligations is allocated at contract inception to each distinct performance obligation in proportion to its stand-alone selling price. The stand-alone selling price is the price at which it would sell a promised good or service separately to a customer. Our technology segment estimates the price based on observable inputs, including direct labor hours and allocatable costs, or uses observable stand-alone prices when they are available. Our technology segment’s professional services include the design and implementation of a wide range of IT products and services. Such services are typically provided by us or third-party sub-contractor vendors on a stand-alone basis.</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a contract with a customer. Our technology segment recognizes revenue when it satisfies a performance obligation by transferring control of a product or service or by arranging for the sale of a vendor’s products or service to a customer. Our technology segment recognizes revenue from sale of services as its technology segment performs the underlying services, typically based on time and materials basis based upon hours incurred for the performance completed to date for which we have the right to consideration. Our technology segment recognizes revenue on sales of goods at a point in time when customer takes control of goods, which typically occurs when title and risk of loss have passed to the customer. Our technology segment recognizes revenue on a gross basis for each of its services and product offerings principally because it is primarily responsible for fulfilling the promise to provide specified goods or service and it has discretion in establishing the price of specified good or service.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90" w:lineRule="auto"/>
        <w:rPr>
          <w:sz w:val="20"/>
          <w:szCs w:val="20"/>
          <w:color w:val="auto"/>
        </w:rPr>
      </w:pPr>
      <w:r>
        <w:rPr>
          <w:rFonts w:ascii="Times New Roman" w:cs="Times New Roman" w:eastAsia="Times New Roman" w:hAnsi="Times New Roman"/>
          <w:sz w:val="14"/>
          <w:szCs w:val="14"/>
          <w:i w:val="1"/>
          <w:iCs w:val="1"/>
          <w:u w:val="single" w:color="auto"/>
          <w:color w:val="auto"/>
        </w:rPr>
        <w:t>Electronic payment processing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Revenues are recognized when control of the promised goods or services is transferred to the Company's customers, in an amount that reflects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the Company expects to be entitled to in exchange for those goods or services. To achieve this core principle, the Company applies the following five steps:</w:t>
      </w:r>
    </w:p>
    <w:p>
      <w:pPr>
        <w:spacing w:after="0" w:line="143" w:lineRule="exact"/>
        <w:rPr>
          <w:sz w:val="20"/>
          <w:szCs w:val="20"/>
          <w:color w:val="auto"/>
        </w:rPr>
      </w:pPr>
    </w:p>
    <w:p>
      <w:pPr>
        <w:ind w:left="660" w:hanging="146"/>
        <w:spacing w:after="0"/>
        <w:tabs>
          <w:tab w:leader="none" w:pos="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23"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Company satisfies a performance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recognized net of taxes collected from customers, which are subsequently remitted to governmental authorities.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NMS’s revenue is primarily derived from electronic payment processing and related fee income.</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Electronic payment processing and fee income is derived from NMS’s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gross of amounts paid to sponsor banks.</w:t>
      </w:r>
    </w:p>
    <w:p>
      <w:pPr>
        <w:spacing w:after="0" w:line="16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ASU 2014-09, "Revenues from Contracts with Customers (“Topic 606”)" (“ASC 606”) requires that the Company determine for each customer arrangement whether revenue should be recognized at a point in time or over time. For the quarter ended December 31, 2023, substantially all of the Company’s revenues were recognized at a point in time.</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Receivable fees; </w:t>
      </w:r>
      <w:r>
        <w:rPr>
          <w:rFonts w:ascii="Times New Roman" w:cs="Times New Roman" w:eastAsia="Times New Roman" w:hAnsi="Times New Roman"/>
          <w:sz w:val="14"/>
          <w:szCs w:val="14"/>
          <w:color w:val="auto"/>
        </w:rPr>
        <w:t>Receivable fees are derived from the funding (purchase) of receivables from the Company’s finance clients. The Company recognizes revenue on the date receivables are purchased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spacing w:after="0" w:line="155"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Realized gains or losses on joint ventures: </w:t>
      </w:r>
      <w:r>
        <w:rPr>
          <w:rFonts w:ascii="Times New Roman" w:cs="Times New Roman" w:eastAsia="Times New Roman" w:hAnsi="Times New Roman"/>
          <w:sz w:val="14"/>
          <w:szCs w:val="14"/>
          <w:color w:val="auto"/>
        </w:rPr>
        <w:t>Realized gains or losses on joint ventures are measured by the difference between the net proceeds from the disposition and the cost basis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regard to unrealized gains or losses previously recognized. The Company reports current period changes in the fair value of joint venture investments as a component of the net change in unrealized appreciation (depreciation) on joint ventures in the consolidated statements of operations</w:t>
      </w:r>
    </w:p>
    <w:p>
      <w:pPr>
        <w:spacing w:after="0" w:line="155"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The Company earns a variety of fees from borrowers in the ordinary course of conducting its business, including packaging, legal, late payment and prepayment fees. All other income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recorded when earned. Other income is generally non-recurring in nature and earned as “one time” fees in connection with the origination of new loans with non-affiliates.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Electronic payment processing costs consist principally of costs directly related to the processing of merchant sales volume, bank processing fees and costs paid to third-party processing networks.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costs are recognized at the time the merchant transactions are processed or when the services are performed.</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w:t>
      </w:r>
    </w:p>
    <w:p>
      <w:pPr>
        <w:spacing w:after="0" w:line="15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Such residual expenses are recognized in the Company’s consolidated statements of income. During the quarter ended December 31, 2023, the Company partnered with two sponsor banks for substantially all merchant transactions. Substantially all merchant transactions were processed by one merchant processor.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Services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of services and goods sold include product costs, outbound and inbound freight costs, and direct time and materials in delivering service and goods to customers.</w:t>
      </w:r>
    </w:p>
    <w:p>
      <w:pPr>
        <w:spacing w:after="0" w:line="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Selling and administrative expenses include salaries and wages for staff who are not directly associated with delivering services, bonuses and incentives, employee-related expenses, facility-related expenses, marketing and advertising expense, depreciation of property and equipment, professional fees, amortization of intangible assets, provisions for losses on accounts receivable and other operating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 Based Compensation</w:t>
      </w:r>
    </w:p>
    <w:p>
      <w:pPr>
        <w:spacing w:after="0" w:line="20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its equity-based compensation plans using the fair value method, as prescribed by ASC Topic 718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 on a straight line basis. Forfeitures are recognized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 of financial condition were a deferred tax asset, net of $5.2 million at December 31, 2023 and a deferred tax liability, net of $19.2 million at December 31, 2022, respectively.</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2020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Formerly, as a RIC ending with the Company’s December 31, 2022 fiscal year end, the Company was not subject to corporate level income tax. Beginning on January 1, 2023 with the start of the 2023 fiscal year, the Company no longer qualifies as a RIC and will be subject to corporate level income tax. See NOTE 21—INCOME TAXES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four reportable operating segments: Banking, Non-Bank SBA 7(a) Lending, Technology, and Payments as discussed more fully in NOTE 22—SEGMENTS. In determining the appropriateness of a segment definition, the Company considers the criteria of FASB ASC 280, Segment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Company operations. Acquisition-related costs are expensed in the period incurred and presented within the applicable non-interest expense category. Additional information regarding the Company’s acquisitions can be found within NOTE 3—BUSINESS COMBINATION.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w:t>
      </w:r>
    </w:p>
    <w:p>
      <w:pPr>
        <w:spacing w:after="0" w:line="19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in 2023, the Company applies accounting standards applicable to our current status as a financial holding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Expected Credit Losses (Topic 326)</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Troubled Debt Restructurings and Vintage Disclosures (ASU 2022-02)</w:t>
      </w:r>
    </w:p>
    <w:p>
      <w:pPr>
        <w:spacing w:after="0" w:line="2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In March 2022, the FASB issued ASU 2022-02, Financial Instruments—Credit Losses (Topic 326): Troubled Debt Restructurings and Vintage Disclosures. The purpose of this guidance is twofold. First, the guidance eliminates TDR recognition and measurement guidance that has been deemed no longer necessary under CECL. The guidance also adds a requirement to incorporate current year gross charge-offs by origination year into the vintage tables. With respect to the TDR impacts, under CECL, credit losses for financial assets measured at amortized cost are determined based on the total current expected credit losses over the life of the financial asset or group of financial assets. Due to the Acquisition, any aspects of credit deterioration to include modifications to loans for borrowers experiencing financial difficulty were captured in purchase accounting and the allowance as of the Acquisition date. Therefore, credit losses on financial assets that have been modified as TDRs would have largely been incorporated in the allowance upon initial recognition. Under ASU 2022-02, the Company will evaluate whether loan modifications previously characterized as TDRs represent a new loan or a continuation of an existing loan in accordance with ASC Topic 310, Receivables. The guidance also added new disclosures that require an entity to provide information related to loan modifications that are made to borrowers that are deemed to be in financial difficulty. Following the Acquisition on January 6, 2023, the Company owns and consolidates Newtek Bank, which adopted the ASU on January 1, 2023, on a prospective basis. The impact of these amendments was not 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June 2022, the FASB issued ASU No. 2022-03, “Fair Value Measurement (Topic 820),” which clarifies the guidance 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does not expect any material impact from adopting ASU No. 2022-03 on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Reportable Segment Disclosures (ASU 2023-07)</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purpose of this guidance is to improve reportable segment disclosure, primarily through enhanced disclosures about significant segment expenses. This ASU requires that an entity disclose, on an interim and annual basis, significant segment expenses that are regularly provided to the CODM and are included within the reported measure of segment profit or loss. This ASU also requires an entity to disclose, on an interim and annual basis, other segment items by reportable segment, including a qualitative description of the composition of those items. This “other” category is defined as the difference between segment profit or loss and segment revenue less significant segment expenses. Entities are also required to disclose the title and position of the individual, or the name of the group or committee, identified as the CODM. The amendments are effective on January 1, 2024, for annual reporting, and January 1, 2025, for interim reporting, with early adoption permitted. The amendments must be applied using a retrospective approach. Management does not expect the impact of these amendments to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Income Tax Disclosures (ASU 2023-09)</w:t>
      </w:r>
    </w:p>
    <w:p>
      <w:pPr>
        <w:spacing w:after="0" w:line="2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are effective on January 1, 2025, with early adoption permitted. The amendments must be applied using either a prospective or retrospective approach. Management does not expect the impact of these amendments to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Combinations—Joint Venture Formations (ASU 2023-05)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August 2023, the FASB issued ASU 2023-05, Business Combinations – Joint Venture Formations (Subtopic 805-60).</w:t>
      </w:r>
    </w:p>
    <w:p>
      <w:pPr>
        <w:ind w:right="40"/>
        <w:spacing w:after="0" w:line="239" w:lineRule="auto"/>
        <w:rPr>
          <w:sz w:val="20"/>
          <w:szCs w:val="20"/>
          <w:color w:val="auto"/>
        </w:rPr>
      </w:pPr>
      <w:r>
        <w:rPr>
          <w:rFonts w:ascii="Times New Roman" w:cs="Times New Roman" w:eastAsia="Times New Roman" w:hAnsi="Times New Roman"/>
          <w:sz w:val="14"/>
          <w:szCs w:val="14"/>
          <w:color w:val="auto"/>
        </w:rPr>
        <w:t>The 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The amendments in this Update are effective prospectively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Management does not expect the impact of these amendments to be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NOTE 3—BUSINESS COMBINATION: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NBNYC</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 $1.3 million. NBNYC has been renamed Newtek Bank and has become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NBNYC transaction is accounted for in accordance with ASC 805, Business Combinations, and the Company has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spacing w:after="0" w:line="165"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4"/>
          <w:szCs w:val="14"/>
          <w:color w:val="auto"/>
        </w:rPr>
        <w:t>The purchase price, including costs incurred by the Company on behalf of the seller directly associated with the Acquisition, was preliminarily allocated to net assets acquired. Final allocation has been obtained and the purchase allocations finalized at December 31, 2023. The following table summarizes the allocation of consideration paid for the fair value of assets acquired and liabilities assumed from NBNYC:</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7"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final allocation of consideration paid for the fair value of assets acquired and liabilities assumed from NBNYC as of January 6,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consideration</w:t>
            </w: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21,281</w:t>
            </w:r>
          </w:p>
        </w:tc>
      </w:tr>
      <w:tr>
        <w:trPr>
          <w:trHeight w:val="212"/>
        </w:trPr>
        <w:tc>
          <w:tcPr>
            <w:tcW w:w="7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29,138</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6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7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2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32,422</w:t>
            </w:r>
          </w:p>
        </w:tc>
      </w:tr>
      <w:tr>
        <w:trPr>
          <w:trHeight w:val="212"/>
        </w:trPr>
        <w:tc>
          <w:tcPr>
            <w:tcW w:w="7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159,155</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 Bank stock, at cost</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stock, at cost</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Core deposit intangible</w:t>
            </w: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7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201,889</w:t>
            </w:r>
          </w:p>
        </w:tc>
      </w:tr>
      <w:tr>
        <w:trPr>
          <w:trHeight w:val="212"/>
        </w:trPr>
        <w:tc>
          <w:tcPr>
            <w:tcW w:w="7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liabilities assumed:</w:t>
            </w:r>
          </w:p>
        </w:tc>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 and Money Market</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10,975</w:t>
            </w:r>
          </w:p>
        </w:tc>
      </w:tr>
      <w:tr>
        <w:trPr>
          <w:trHeight w:val="18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1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104,162</w:t>
            </w:r>
          </w:p>
        </w:tc>
      </w:tr>
      <w:tr>
        <w:trPr>
          <w:trHeight w:val="17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62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137,015</w:t>
            </w:r>
          </w:p>
        </w:tc>
      </w:tr>
      <w:tr>
        <w:trPr>
          <w:trHeight w:val="212"/>
        </w:trPr>
        <w:tc>
          <w:tcPr>
            <w:tcW w:w="7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Advances from the Federal Home Loan Bank</w:t>
            </w: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27,817</w:t>
            </w:r>
          </w:p>
        </w:tc>
      </w:tr>
      <w:tr>
        <w:trPr>
          <w:trHeight w:val="18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r>
      <w:tr>
        <w:trPr>
          <w:trHeight w:val="17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180,608</w:t>
            </w:r>
          </w:p>
        </w:tc>
      </w:tr>
    </w:tbl>
    <w:p>
      <w:pPr>
        <w:spacing w:after="0" w:line="240"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5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ASC 805 provides for a period of time during which the acquirer may adjust provisional amounts recognized at the acquisition date to their subsequently determined acquisition-date fair values, referred to as the “measurement period.” Adjustments during the measurement period are not limited to just those relating to assets acquired and liabilities assumed but apply to all aspects of business combination accounting (e.g., the consideration transferred). Measurement-period adjustments are calculated as if they were known at the acquisition date, but are recognized in the reporting period in which they are determined. Prior period information is not revised, including the effect on earnings of any amounts they would have recorded in previous periods if the accounting had been completed at the acquisition date. In accordance with ASC 805, the Company recorded a measurement period adjustment and decreased goodwill by $1.0 million related to the finalization of the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Information regarding the allocation of goodwill to the Company’s reportable segments, as well as the carrying amounts and amortization of the core deposit intangible, can be found within NOTE 22 —SEGMENTS and NOTE 8—GOODWILL AND INTANGIBLE ASSETS, respectively. None of the goodwill is tax deductible. Described below are the methods used to determine the fair values of the significant assets acquired and liabilities assumed in the NBNYC Acquisition.</w:t>
      </w:r>
    </w:p>
    <w:p>
      <w:pPr>
        <w:spacing w:after="0" w:line="15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estimated fair values of cash and cash equivalents approximate their stated face amounts, as these financial instruments are either due on demand or have short-term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maturities.</w:t>
      </w:r>
    </w:p>
    <w:p>
      <w:pPr>
        <w:spacing w:after="0" w:line="15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securities available-for-sale</w:t>
      </w:r>
      <w:r>
        <w:rPr>
          <w:rFonts w:ascii="Times New Roman" w:cs="Times New Roman" w:eastAsia="Times New Roman" w:hAnsi="Times New Roman"/>
          <w:sz w:val="14"/>
          <w:szCs w:val="14"/>
          <w:color w:val="auto"/>
        </w:rPr>
        <w:t>. Quoted market prices for the securities acquired were used to determine their fair values. If quoted market prices were not available for a specific security,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then quoted prices for similar securities in active markets were used to estimate the fair value.</w:t>
      </w:r>
    </w:p>
    <w:p>
      <w:pPr>
        <w:spacing w:after="0" w:line="1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Each loan was assessed individually. The fair values for loans were estimated using a discounted cash flow methodology that considered factors including the type of loan and the related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Deposit Liabilities. </w:t>
      </w:r>
      <w:r>
        <w:rPr>
          <w:rFonts w:ascii="Times New Roman" w:cs="Times New Roman" w:eastAsia="Times New Roman" w:hAnsi="Times New Roman"/>
          <w:sz w:val="14"/>
          <w:szCs w:val="14"/>
          <w:color w:val="auto"/>
        </w:rPr>
        <w:t>The fair values used for the demand and savings deposits by definition equal the amount payable on demand at the Acquisition date. The fair values for time deposits were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estimated using a discounted cash flow methodology that applies interest rates currently being offered to the contractual interest rates on such time deposits.</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Borrowings</w:t>
      </w:r>
      <w:r>
        <w:rPr>
          <w:rFonts w:ascii="Times New Roman" w:cs="Times New Roman" w:eastAsia="Times New Roman" w:hAnsi="Times New Roman"/>
          <w:sz w:val="14"/>
          <w:szCs w:val="14"/>
          <w:color w:val="auto"/>
        </w:rPr>
        <w:t>. The estimated fair value of borrowed funds is based on bid quotations received from securities dealers or the discounted value of contractual cash flows with interest rates currently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effect for borrowed funds with similar maturities.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PCD loans.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Purchased loans that reflect a more-than-insignificant deterioration of credit from origination are considered PCD. For PCD loans and leases, the initial estimate of expected credit losses 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 value (unpaid principal balance)</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42,443</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at acquisition</w:t>
            </w:r>
          </w:p>
        </w:tc>
        <w:tc>
          <w:tcPr>
            <w:tcW w:w="16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Non-credit (discount)</w:t>
            </w:r>
          </w:p>
        </w:tc>
        <w:tc>
          <w:tcPr>
            <w:tcW w:w="16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40,014</w:t>
            </w:r>
          </w:p>
        </w:tc>
      </w:tr>
      <w:tr>
        <w:trPr>
          <w:trHeight w:val="20"/>
        </w:trPr>
        <w:tc>
          <w:tcPr>
            <w:tcW w:w="7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transaction costs related to the NBNYC Acquisition during the years ended December 31, 2023, 2022 and 2021 of $0.2 million, $2.3 million and $1.3 million, respectively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costs have been included in the Consolidated Statement of Operations in Professional Services Expense.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8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Non-controlled investments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23,022</w:t>
            </w:r>
          </w:p>
        </w:tc>
      </w:tr>
      <w:tr>
        <w:trPr>
          <w:trHeight w:val="212"/>
        </w:trPr>
        <w:tc>
          <w:tcPr>
            <w:tcW w:w="5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Controlled investments: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241,113</w:t>
            </w:r>
          </w:p>
        </w:tc>
      </w:tr>
      <w:tr>
        <w:trPr>
          <w:trHeight w:val="180"/>
        </w:trPr>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w:t>
            </w:r>
          </w:p>
        </w:tc>
        <w:tc>
          <w:tcPr>
            <w:tcW w:w="8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18,104</w:t>
            </w:r>
          </w:p>
        </w:tc>
      </w:tr>
      <w:tr>
        <w:trPr>
          <w:trHeight w:val="196"/>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283,599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Non-Conforming Conventional Loan Program</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loans during 2020. On January 28, 2022, NCL JV closed a conventional commercial loan securitization with the sale of $56.3 million of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NCL JV:</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w:t>
            </w: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45"/>
        </w:trPr>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494949"/>
              </w:rPr>
              <w:t>(Unaudited)</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494949"/>
              </w:rPr>
              <w:t>(Unaudited)</w:t>
            </w:r>
          </w:p>
        </w:tc>
      </w:tr>
      <w:tr>
        <w:trPr>
          <w:trHeight w:val="18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9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loans, at fair value (amortized cost of $68,404 and $78,785, respectively)</w:t>
            </w:r>
          </w:p>
        </w:tc>
        <w:tc>
          <w:tcPr>
            <w:tcW w:w="2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78,595</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r>
      <w:tr>
        <w:trPr>
          <w:trHeight w:val="196"/>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75,607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83,555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9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49,273</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r>
      <w:tr>
        <w:trPr>
          <w:trHeight w:val="171"/>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7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39,710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50,382</w:t>
            </w:r>
          </w:p>
        </w:tc>
      </w:tr>
      <w:tr>
        <w:trPr>
          <w:trHeight w:val="182"/>
        </w:trPr>
        <w:tc>
          <w:tcPr>
            <w:tcW w:w="5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27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w:t>
            </w:r>
          </w:p>
        </w:tc>
      </w:tr>
      <w:tr>
        <w:trPr>
          <w:trHeight w:val="17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7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75,607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83,555</w:t>
            </w:r>
          </w:p>
        </w:tc>
      </w:tr>
      <w:tr>
        <w:trPr>
          <w:trHeight w:val="20"/>
        </w:trPr>
        <w:tc>
          <w:tcPr>
            <w:tcW w:w="5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52"/>
        </w:trPr>
        <w:tc>
          <w:tcPr>
            <w:tcW w:w="5260" w:type="dxa"/>
            <w:vAlign w:val="bottom"/>
          </w:tcPr>
          <w:p>
            <w:pPr>
              <w:spacing w:after="0"/>
              <w:rPr>
                <w:sz w:val="24"/>
                <w:szCs w:val="24"/>
                <w:color w:val="auto"/>
              </w:rPr>
            </w:pPr>
          </w:p>
        </w:tc>
        <w:tc>
          <w:tcPr>
            <w:tcW w:w="2920" w:type="dxa"/>
            <w:vAlign w:val="bottom"/>
            <w:gridSpan w:val="2"/>
          </w:tcPr>
          <w:p>
            <w:pPr>
              <w:jc w:val="right"/>
              <w:ind w:right="2329"/>
              <w:spacing w:after="0"/>
              <w:rPr>
                <w:sz w:val="20"/>
                <w:szCs w:val="20"/>
                <w:color w:val="auto"/>
              </w:rPr>
            </w:pPr>
            <w:r>
              <w:rPr>
                <w:rFonts w:ascii="Times New Roman" w:cs="Times New Roman" w:eastAsia="Times New Roman" w:hAnsi="Times New Roman"/>
                <w:sz w:val="14"/>
                <w:szCs w:val="14"/>
                <w:color w:val="auto"/>
              </w:rPr>
              <w:t>F-34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5"/>
        </w:trPr>
        <w:tc>
          <w:tcPr>
            <w:tcW w:w="63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5"/>
        </w:trPr>
        <w:tc>
          <w:tcPr>
            <w:tcW w:w="6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6,300</w:t>
            </w:r>
          </w:p>
        </w:tc>
      </w:tr>
      <w:tr>
        <w:trPr>
          <w:trHeight w:val="18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2,612</w:t>
            </w:r>
          </w:p>
        </w:tc>
      </w:tr>
      <w:tr>
        <w:trPr>
          <w:trHeight w:val="17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3,688</w:t>
            </w:r>
          </w:p>
        </w:tc>
      </w:tr>
      <w:tr>
        <w:trPr>
          <w:trHeight w:val="18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(depreciation) appreciation on investments</w:t>
            </w: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282</w:t>
            </w:r>
          </w:p>
        </w:tc>
      </w:tr>
      <w:tr>
        <w:trPr>
          <w:trHeight w:val="17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3,970</w:t>
            </w: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TSO JV began making investments in non-conforming conventional commercial and industrial term loans during the fourth quarter of 2022. NCL and TSO II each committed to contribute an equal share of equity funding to the TSO JV and each have equal voting rights on all material matters. TSO JV intends to deploy capital over the course of time with additional leverage supported by a warehouse line of credit. The intended purpose of TSO JV is to invest in non-conforming conventional commercial and industrial term loans made to middle-market companies as well as small businesses.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TSO JV:</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494949"/>
              </w:rPr>
              <w:t>(Unaudited)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494949"/>
              </w:rPr>
              <w:t>(Unaudited)</w:t>
            </w:r>
          </w:p>
        </w:tc>
        <w:tc>
          <w:tcPr>
            <w:tcW w:w="0" w:type="dxa"/>
            <w:vAlign w:val="bottom"/>
          </w:tcPr>
          <w:p>
            <w:pPr>
              <w:spacing w:after="0"/>
              <w:rPr>
                <w:sz w:val="1"/>
                <w:szCs w:val="1"/>
                <w:color w:val="auto"/>
              </w:rPr>
            </w:pPr>
          </w:p>
        </w:tc>
      </w:tr>
      <w:tr>
        <w:trPr>
          <w:trHeight w:val="186"/>
        </w:trPr>
        <w:tc>
          <w:tcPr>
            <w:tcW w:w="60" w:type="dxa"/>
            <w:vAlign w:val="bottom"/>
            <w:tcBorders>
              <w:right w:val="single" w:sz="8" w:color="CCEEFF"/>
            </w:tcBorders>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1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loans, at fair value (amortized cost of $62,695 and $21,038, respectively)</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CCEEFF"/>
            </w:tcBorders>
          </w:tcPr>
          <w:p>
            <w:pPr>
              <w:spacing w:after="0"/>
              <w:rPr>
                <w:sz w:val="16"/>
                <w:szCs w:val="16"/>
                <w:color w:val="auto"/>
              </w:rPr>
            </w:pPr>
          </w:p>
        </w:tc>
        <w:tc>
          <w:tcPr>
            <w:tcW w:w="6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73,647</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26,027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notes payable</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30,728</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13,156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73,647</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26,027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w:t>
            </w: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10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appreciation on investments</w:t>
            </w:r>
          </w:p>
        </w:tc>
        <w:tc>
          <w:tcPr>
            <w:tcW w:w="1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loss on investments</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Realized gain (loss) on derivative transactions</w:t>
            </w:r>
          </w:p>
        </w:tc>
        <w:tc>
          <w:tcPr>
            <w:tcW w:w="11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(loss) on derivative transactions</w:t>
            </w:r>
          </w:p>
        </w:tc>
        <w:tc>
          <w:tcPr>
            <w:tcW w:w="1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1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Affiliated Companies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An affiliated company is an unconsolidated entity in which the Company has an ownership of 5% or more of its voting securities. Transactions related to our joint ventures and non-controlled investments for the year ended December 31, 2023 were as follows: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Net Realized</w:t>
            </w: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Net Unrealized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Interest and</w:t>
            </w:r>
          </w:p>
        </w:tc>
        <w:tc>
          <w:tcPr>
            <w:tcW w:w="140" w:type="dxa"/>
            <w:vAlign w:val="bottom"/>
          </w:tcPr>
          <w:p>
            <w:pPr>
              <w:spacing w:after="0"/>
              <w:rPr>
                <w:sz w:val="11"/>
                <w:szCs w:val="11"/>
                <w:color w:val="auto"/>
              </w:rPr>
            </w:pP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Received</w:t>
            </w: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100" w:type="dxa"/>
            <w:vAlign w:val="bottom"/>
          </w:tcPr>
          <w:p>
            <w:pPr>
              <w:spacing w:after="0"/>
              <w:rPr>
                <w:sz w:val="13"/>
                <w:szCs w:val="13"/>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Other Income</w:t>
            </w:r>
          </w:p>
        </w:tc>
        <w:tc>
          <w:tcPr>
            <w:tcW w:w="140" w:type="dxa"/>
            <w:vAlign w:val="bottom"/>
          </w:tcPr>
          <w:p>
            <w:pPr>
              <w:spacing w:after="0"/>
              <w:rPr>
                <w:sz w:val="13"/>
                <w:szCs w:val="13"/>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6"/>
        </w:trPr>
        <w:tc>
          <w:tcPr>
            <w:tcW w:w="2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16,587</w:t>
            </w:r>
          </w:p>
        </w:tc>
        <w:tc>
          <w:tcPr>
            <w:tcW w:w="80" w:type="dxa"/>
            <w:vAlign w:val="bottom"/>
          </w:tcPr>
          <w:p>
            <w:pPr>
              <w:spacing w:after="0"/>
              <w:rPr>
                <w:sz w:val="14"/>
                <w:szCs w:val="14"/>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8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38"/>
        </w:trPr>
        <w:tc>
          <w:tcPr>
            <w:tcW w:w="29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Newtek TSO II Conventional Credit Partners,</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LP</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Joint Ventures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Non-Control Investments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8"/>
              </w:rPr>
              <w:t>(564)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Biller Genie Software, LLC</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Non-Control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8"/>
              </w:rPr>
              <w:t>(564)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2"/>
        </w:trPr>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8"/>
              </w:rPr>
              <w:t>(564)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available-for-sale securities by major type as of December 31, 2023: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 December 31 , 2023</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Amortized Cost</w:t>
            </w:r>
          </w:p>
        </w:tc>
        <w:tc>
          <w:tcPr>
            <w:tcW w:w="2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Unrealized Gains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Unrealized Losses</w:t>
            </w: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29,305</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2,866</w:t>
            </w:r>
          </w:p>
        </w:tc>
      </w:tr>
      <w:tr>
        <w:trPr>
          <w:trHeight w:val="19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There was $0.2 million accrued interest receivable on available-for-sale securities at December 31, 2023, and is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no securities were sold or settled.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available-for-sale securities by length of time each major security type has been in a continuous unrealized loss position: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At December 31 , 2023</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71"/>
        </w:trPr>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color w:val="auto"/>
              </w:rPr>
              <w:t>12 Months or More</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Number of Holdings</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available-for-sale securities by contractual maturity: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At December 31 , 2023</w:t>
            </w:r>
          </w:p>
        </w:tc>
        <w:tc>
          <w:tcPr>
            <w:tcW w:w="200" w:type="dxa"/>
            <w:vAlign w:val="bottom"/>
          </w:tcPr>
          <w:p>
            <w:pPr>
              <w:spacing w:after="0"/>
              <w:rPr>
                <w:sz w:val="16"/>
                <w:szCs w:val="16"/>
                <w:color w:val="auto"/>
              </w:rPr>
            </w:pPr>
          </w:p>
        </w:tc>
        <w:tc>
          <w:tcPr>
            <w:tcW w:w="294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At December 31, 2022</w:t>
            </w:r>
          </w:p>
        </w:tc>
      </w:tr>
      <w:tr>
        <w:trPr>
          <w:trHeight w:val="171"/>
        </w:trPr>
        <w:tc>
          <w:tcPr>
            <w:tcW w:w="49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available-for-sale securities pledged for deposits, borrowings, and other purposes: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At December 31 , 2023</w:t>
            </w:r>
          </w:p>
        </w:tc>
        <w:tc>
          <w:tcPr>
            <w:tcW w:w="280" w:type="dxa"/>
            <w:vAlign w:val="bottom"/>
          </w:tcPr>
          <w:p>
            <w:pPr>
              <w:spacing w:after="0"/>
              <w:rPr>
                <w:sz w:val="16"/>
                <w:szCs w:val="16"/>
                <w:color w:val="auto"/>
              </w:rPr>
            </w:pPr>
          </w:p>
        </w:tc>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r>
      <w:tr>
        <w:trPr>
          <w:trHeight w:val="171"/>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 pledged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Loans held for investment included SBA 7(a) loans originated by NSBF and Newtek Bank, as well as CRE and C&amp;I loans originated by Newtek Bank. The following tables shows the Company’s loan portfolio by industry for loans held for investment, at fair value and loans held for investment, at amortized cost:</w:t>
      </w:r>
    </w:p>
    <w:p>
      <w:pPr>
        <w:spacing w:after="0" w:line="17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3"/>
          <w:szCs w:val="13"/>
          <w:b w:val="1"/>
          <w:bCs w:val="1"/>
          <w:color w:val="auto"/>
        </w:rPr>
        <w:t>Loans Held for Investment,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57"/>
        </w:trPr>
        <w:tc>
          <w:tcPr>
            <w:tcW w:w="488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Services and Drinking Places</w:t>
            </w:r>
          </w:p>
        </w:tc>
        <w:tc>
          <w:tcPr>
            <w:tcW w:w="17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43,779</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47,012</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Trade Contractors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Scientific, and Technical Services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Ambulatory Health Care Services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Wholesalers, Durable Goods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and Support Services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Amusement, Gambling, and Recreation Industries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Repair and Maintenance</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Wholesalers, Nondurable Goods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Truck Transportation</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Personal and Laundry Services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Fabricated Metal Product Manufacturing</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Manufacturing</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of Buildings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Accommodation</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Motor Vehicle and Parts Dealers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Social Assistance</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Support Activities for Mining</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 Equipment Manufacturing</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 Material and Garden Equipment and Supplies Dealers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Stores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Rental and Leasing Services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Nursing and Residential Care Facilities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Educational Services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102,037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96,161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482,563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532,793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5"/>
          </w:tcPr>
          <w:p>
            <w:pPr>
              <w:spacing w:after="0"/>
              <w:rPr>
                <w:sz w:val="24"/>
                <w:szCs w:val="24"/>
                <w:color w:val="auto"/>
              </w:rPr>
            </w:pPr>
          </w:p>
        </w:tc>
        <w:tc>
          <w:tcPr>
            <w:tcW w:w="100" w:type="dxa"/>
            <w:vAlign w:val="bottom"/>
            <w:gridSpan w:val="2"/>
          </w:tcPr>
          <w:p>
            <w:pPr>
              <w:spacing w:after="0"/>
              <w:rPr>
                <w:sz w:val="24"/>
                <w:szCs w:val="24"/>
                <w:color w:val="auto"/>
              </w:rPr>
            </w:pPr>
          </w:p>
        </w:tc>
        <w:tc>
          <w:tcPr>
            <w:tcW w:w="12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gridSpan w:val="11"/>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7"/>
              </w:rPr>
              <w:t>Loans Held for Investment, at Amortized Cost</w:t>
            </w: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Business Administration</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60" w:type="dxa"/>
            <w:vAlign w:val="bottom"/>
            <w:gridSpan w:val="2"/>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rPr>
              <w:t>F-38</w:t>
            </w: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9"/>
        </w:trPr>
        <w:tc>
          <w:tcPr>
            <w:tcW w:w="488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Past Due and Non-Accrual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by class:</w:t>
      </w:r>
    </w:p>
    <w:p>
      <w:pPr>
        <w:spacing w:after="0" w:line="1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30-59 Days Past</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60-89 Days Past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90 or more Days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Total past Due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Total Loans Accounted</w:t>
            </w:r>
          </w:p>
        </w:tc>
        <w:tc>
          <w:tcPr>
            <w:tcW w:w="80" w:type="dxa"/>
            <w:vAlign w:val="bottom"/>
          </w:tcPr>
          <w:p>
            <w:pPr>
              <w:spacing w:after="0"/>
              <w:rPr>
                <w:sz w:val="11"/>
                <w:szCs w:val="11"/>
                <w:color w:val="auto"/>
              </w:rPr>
            </w:pPr>
          </w:p>
        </w:tc>
        <w:tc>
          <w:tcPr>
            <w:tcW w:w="94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Total Loans Held</w:t>
            </w:r>
          </w:p>
        </w:tc>
        <w:tc>
          <w:tcPr>
            <w:tcW w:w="0" w:type="dxa"/>
            <w:vAlign w:val="bottom"/>
          </w:tcPr>
          <w:p>
            <w:pPr>
              <w:spacing w:after="0"/>
              <w:rPr>
                <w:sz w:val="1"/>
                <w:szCs w:val="1"/>
                <w:color w:val="auto"/>
              </w:rPr>
            </w:pPr>
          </w:p>
        </w:tc>
      </w:tr>
      <w:tr>
        <w:trPr>
          <w:trHeight w:val="116"/>
        </w:trPr>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4"/>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Due and</w:t>
            </w:r>
          </w:p>
        </w:tc>
        <w:tc>
          <w:tcPr>
            <w:tcW w:w="180" w:type="dxa"/>
            <w:vAlign w:val="bottom"/>
          </w:tcPr>
          <w:p>
            <w:pPr>
              <w:spacing w:after="0"/>
              <w:rPr>
                <w:sz w:val="10"/>
                <w:szCs w:val="10"/>
                <w:color w:val="auto"/>
              </w:rPr>
            </w:pPr>
          </w:p>
        </w:tc>
        <w:tc>
          <w:tcPr>
            <w:tcW w:w="800" w:type="dxa"/>
            <w:vAlign w:val="bottom"/>
            <w:gridSpan w:val="4"/>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Due and</w:t>
            </w:r>
          </w:p>
        </w:tc>
        <w:tc>
          <w:tcPr>
            <w:tcW w:w="160" w:type="dxa"/>
            <w:vAlign w:val="bottom"/>
          </w:tcPr>
          <w:p>
            <w:pPr>
              <w:spacing w:after="0"/>
              <w:rPr>
                <w:sz w:val="10"/>
                <w:szCs w:val="10"/>
                <w:color w:val="auto"/>
              </w:rPr>
            </w:pPr>
          </w:p>
        </w:tc>
        <w:tc>
          <w:tcPr>
            <w:tcW w:w="880" w:type="dxa"/>
            <w:vAlign w:val="bottom"/>
            <w:gridSpan w:val="4"/>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and Non-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for Under the Fair</w:t>
            </w: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180" w:type="dxa"/>
            <w:vAlign w:val="bottom"/>
          </w:tcPr>
          <w:p>
            <w:pPr>
              <w:spacing w:after="0"/>
              <w:rPr>
                <w:sz w:val="13"/>
                <w:szCs w:val="13"/>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160" w:type="dxa"/>
            <w:vAlign w:val="bottom"/>
          </w:tcPr>
          <w:p>
            <w:pPr>
              <w:spacing w:after="0"/>
              <w:rPr>
                <w:sz w:val="13"/>
                <w:szCs w:val="13"/>
                <w:color w:val="auto"/>
              </w:rPr>
            </w:pPr>
          </w:p>
        </w:tc>
        <w:tc>
          <w:tcPr>
            <w:tcW w:w="880" w:type="dxa"/>
            <w:vAlign w:val="bottom"/>
            <w:gridSpan w:val="4"/>
          </w:tcPr>
          <w:p>
            <w:pPr>
              <w:jc w:val="center"/>
              <w:ind w:right="240"/>
              <w:spacing w:after="0" w:line="159" w:lineRule="exact"/>
              <w:rPr>
                <w:sz w:val="20"/>
                <w:szCs w:val="20"/>
                <w:color w:val="auto"/>
              </w:rPr>
            </w:pPr>
            <w:r>
              <w:rPr>
                <w:rFonts w:ascii="Times New Roman" w:cs="Times New Roman" w:eastAsia="Times New Roman" w:hAnsi="Times New Roman"/>
                <w:sz w:val="11"/>
                <w:szCs w:val="11"/>
                <w:b w:val="1"/>
                <w:bCs w:val="1"/>
                <w:color w:val="auto"/>
                <w:w w:val="95"/>
              </w:rPr>
              <w:t>Accruing</w:t>
            </w:r>
            <w:r>
              <w:rPr>
                <w:rFonts w:ascii="Times New Roman" w:cs="Times New Roman" w:eastAsia="Times New Roman" w:hAnsi="Times New Roman"/>
                <w:sz w:val="14"/>
                <w:szCs w:val="14"/>
                <w:b w:val="1"/>
                <w:bCs w:val="1"/>
                <w:color w:val="auto"/>
                <w:w w:val="95"/>
                <w:vertAlign w:val="superscript"/>
              </w:rPr>
              <w:t>(1)</w:t>
            </w: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 Option</w:t>
            </w:r>
          </w:p>
        </w:tc>
        <w:tc>
          <w:tcPr>
            <w:tcW w:w="80" w:type="dxa"/>
            <w:vAlign w:val="bottom"/>
          </w:tcPr>
          <w:p>
            <w:pPr>
              <w:spacing w:after="0"/>
              <w:rPr>
                <w:sz w:val="13"/>
                <w:szCs w:val="13"/>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for Investment</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spacing w:after="0"/>
              <w:rPr>
                <w:sz w:val="13"/>
                <w:szCs w:val="13"/>
                <w:color w:val="auto"/>
              </w:rPr>
            </w:pPr>
          </w:p>
        </w:tc>
        <w:tc>
          <w:tcPr>
            <w:tcW w:w="90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1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7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159,218</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158,234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8,191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0" w:type="dxa"/>
            <w:vAlign w:val="bottom"/>
          </w:tcPr>
          <w:p>
            <w:pPr>
              <w:spacing w:after="0"/>
              <w:rPr>
                <w:sz w:val="1"/>
                <w:szCs w:val="1"/>
                <w:color w:val="auto"/>
              </w:rPr>
            </w:pPr>
          </w:p>
        </w:tc>
      </w:tr>
      <w:tr>
        <w:trPr>
          <w:trHeight w:val="156"/>
        </w:trPr>
        <w:tc>
          <w:tcPr>
            <w:tcW w:w="1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325,643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0" w:type="dxa"/>
            <w:vAlign w:val="bottom"/>
          </w:tcPr>
          <w:p>
            <w:pPr>
              <w:spacing w:after="0"/>
              <w:rPr>
                <w:sz w:val="1"/>
                <w:szCs w:val="1"/>
                <w:color w:val="auto"/>
              </w:rPr>
            </w:pPr>
          </w:p>
        </w:tc>
      </w:tr>
      <w:tr>
        <w:trPr>
          <w:trHeight w:val="103"/>
        </w:trPr>
        <w:tc>
          <w:tcPr>
            <w:tcW w:w="2380" w:type="dxa"/>
            <w:vAlign w:val="bottom"/>
            <w:tcBorders>
              <w:top w:val="single" w:sz="8" w:color="CCEEFF"/>
            </w:tcBorders>
            <w:gridSpan w:val="4"/>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at amortized cost net of deferred fees</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336,305</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336,305</w:t>
            </w: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costs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0" w:type="dxa"/>
            <w:vAlign w:val="bottom"/>
          </w:tcPr>
          <w:p>
            <w:pPr>
              <w:spacing w:after="0"/>
              <w:rPr>
                <w:sz w:val="1"/>
                <w:szCs w:val="1"/>
                <w:color w:val="auto"/>
              </w:rPr>
            </w:pPr>
          </w:p>
        </w:tc>
      </w:tr>
      <w:tr>
        <w:trPr>
          <w:trHeight w:val="156"/>
        </w:trPr>
        <w:tc>
          <w:tcPr>
            <w:tcW w:w="1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fair value</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spacing w:after="0"/>
              <w:rPr>
                <w:sz w:val="13"/>
                <w:szCs w:val="13"/>
                <w:color w:val="auto"/>
              </w:rPr>
            </w:pPr>
          </w:p>
        </w:tc>
        <w:tc>
          <w:tcPr>
            <w:tcW w:w="90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20,380</w:t>
            </w:r>
          </w:p>
        </w:tc>
        <w:tc>
          <w:tcPr>
            <w:tcW w:w="80" w:type="dxa"/>
            <w:vAlign w:val="bottom"/>
          </w:tcPr>
          <w:p>
            <w:pPr>
              <w:spacing w:after="0"/>
              <w:rPr>
                <w:sz w:val="13"/>
                <w:szCs w:val="13"/>
                <w:color w:val="auto"/>
              </w:rPr>
            </w:pPr>
          </w:p>
        </w:tc>
        <w:tc>
          <w:tcPr>
            <w:tcW w:w="1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16,075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7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9"/>
              </w:rPr>
              <w:t>48,174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84,629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385,172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0" w:type="dxa"/>
            <w:vAlign w:val="bottom"/>
          </w:tcPr>
          <w:p>
            <w:pPr>
              <w:spacing w:after="0"/>
              <w:rPr>
                <w:sz w:val="1"/>
                <w:szCs w:val="1"/>
                <w:color w:val="auto"/>
              </w:rPr>
            </w:pPr>
          </w:p>
        </w:tc>
      </w:tr>
      <w:tr>
        <w:trPr>
          <w:trHeight w:val="165"/>
        </w:trPr>
        <w:tc>
          <w:tcPr>
            <w:tcW w:w="148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loans held for investment</w:t>
            </w:r>
          </w:p>
        </w:tc>
        <w:tc>
          <w:tcPr>
            <w:tcW w:w="74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24,965</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16,386</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9"/>
              </w:rPr>
              <w:t>53,547</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94,898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710,815</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793,532</w:t>
            </w:r>
          </w:p>
        </w:tc>
        <w:tc>
          <w:tcPr>
            <w:tcW w:w="0" w:type="dxa"/>
            <w:vAlign w:val="bottom"/>
          </w:tcPr>
          <w:p>
            <w:pPr>
              <w:spacing w:after="0"/>
              <w:rPr>
                <w:sz w:val="1"/>
                <w:szCs w:val="1"/>
                <w:color w:val="auto"/>
              </w:rPr>
            </w:pPr>
          </w:p>
        </w:tc>
      </w:tr>
      <w:tr>
        <w:trPr>
          <w:trHeight w:val="20"/>
        </w:trPr>
        <w:tc>
          <w:tcPr>
            <w:tcW w:w="2220" w:type="dxa"/>
            <w:vAlign w:val="bottom"/>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Represents loans that are considered well secured and in the process of collection.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7"/>
            <w:vMerge w:val="restart"/>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90 or more Days</w:t>
            </w:r>
          </w:p>
        </w:tc>
        <w:tc>
          <w:tcPr>
            <w:tcW w:w="190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Loans Accounted for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30-59 Days Past Due</w:t>
            </w:r>
          </w:p>
        </w:tc>
        <w:tc>
          <w:tcPr>
            <w:tcW w:w="80" w:type="dxa"/>
            <w:vAlign w:val="bottom"/>
          </w:tcPr>
          <w:p>
            <w:pPr>
              <w:spacing w:after="0"/>
              <w:rPr>
                <w:sz w:val="9"/>
                <w:szCs w:val="9"/>
                <w:color w:val="auto"/>
              </w:rPr>
            </w:pPr>
          </w:p>
        </w:tc>
        <w:tc>
          <w:tcPr>
            <w:tcW w:w="1100" w:type="dxa"/>
            <w:vAlign w:val="bottom"/>
            <w:gridSpan w:val="6"/>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60-89 Days Past Due</w:t>
            </w:r>
          </w:p>
        </w:tc>
        <w:tc>
          <w:tcPr>
            <w:tcW w:w="1640" w:type="dxa"/>
            <w:vAlign w:val="bottom"/>
            <w:gridSpan w:val="7"/>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Total past Due and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vMerge w:val="continue"/>
          </w:tcPr>
          <w:p>
            <w:pPr>
              <w:spacing w:after="0"/>
              <w:rPr>
                <w:sz w:val="10"/>
                <w:szCs w:val="10"/>
                <w:color w:val="auto"/>
              </w:rPr>
            </w:pPr>
          </w:p>
        </w:tc>
        <w:tc>
          <w:tcPr>
            <w:tcW w:w="1640" w:type="dxa"/>
            <w:vAlign w:val="bottom"/>
            <w:gridSpan w:val="7"/>
          </w:tcPr>
          <w:p>
            <w:pPr>
              <w:jc w:val="center"/>
              <w:ind w:right="600"/>
              <w:spacing w:after="0" w:line="117"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Under the Fair Value</w:t>
            </w:r>
          </w:p>
        </w:tc>
        <w:tc>
          <w:tcPr>
            <w:tcW w:w="80" w:type="dxa"/>
            <w:vAlign w:val="bottom"/>
          </w:tcPr>
          <w:p>
            <w:pPr>
              <w:spacing w:after="0"/>
              <w:rPr>
                <w:sz w:val="10"/>
                <w:szCs w:val="10"/>
                <w:color w:val="auto"/>
              </w:rPr>
            </w:pPr>
          </w:p>
        </w:tc>
        <w:tc>
          <w:tcPr>
            <w:tcW w:w="94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0" w:type="dxa"/>
            <w:vAlign w:val="bottom"/>
          </w:tcPr>
          <w:p>
            <w:pPr>
              <w:spacing w:after="0"/>
              <w:rPr>
                <w:sz w:val="1"/>
                <w:szCs w:val="1"/>
                <w:color w:val="auto"/>
              </w:rPr>
            </w:pPr>
          </w:p>
        </w:tc>
      </w:tr>
      <w:tr>
        <w:trPr>
          <w:trHeight w:val="154"/>
        </w:trPr>
        <w:tc>
          <w:tcPr>
            <w:tcW w:w="1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and Accruing</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and Accruing</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18,681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shd w:val="clear" w:color="auto" w:fill="CCEEFF"/>
          </w:tcPr>
          <w:p>
            <w:pPr>
              <w:jc w:val="center"/>
              <w:ind w:left="322"/>
              <w:spacing w:after="0"/>
              <w:rPr>
                <w:sz w:val="20"/>
                <w:szCs w:val="20"/>
                <w:color w:val="auto"/>
              </w:rPr>
            </w:pPr>
            <w:r>
              <w:rPr>
                <w:rFonts w:ascii="Times New Roman" w:cs="Times New Roman" w:eastAsia="Times New Roman" w:hAnsi="Times New Roman"/>
                <w:sz w:val="14"/>
                <w:szCs w:val="14"/>
                <w:color w:val="auto"/>
                <w:w w:val="98"/>
              </w:rPr>
              <w:t>12,754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439,400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505,268</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Company identified five loans that did not share similar risk characteristics with the loan segments identified in NOTE 2—SIGNIFICANT ACCOUNTING POLICIES and evaluated them for impairment individually. The unpaid contractual principal balance and recorded investment for the loans individually assessed was $5.3 million with an allowance of $0.1 million as of the year ended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Newtek Bank uses internal loan reviews to assess the performance of individual loans. An independent review of the loan portfolio is performed annually by an external firm. The goal of Newtek Bank’s annual review of each borrower’s financial performance is to validate the adequacy of the risk grade assigned.</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Newtek Bank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spacing w:after="0" w:line="14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1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liquidation value to the net worth of the borrower or guarantor.</w:t>
      </w:r>
    </w:p>
    <w:p>
      <w:pPr>
        <w:spacing w:after="0" w:line="18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as of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 Held for Investment by Origination Year</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1"/>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8"/>
        </w:trPr>
        <w:tc>
          <w:tcPr>
            <w:tcW w:w="26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SBA 7(a) Unguaranteed, net of deferred</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9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fees and costs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212"/>
        </w:trPr>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415,012</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53,878</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161,046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29,149</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121,185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212"/>
        </w:trPr>
        <w:tc>
          <w:tcPr>
            <w:tcW w:w="2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6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155,040</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224"/>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&amp; Industrial</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189,270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177,594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805,713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9"/>
        </w:trPr>
        <w:tc>
          <w:tcPr>
            <w:tcW w:w="2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49"/>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shd w:val="clear" w:color="auto" w:fill="CCEEFF"/>
          </w:tcPr>
          <w:p>
            <w:pPr>
              <w:spacing w:after="0"/>
              <w:rPr>
                <w:sz w:val="16"/>
                <w:szCs w:val="16"/>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SBA</w:t>
            </w:r>
          </w:p>
        </w:tc>
        <w:tc>
          <w:tcPr>
            <w:tcW w:w="14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467,785</w:t>
            </w:r>
          </w:p>
        </w:tc>
      </w:tr>
      <w:tr>
        <w:trPr>
          <w:trHeight w:val="180"/>
        </w:trPr>
        <w:tc>
          <w:tcPr>
            <w:tcW w:w="2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37,371</w:t>
            </w:r>
          </w:p>
        </w:tc>
      </w:tr>
      <w:tr>
        <w:trPr>
          <w:trHeight w:val="180"/>
        </w:trPr>
        <w:tc>
          <w:tcPr>
            <w:tcW w:w="20" w:type="dxa"/>
            <w:vAlign w:val="bottom"/>
          </w:tcPr>
          <w:p>
            <w:pPr>
              <w:spacing w:after="0"/>
              <w:rPr>
                <w:sz w:val="15"/>
                <w:szCs w:val="15"/>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71"/>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172,646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69,746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34,711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74,963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62,148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91,054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505,268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year ended December 31, 2023:</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1"/>
        </w:trPr>
        <w:tc>
          <w:tcPr>
            <w:tcW w:w="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Small Business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80" w:type="dxa"/>
            <w:vAlign w:val="bottom"/>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Administration</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8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Adjustment to Beginning Balance due to PCD marks</w:t>
            </w:r>
            <w:r>
              <w:rPr>
                <w:rFonts w:ascii="Times New Roman" w:cs="Times New Roman" w:eastAsia="Times New Roman" w:hAnsi="Times New Roman"/>
                <w:sz w:val="18"/>
                <w:szCs w:val="18"/>
                <w:color w:val="auto"/>
                <w:vertAlign w:val="superscript"/>
              </w:rPr>
              <w:t>1</w:t>
            </w: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8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offs</w:t>
            </w:r>
          </w:p>
        </w:tc>
        <w:tc>
          <w:tcPr>
            <w:tcW w:w="6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Recoveries</w:t>
            </w:r>
          </w:p>
        </w:tc>
        <w:tc>
          <w:tcPr>
            <w:tcW w:w="6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w:t>
            </w: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r>
      <w:tr>
        <w:trPr>
          <w:trHeight w:val="171"/>
        </w:trPr>
        <w:tc>
          <w:tcPr>
            <w:tcW w:w="8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20"/>
        </w:trPr>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0" w:right="340" w:hanging="55"/>
        <w:spacing w:after="0" w:line="223" w:lineRule="auto"/>
        <w:tabs>
          <w:tab w:leader="none" w:pos="65"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Given the January 6, 2023 transition to a financial holding company, the Company established an ACL with the beginning balance representing the purchased credit deteriorated loans acquired through the NBNYC Acquisition. There were no charge-offs or recoveries on the loans held for investment, at amortized cost during the year ended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The Company did not make any loan modifications to borrowers experiencing financial difficulty that would require disclosure, such as principal forgiveness, term extension, or interest rate reductions during the year ended December 31, 2023. Additionally there were no troubled debt restructurings under legacy U.S. GAAP during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sale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13"/>
                <w:szCs w:val="13"/>
                <w:color w:val="auto"/>
              </w:rPr>
            </w:pPr>
          </w:p>
        </w:tc>
        <w:tc>
          <w:tcPr>
            <w:tcW w:w="206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4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At LCM</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At LCM</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24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2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2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net of deferred fees and costs</w:t>
            </w:r>
          </w:p>
        </w:tc>
        <w:tc>
          <w:tcPr>
            <w:tcW w:w="24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1"/>
        </w:trPr>
        <w:tc>
          <w:tcPr>
            <w:tcW w:w="4160" w:type="dxa"/>
            <w:vAlign w:val="bottom"/>
          </w:tcPr>
          <w:p>
            <w:pPr>
              <w:spacing w:after="0"/>
              <w:rPr>
                <w:sz w:val="24"/>
                <w:szCs w:val="24"/>
                <w:color w:val="auto"/>
              </w:rPr>
            </w:pPr>
          </w:p>
        </w:tc>
        <w:tc>
          <w:tcPr>
            <w:tcW w:w="2680" w:type="dxa"/>
            <w:vAlign w:val="bottom"/>
            <w:gridSpan w:val="2"/>
          </w:tcPr>
          <w:p>
            <w:pPr>
              <w:jc w:val="right"/>
              <w:ind w:right="989"/>
              <w:spacing w:after="0"/>
              <w:rPr>
                <w:sz w:val="20"/>
                <w:szCs w:val="20"/>
                <w:color w:val="auto"/>
              </w:rPr>
            </w:pPr>
            <w:r>
              <w:rPr>
                <w:rFonts w:ascii="Times New Roman" w:cs="Times New Roman" w:eastAsia="Times New Roman" w:hAnsi="Times New Roman"/>
                <w:sz w:val="14"/>
                <w:szCs w:val="14"/>
                <w:color w:val="auto"/>
              </w:rPr>
              <w:t>F-42</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416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December 31, 2023 and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698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1</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0"/>
        </w:trPr>
        <w:tc>
          <w:tcPr>
            <w:tcW w:w="69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2</w:t>
            </w: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r>
      <w:tr>
        <w:trPr>
          <w:trHeight w:val="196"/>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6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Other Assets</w:t>
      </w:r>
    </w:p>
    <w:p>
      <w:pPr>
        <w:ind w:left="80" w:hanging="75"/>
        <w:spacing w:after="0" w:line="205" w:lineRule="auto"/>
        <w:tabs>
          <w:tab w:leader="none" w:pos="80"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Notes payable - related parties</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Notes payable - related parties as of December 31, 2023 and December 31, 2022.</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3"/>
        </w:trPr>
        <w:tc>
          <w:tcPr>
            <w:tcW w:w="6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w:t>
            </w:r>
          </w:p>
        </w:tc>
      </w:tr>
    </w:tbl>
    <w:p>
      <w:pPr>
        <w:spacing w:after="0" w:line="240"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Following the January 6, 2023 Acquisition and related consolidation of the Company’s previously unconsolidated portfolio companies, the Company no longer has notes payable with related parties on its statements of financial condition for December 31, 2023. All notes payable with related parties that existed as December 31, 2022 now eliminate in consolidation.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non-control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non-control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for the periods ended December 31, 2023, December 31, 2022 and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6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Servicing income</w:t>
            </w:r>
            <w:r>
              <w:rPr>
                <w:rFonts w:ascii="Times New Roman" w:cs="Times New Roman" w:eastAsia="Times New Roman" w:hAnsi="Times New Roman"/>
                <w:sz w:val="18"/>
                <w:szCs w:val="18"/>
                <w:color w:val="auto"/>
                <w:vertAlign w:val="superscript"/>
              </w:rPr>
              <w:t>1</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840</w:t>
            </w:r>
          </w:p>
        </w:tc>
        <w:tc>
          <w:tcPr>
            <w:tcW w:w="7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Newtek Bank, in the normal course of business, had deposits from certain of the Company’s officers, directors and their associated companies totaling $5.6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Transactions with Related Parties</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nephew of the Chief Executive Officer of the Company is employed by one of the Company’s consolidated subsidiaries and earned annual compensation in excess of $125 thousand during 2023, 2022 and 2021. The sister of a Director and the Chief Admin Officer is employed by one of the Company’s consolidated subsidiaries and earned annual compensation in excess of $125 thousand during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Servicing assets held by NSBF and Newtek Bank, including its subsidiary SBL, are measured at fair value and lower of cost or market, respectively. The Company earns servicing fees from the guaranteed portions of SBA 7(a) loans it originates and sells. As of December 31, 2023 the Company services $1.8 billion in SBA 7(a) loans and $63.5 million in ALP loans. Refer to NOTE 9— FAIR VALUE MEASUREMENTS for a rollforward of servicing assets at fair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summarizes the fair value and valuation assumptions related to servicing assets at December 31, 2023 and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97"/>
        </w:trPr>
        <w:tc>
          <w:tcPr>
            <w:tcW w:w="2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0"/>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19.14 %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Determined based on risk spreads and observable secondary market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fee income earned for the years ended December 31, 2023, 2022, and 2021 was $18.3 million, $13.7 million, and $11.3 million, respectively.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20" w:type="dxa"/>
            <w:vAlign w:val="bottom"/>
          </w:tcPr>
          <w:p>
            <w:pPr>
              <w:spacing w:after="0"/>
              <w:rPr>
                <w:sz w:val="14"/>
                <w:szCs w:val="14"/>
                <w:color w:val="auto"/>
              </w:rPr>
            </w:pPr>
          </w:p>
        </w:tc>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6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4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1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did not have any goodwill as of December 31, 2022 as a BDC. On January 6, 2023, the Company consolidated its previously unconsolidated portfolio companies and completed the Acquisition, which resulted in goodwill of $25.6 million and $0.3 million, respectively. The goodwill in the payments and technology segments was generated from acquisitions prior to 2022 by the legal entities within those segments.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3"/>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color w:val="auto"/>
              </w:rPr>
              <w:t>Net Carrying</w:t>
            </w:r>
          </w:p>
        </w:tc>
      </w:tr>
      <w:tr>
        <w:trPr>
          <w:trHeight w:val="187"/>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w:t>
            </w:r>
          </w:p>
        </w:tc>
      </w:tr>
      <w:tr>
        <w:trPr>
          <w:trHeight w:val="17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Customer Lists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Customer Lists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did not have any intangible assets as of December 31, 2022 as a BDC. On January 6, 2023, the Company consolidated its previously unconsolidated portfolio companies and completed the Acquisition, which resulted in intangible assets. As of December 31, 2023, the Company had $3.4 million of intangible assets relating to previously unconsolidated portfolio companies and $0.8 million on core deposits at Newtek Bank.</w:t>
      </w:r>
    </w:p>
    <w:p>
      <w:pPr>
        <w:spacing w:after="0" w:line="15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Amortization expense for the year ended December 31, 2023 was $1.5 million and is included in Depreciation and amortization on the Consolidated Statements of Income. There was no amortization expense for the years ended December 31, 2022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 since there were no intangible assets prior to the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December 31,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5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5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5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r>
      <w:tr>
        <w:trPr>
          <w:trHeight w:val="859"/>
        </w:trPr>
        <w:tc>
          <w:tcPr>
            <w:tcW w:w="3060" w:type="dxa"/>
            <w:vAlign w:val="bottom"/>
          </w:tcPr>
          <w:p>
            <w:pPr>
              <w:spacing w:after="0"/>
              <w:rPr>
                <w:sz w:val="24"/>
                <w:szCs w:val="24"/>
                <w:color w:val="auto"/>
              </w:rPr>
            </w:pPr>
          </w:p>
        </w:tc>
        <w:tc>
          <w:tcPr>
            <w:tcW w:w="594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color w:val="auto"/>
              </w:rPr>
              <w:t>F-45</w:t>
            </w:r>
          </w:p>
        </w:tc>
        <w:tc>
          <w:tcPr>
            <w:tcW w:w="2280" w:type="dxa"/>
            <w:vAlign w:val="bottom"/>
          </w:tcPr>
          <w:p>
            <w:pPr>
              <w:spacing w:after="0"/>
              <w:rPr>
                <w:sz w:val="24"/>
                <w:szCs w:val="24"/>
                <w:color w:val="auto"/>
              </w:rPr>
            </w:pPr>
          </w:p>
        </w:tc>
      </w:tr>
      <w:tr>
        <w:trPr>
          <w:trHeight w:val="87"/>
        </w:trPr>
        <w:tc>
          <w:tcPr>
            <w:tcW w:w="306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December 31, 2023 and December 31, 2022:</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9"/>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2023</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3"/>
                <w:szCs w:val="13"/>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3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Non-controlled/affiliate investments</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692,872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660,701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Assets on the Consolidated Statements of Financial Condition.</w:t>
      </w:r>
    </w:p>
    <w:p>
      <w:pPr>
        <w:spacing w:after="0" w:line="44"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Measured at fair value on a recurring basis with the net unrealized gains or losses recorded in current period earnings.</w:t>
      </w:r>
    </w:p>
    <w:p>
      <w:pPr>
        <w:spacing w:after="0" w:line="44"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Liabilities on the Consolidated Statements of Financial Condition.</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6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8"/>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2022</w:t>
            </w:r>
          </w:p>
        </w:tc>
        <w:tc>
          <w:tcPr>
            <w:tcW w:w="86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6"/>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Controlled investments</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r>
      <w:tr>
        <w:trPr>
          <w:trHeight w:val="180"/>
        </w:trPr>
        <w:tc>
          <w:tcPr>
            <w:tcW w:w="6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investments</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r>
      <w:tr>
        <w:trPr>
          <w:trHeight w:val="180"/>
        </w:trPr>
        <w:tc>
          <w:tcPr>
            <w:tcW w:w="68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Joint ventures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818,813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40" w:hanging="135"/>
        <w:spacing w:after="0"/>
        <w:tabs>
          <w:tab w:leader="none" w:pos="14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Assets on the Consolidated Statements of Financial Condition.</w:t>
      </w:r>
    </w:p>
    <w:p>
      <w:pPr>
        <w:spacing w:after="0" w:line="70" w:lineRule="exact"/>
        <w:rPr>
          <w:rFonts w:ascii="Times New Roman" w:cs="Times New Roman" w:eastAsia="Times New Roman" w:hAnsi="Times New Roman"/>
          <w:sz w:val="17"/>
          <w:szCs w:val="17"/>
          <w:color w:val="auto"/>
          <w:vertAlign w:val="superscript"/>
        </w:rPr>
      </w:pPr>
    </w:p>
    <w:p>
      <w:pPr>
        <w:ind w:left="140" w:right="40" w:hanging="135"/>
        <w:spacing w:after="0" w:line="230" w:lineRule="auto"/>
        <w:tabs>
          <w:tab w:leader="none" w:pos="155"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investment in TSO JV and NCL JV are measured at fair value using NAV and have not been classified in the fair value hierarchy. The fair value amounts presented in this table are intended to permit reconciliation of the fair value hierarchy to the amounts presented in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years ended December 31, 2023 and 2022:</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HFI,</w:t>
            </w: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80" w:type="dxa"/>
            <w:vAlign w:val="bottom"/>
          </w:tcPr>
          <w:p>
            <w:pPr>
              <w:spacing w:after="0"/>
              <w:rPr>
                <w:sz w:val="9"/>
                <w:szCs w:val="9"/>
                <w:color w:val="auto"/>
              </w:rPr>
            </w:pPr>
          </w:p>
        </w:tc>
        <w:tc>
          <w:tcPr>
            <w:tcW w:w="102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1"/>
                <w:szCs w:val="11"/>
                <w:b w:val="1"/>
                <w:bCs w:val="1"/>
                <w:color w:val="auto"/>
                <w:w w:val="98"/>
              </w:rPr>
              <w:t>Controlled</w:t>
            </w:r>
          </w:p>
        </w:tc>
        <w:tc>
          <w:tcPr>
            <w:tcW w:w="80" w:type="dxa"/>
            <w:vAlign w:val="bottom"/>
          </w:tcPr>
          <w:p>
            <w:pPr>
              <w:spacing w:after="0"/>
              <w:rPr>
                <w:sz w:val="9"/>
                <w:szCs w:val="9"/>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140" w:type="dxa"/>
            <w:vAlign w:val="bottom"/>
          </w:tcPr>
          <w:p>
            <w:pPr>
              <w:spacing w:after="0"/>
              <w:rPr>
                <w:sz w:val="9"/>
                <w:szCs w:val="9"/>
                <w:color w:val="auto"/>
              </w:rPr>
            </w:pPr>
          </w:p>
        </w:tc>
        <w:tc>
          <w:tcPr>
            <w:tcW w:w="98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Warrant</w:t>
            </w:r>
          </w:p>
        </w:tc>
        <w:tc>
          <w:tcPr>
            <w:tcW w:w="9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spacing w:after="0"/>
              <w:rPr>
                <w:sz w:val="13"/>
                <w:szCs w:val="13"/>
                <w:color w:val="auto"/>
              </w:rPr>
            </w:pPr>
          </w:p>
        </w:tc>
        <w:tc>
          <w:tcPr>
            <w:tcW w:w="740" w:type="dxa"/>
            <w:vAlign w:val="bottom"/>
          </w:tcPr>
          <w:p>
            <w:pPr>
              <w:jc w:val="right"/>
              <w:ind w:right="210"/>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7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38"/>
        </w:trPr>
        <w:tc>
          <w:tcPr>
            <w:tcW w:w="28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Additions/(removal) of entities consolidating</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Conversion to BHC</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40" w:hanging="135"/>
        <w:spacing w:after="0"/>
        <w:tabs>
          <w:tab w:leader="none" w:pos="14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Assets on the Consolidated Statements of Financial Condition.</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Liabilities on the Consolidated Statements of Financial Condition.</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4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180" w:type="dxa"/>
            <w:vAlign w:val="bottom"/>
            <w:shd w:val="clear" w:color="auto" w:fill="CCEEFF"/>
          </w:tcPr>
          <w:p>
            <w:pPr>
              <w:spacing w:after="0"/>
              <w:rPr>
                <w:sz w:val="9"/>
                <w:szCs w:val="9"/>
                <w:color w:val="auto"/>
              </w:rPr>
            </w:pPr>
          </w:p>
        </w:tc>
        <w:tc>
          <w:tcPr>
            <w:tcW w:w="1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Loans HFI, at fair value</w:t>
            </w:r>
          </w:p>
        </w:tc>
        <w:tc>
          <w:tcPr>
            <w:tcW w:w="940" w:type="dxa"/>
            <w:vAlign w:val="bottom"/>
            <w:gridSpan w:val="3"/>
            <w:shd w:val="clear" w:color="auto" w:fill="CCEEFF"/>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Loans HFS, at</w:t>
            </w:r>
          </w:p>
        </w:tc>
        <w:tc>
          <w:tcPr>
            <w:tcW w:w="12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Controlled Investments</w:t>
            </w:r>
          </w:p>
        </w:tc>
        <w:tc>
          <w:tcPr>
            <w:tcW w:w="10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160" w:type="dxa"/>
            <w:vAlign w:val="bottom"/>
            <w:shd w:val="clear" w:color="auto" w:fill="CCEEFF"/>
          </w:tcPr>
          <w:p>
            <w:pPr>
              <w:spacing w:after="0"/>
              <w:rPr>
                <w:sz w:val="9"/>
                <w:szCs w:val="9"/>
                <w:color w:val="auto"/>
              </w:rPr>
            </w:pPr>
          </w:p>
        </w:tc>
        <w:tc>
          <w:tcPr>
            <w:tcW w:w="1060" w:type="dxa"/>
            <w:vAlign w:val="bottom"/>
            <w:gridSpan w:val="2"/>
            <w:shd w:val="clear" w:color="auto" w:fill="CCEEFF"/>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9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spacing w:after="0"/>
              <w:rPr>
                <w:sz w:val="13"/>
                <w:szCs w:val="13"/>
                <w:color w:val="auto"/>
              </w:rPr>
            </w:pPr>
          </w:p>
        </w:tc>
        <w:tc>
          <w:tcPr>
            <w:tcW w:w="130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6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Fair value, December 31, 2021</w:t>
            </w: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424,417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72,970</w:t>
            </w:r>
          </w:p>
        </w:tc>
        <w:tc>
          <w:tcPr>
            <w:tcW w:w="10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230,935</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Change in net unrealized deprecation on servicing assets due to:</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factors</w:t>
            </w:r>
          </w:p>
        </w:tc>
        <w:tc>
          <w:tcPr>
            <w:tcW w:w="3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SBA unguaranteed non-affiliate investments, funded</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585,803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investments</w:t>
            </w:r>
          </w:p>
        </w:tc>
        <w:tc>
          <w:tcPr>
            <w:tcW w:w="3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loans from SBA</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Sale of investment</w:t>
            </w:r>
          </w:p>
        </w:tc>
        <w:tc>
          <w:tcPr>
            <w:tcW w:w="3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of investment</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received on debt investments</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 to servicing assets</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Fair value, December 31, 2022</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December 31, 2023 and December 31, 2022.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December 31, 2023 and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9"/>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10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ind w:left="320"/>
              <w:spacing w:after="0" w:line="159" w:lineRule="exact"/>
              <w:rPr>
                <w:sz w:val="20"/>
                <w:szCs w:val="20"/>
                <w:color w:val="auto"/>
              </w:rPr>
            </w:pPr>
            <w:r>
              <w:rPr>
                <w:rFonts w:ascii="Times New Roman" w:cs="Times New Roman" w:eastAsia="Times New Roman" w:hAnsi="Times New Roman"/>
                <w:sz w:val="11"/>
                <w:szCs w:val="11"/>
                <w:b w:val="1"/>
                <w:bCs w:val="1"/>
                <w:color w:val="auto"/>
              </w:rPr>
              <w:t>Average</w:t>
            </w:r>
            <w:r>
              <w:rPr>
                <w:rFonts w:ascii="Times New Roman" w:cs="Times New Roman" w:eastAsia="Times New Roman" w:hAnsi="Times New Roman"/>
                <w:sz w:val="14"/>
                <w:szCs w:val="14"/>
                <w:b w:val="1"/>
                <w:bCs w:val="1"/>
                <w:color w:val="auto"/>
                <w:vertAlign w:val="superscript"/>
              </w:rPr>
              <w:t>1</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investment, at fair value - accrual loans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421,627</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38"/>
        </w:trPr>
        <w:tc>
          <w:tcPr>
            <w:tcW w:w="30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Held for investment, at fair value - non-accrual</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10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sale, at fair value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2"/>
        </w:trPr>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84"/>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r>
    </w:tbl>
    <w:p>
      <w:pPr>
        <w:spacing w:after="0" w:line="98" w:lineRule="exact"/>
        <w:rPr>
          <w:sz w:val="20"/>
          <w:szCs w:val="20"/>
          <w:color w:val="auto"/>
        </w:rPr>
      </w:pPr>
    </w:p>
    <w:p>
      <w:pPr>
        <w:ind w:left="5520" w:right="2940" w:hanging="5515"/>
        <w:spacing w:after="0" w:line="867" w:lineRule="auto"/>
        <w:tabs>
          <w:tab w:leader="none" w:pos="157"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at held at FV and $10.4 million of servicing assets are held at LCM. Refer to NOTE 7—SERVICING ASSETS.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3"/>
                <w:szCs w:val="13"/>
                <w:color w:val="auto"/>
              </w:rPr>
            </w:pPr>
          </w:p>
        </w:tc>
      </w:tr>
      <w:tr>
        <w:trPr>
          <w:trHeight w:val="159"/>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12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40" w:type="dxa"/>
            <w:vAlign w:val="bottom"/>
            <w:gridSpan w:val="2"/>
          </w:tcPr>
          <w:p>
            <w:pPr>
              <w:ind w:left="300"/>
              <w:spacing w:after="0" w:line="159" w:lineRule="exact"/>
              <w:rPr>
                <w:sz w:val="20"/>
                <w:szCs w:val="20"/>
                <w:color w:val="auto"/>
              </w:rPr>
            </w:pPr>
            <w:r>
              <w:rPr>
                <w:rFonts w:ascii="Times New Roman" w:cs="Times New Roman" w:eastAsia="Times New Roman" w:hAnsi="Times New Roman"/>
                <w:sz w:val="11"/>
                <w:szCs w:val="11"/>
                <w:b w:val="1"/>
                <w:bCs w:val="1"/>
                <w:color w:val="auto"/>
              </w:rPr>
              <w:t>Average</w:t>
            </w:r>
            <w:r>
              <w:rPr>
                <w:rFonts w:ascii="Times New Roman" w:cs="Times New Roman" w:eastAsia="Times New Roman" w:hAnsi="Times New Roman"/>
                <w:sz w:val="14"/>
                <w:szCs w:val="14"/>
                <w:b w:val="1"/>
                <w:bCs w:val="1"/>
                <w:color w:val="auto"/>
                <w:vertAlign w:val="superscript"/>
              </w:rPr>
              <w:t>1</w:t>
            </w: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38"/>
        </w:trPr>
        <w:tc>
          <w:tcPr>
            <w:tcW w:w="30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SBA unguaranteed non-affiliate investments -</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 loans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470,835</w:t>
            </w:r>
          </w:p>
        </w:tc>
        <w:tc>
          <w:tcPr>
            <w:tcW w:w="10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7.90 %</w:t>
            </w:r>
          </w:p>
        </w:tc>
      </w:tr>
      <w:tr>
        <w:trPr>
          <w:trHeight w:val="181"/>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38"/>
        </w:trPr>
        <w:tc>
          <w:tcPr>
            <w:tcW w:w="30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SBA unguaranteed non-affiliate investments - non-</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 loans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34,433</w:t>
            </w:r>
          </w:p>
        </w:tc>
        <w:tc>
          <w:tcPr>
            <w:tcW w:w="100" w:type="dxa"/>
            <w:vAlign w:val="bottom"/>
            <w:shd w:val="clear" w:color="auto" w:fill="CCEEFF"/>
          </w:tcPr>
          <w:p>
            <w:pPr>
              <w:spacing w:after="0"/>
              <w:rPr>
                <w:sz w:val="16"/>
                <w:szCs w:val="16"/>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8.87 %</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Controlled equity investments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241,113</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EBITDA multiples-TTM</w:t>
            </w:r>
            <w:r>
              <w:rPr>
                <w:rFonts w:ascii="Times New Roman" w:cs="Times New Roman" w:eastAsia="Times New Roman" w:hAnsi="Times New Roman"/>
                <w:sz w:val="18"/>
                <w:szCs w:val="18"/>
                <w:color w:val="auto"/>
                <w:vertAlign w:val="superscript"/>
              </w:rPr>
              <w:t>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8.00x</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7.50x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8.50x</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EBITDA multiples-NTM</w:t>
            </w:r>
            <w:r>
              <w:rPr>
                <w:rFonts w:ascii="Times New Roman" w:cs="Times New Roman" w:eastAsia="Times New Roman" w:hAnsi="Times New Roman"/>
                <w:sz w:val="18"/>
                <w:szCs w:val="18"/>
                <w:color w:val="auto"/>
                <w:vertAlign w:val="superscript"/>
              </w:rPr>
              <w:t>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6.90x</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6.00x</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7.50x</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Revenue multiples</w:t>
            </w:r>
            <w:r>
              <w:rPr>
                <w:rFonts w:ascii="Times New Roman" w:cs="Times New Roman" w:eastAsia="Times New Roman" w:hAnsi="Times New Roman"/>
                <w:sz w:val="18"/>
                <w:szCs w:val="18"/>
                <w:color w:val="auto"/>
                <w:vertAlign w:val="superscript"/>
              </w:rPr>
              <w:t>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2.46x</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0.80x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3.20x</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Book value multiples</w:t>
            </w:r>
            <w:r>
              <w:rPr>
                <w:rFonts w:ascii="Times New Roman" w:cs="Times New Roman" w:eastAsia="Times New Roman" w:hAnsi="Times New Roman"/>
                <w:sz w:val="18"/>
                <w:szCs w:val="18"/>
                <w:color w:val="auto"/>
                <w:vertAlign w:val="superscript"/>
              </w:rPr>
              <w:t>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1.00x</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0.80x</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1.20x</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Weighted average cost of capital</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Controlled debt investments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18,104</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Recent transaction</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0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44" w:lineRule="exact"/>
        <w:rPr>
          <w:sz w:val="20"/>
          <w:szCs w:val="20"/>
          <w:color w:val="auto"/>
        </w:rPr>
      </w:pPr>
    </w:p>
    <w:p>
      <w:pPr>
        <w:ind w:left="140" w:hanging="135"/>
        <w:spacing w:after="0"/>
        <w:tabs>
          <w:tab w:leader="none" w:pos="140" w:val="left"/>
        </w:tabs>
        <w:numPr>
          <w:ilvl w:val="0"/>
          <w:numId w:val="6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Weighted by relative fair value.</w:t>
      </w:r>
    </w:p>
    <w:p>
      <w:pPr>
        <w:spacing w:after="0" w:line="1" w:lineRule="exact"/>
        <w:rPr>
          <w:rFonts w:ascii="Times New Roman" w:cs="Times New Roman" w:eastAsia="Times New Roman" w:hAnsi="Times New Roman"/>
          <w:sz w:val="17"/>
          <w:szCs w:val="17"/>
          <w:color w:val="auto"/>
          <w:vertAlign w:val="superscript"/>
        </w:rPr>
      </w:pPr>
    </w:p>
    <w:p>
      <w:pPr>
        <w:ind w:left="140" w:right="340" w:hanging="135"/>
        <w:spacing w:after="0" w:line="220" w:lineRule="auto"/>
        <w:tabs>
          <w:tab w:leader="none" w:pos="155"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valued $145.6 million of investments using a combination of EBITDA, trailing twelve months (“TTM”) and next twelve months (“NTM”), and revenue multiples in the overall valuation approach, which included the use of market comparable companies. The Company valued $95.3 million of investments using only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Total loans held for investment, at amortized cost, net</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 deferred fees and 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8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53,692</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53,692</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Controlled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Pr>
          <w:p>
            <w:pPr>
              <w:spacing w:after="0"/>
              <w:rPr>
                <w:sz w:val="15"/>
                <w:szCs w:val="15"/>
                <w:color w:val="auto"/>
              </w:rPr>
            </w:pPr>
          </w:p>
        </w:tc>
      </w:tr>
      <w:tr>
        <w:trPr>
          <w:trHeight w:val="18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540,388</w:t>
            </w:r>
          </w:p>
        </w:tc>
        <w:tc>
          <w:tcPr>
            <w:tcW w:w="120" w:type="dxa"/>
            <w:vAlign w:val="bottom"/>
          </w:tcPr>
          <w:p>
            <w:pPr>
              <w:spacing w:after="0"/>
              <w:rPr>
                <w:sz w:val="15"/>
                <w:szCs w:val="15"/>
                <w:color w:val="auto"/>
              </w:rPr>
            </w:pPr>
          </w:p>
        </w:tc>
      </w:tr>
      <w:tr>
        <w:trPr>
          <w:trHeight w:val="87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F-50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10—DEPOSITS: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December 31, 2023</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10,053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15,803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259,152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167,041</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453,452</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463,505</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53,548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66,511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 overdrafts reclassified as loan balances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4"/>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 totaled $20.1 million at December 31, 2023.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11—ACCOUNTS PAYABLE, ACCRUED EXPENSES AND OTHER LIABILITES:</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6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details the components of accounts payable, accrued expenses and other liabilities at December 31, 2023 and December 31, 2022: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related remittances due to SBA and participants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Funds in process to PMT's payroll customers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processing, servicing and other loan related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SBA repair &amp; denial reserve</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 faith deposits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accounts payable, accrued expenses and other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0" w:right="80" w:hanging="55"/>
        <w:spacing w:after="0" w:line="223" w:lineRule="auto"/>
        <w:tabs>
          <w:tab w:leader="none" w:pos="78"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may be exposed to repair and denial liability to the SBA for SBA 7(a) loans in its portfolio. The Company established a loss contingency reserve in accordance with ASC 450-20. To determine the reserve the Company utilizes probability of default and loss given default rates, which are consistent with the assumptions used in its cash flow projections when estimating the fair value of loans. These factors are applied to the outstanding balances of guaranteed SBA 7(a) loans as well as a rate of repurchase based on historical experience.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and December 31, 2022,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center"/>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jc w:val="right"/>
              <w:ind w:right="112"/>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Lines of Credit:</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Capital One line of credit - guaranteed</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6.75 %</w:t>
            </w:r>
          </w:p>
        </w:tc>
        <w:tc>
          <w:tcPr>
            <w:tcW w:w="0" w:type="dxa"/>
            <w:vAlign w:val="bottom"/>
          </w:tcPr>
          <w:p>
            <w:pPr>
              <w:spacing w:after="0"/>
              <w:rPr>
                <w:sz w:val="1"/>
                <w:szCs w:val="1"/>
                <w:color w:val="auto"/>
              </w:rPr>
            </w:pPr>
          </w:p>
        </w:tc>
      </w:tr>
      <w:tr>
        <w:trPr>
          <w:trHeight w:val="180"/>
        </w:trPr>
        <w:tc>
          <w:tcPr>
            <w:tcW w:w="3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Capital One line of credit - unguaranteed</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issued by Parent Company: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2024 Notes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80"/>
        </w:trPr>
        <w:tc>
          <w:tcPr>
            <w:tcW w:w="3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5.00% Notes</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8.125% Notes</w:t>
            </w:r>
            <w:r>
              <w:rPr>
                <w:rFonts w:ascii="Times New Roman" w:cs="Times New Roman" w:eastAsia="Times New Roman" w:hAnsi="Times New Roman"/>
                <w:sz w:val="18"/>
                <w:szCs w:val="18"/>
                <w:color w:val="auto"/>
                <w:vertAlign w:val="superscript"/>
              </w:rPr>
              <w:t>2,3</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2028 Notes</w:t>
            </w:r>
            <w:r>
              <w:rPr>
                <w:rFonts w:ascii="Times New Roman" w:cs="Times New Roman" w:eastAsia="Times New Roman" w:hAnsi="Times New Roman"/>
                <w:sz w:val="18"/>
                <w:szCs w:val="18"/>
                <w:color w:val="auto"/>
                <w:vertAlign w:val="superscript"/>
              </w:rPr>
              <w:t>2,4</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2,5</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283,143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279,136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6.19 %</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878,235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666,393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539,326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40" w:right="60" w:hanging="135"/>
        <w:spacing w:after="0" w:line="230" w:lineRule="auto"/>
        <w:tabs>
          <w:tab w:leader="none" w:pos="155"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combined commitments of the guaranteed and unguaranteed lines of credit were $150.0 million at December 31, 2022. The Capital One line of credit was paid off and terminated in October of 2023.</w:t>
      </w:r>
    </w:p>
    <w:p>
      <w:pPr>
        <w:spacing w:after="0" w:line="1" w:lineRule="exact"/>
        <w:rPr>
          <w:rFonts w:ascii="Times New Roman" w:cs="Times New Roman" w:eastAsia="Times New Roman" w:hAnsi="Times New Roman"/>
          <w:sz w:val="18"/>
          <w:szCs w:val="18"/>
          <w:color w:val="auto"/>
          <w:vertAlign w:val="superscript"/>
        </w:rPr>
      </w:pPr>
    </w:p>
    <w:p>
      <w:pPr>
        <w:ind w:left="140" w:hanging="135"/>
        <w:spacing w:after="0" w:line="208" w:lineRule="auto"/>
        <w:tabs>
          <w:tab w:leader="none" w:pos="140"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of deferred financing costs.</w:t>
      </w:r>
    </w:p>
    <w:p>
      <w:pPr>
        <w:spacing w:after="0" w:line="2" w:lineRule="exact"/>
        <w:rPr>
          <w:rFonts w:ascii="Times New Roman" w:cs="Times New Roman" w:eastAsia="Times New Roman" w:hAnsi="Times New Roman"/>
          <w:sz w:val="17"/>
          <w:szCs w:val="17"/>
          <w:color w:val="auto"/>
          <w:vertAlign w:val="superscript"/>
        </w:rPr>
      </w:pPr>
    </w:p>
    <w:p>
      <w:pPr>
        <w:ind w:left="140" w:hanging="135"/>
        <w:spacing w:after="0" w:line="220" w:lineRule="auto"/>
        <w:tabs>
          <w:tab w:leader="none" w:pos="155"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January 23, 2023 the Company completed a private placement offering of $50.0 million aggregate principal amount of 8.125% notes due 2025, payable semiannually on February 1 and August 1 each year, commencing on August 1, 2023. The Notes will mature on February 1, 2025.</w:t>
      </w:r>
    </w:p>
    <w:p>
      <w:pPr>
        <w:ind w:left="140" w:right="60" w:hanging="135"/>
        <w:spacing w:after="0" w:line="221" w:lineRule="auto"/>
        <w:tabs>
          <w:tab w:leader="none" w:pos="155"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payable quarterly on March 1, June 1, September 1 and December 1 of each year, commencing on December 1, 2023. The 2028 Notes trade on the Nasdaq Global Market under the trading symbol “NEWTI.”</w:t>
      </w:r>
    </w:p>
    <w:p>
      <w:pPr>
        <w:ind w:left="140" w:hanging="135"/>
        <w:spacing w:after="0" w:line="208" w:lineRule="auto"/>
        <w:tabs>
          <w:tab w:leader="none" w:pos="140"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At December 31, 2023 and 2022, the net assets of the consolidated Trusts totaled $14.8 million and $14.1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lines of credit, the 2024, 2025, 2026, and 2028 Notes, and the Notes payable - Securitization Trusts consisted of the following:</w:t>
      </w:r>
    </w:p>
    <w:p>
      <w:pPr>
        <w:spacing w:after="0" w:line="5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0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20" w:type="dxa"/>
            <w:vAlign w:val="bottom"/>
            <w:tcBorders>
              <w:bottom w:val="single" w:sz="8" w:color="auto"/>
            </w:tcBorders>
          </w:tcPr>
          <w:p>
            <w:pPr>
              <w:spacing w:after="0"/>
              <w:rPr>
                <w:sz w:val="13"/>
                <w:szCs w:val="13"/>
                <w:color w:val="auto"/>
              </w:rPr>
            </w:pPr>
          </w:p>
        </w:tc>
      </w:tr>
      <w:tr>
        <w:trPr>
          <w:trHeight w:val="138"/>
        </w:trPr>
        <w:tc>
          <w:tcPr>
            <w:tcW w:w="40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5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0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5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020" w:type="dxa"/>
            <w:vAlign w:val="bottom"/>
            <w:shd w:val="clear" w:color="auto" w:fill="CCEEFF"/>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Net carrying</w:t>
            </w:r>
          </w:p>
        </w:tc>
      </w:tr>
      <w:tr>
        <w:trPr>
          <w:trHeight w:val="191"/>
        </w:trPr>
        <w:tc>
          <w:tcPr>
            <w:tcW w:w="40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Principal balance</w:t>
            </w:r>
          </w:p>
        </w:tc>
        <w:tc>
          <w:tcPr>
            <w:tcW w:w="1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financing costs</w:t>
            </w:r>
          </w:p>
        </w:tc>
        <w:tc>
          <w:tcPr>
            <w:tcW w:w="1100" w:type="dxa"/>
            <w:vAlign w:val="bottom"/>
            <w:gridSpan w:val="2"/>
            <w:shd w:val="clear" w:color="auto" w:fill="CCEEFF"/>
          </w:tcPr>
          <w:p>
            <w:pPr>
              <w:jc w:val="center"/>
              <w:ind w:right="120"/>
              <w:spacing w:after="0" w:line="191"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Principal balance</w:t>
            </w:r>
          </w:p>
        </w:tc>
        <w:tc>
          <w:tcPr>
            <w:tcW w:w="1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financing costs</w:t>
            </w:r>
          </w:p>
        </w:tc>
        <w:tc>
          <w:tcPr>
            <w:tcW w:w="10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amount</w:t>
            </w:r>
          </w:p>
        </w:tc>
      </w:tr>
      <w:tr>
        <w:trPr>
          <w:trHeight w:val="18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Lines of Credit:</w:t>
            </w: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36,881</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16,300</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0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6,900</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375</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issued by Parent Company:</w:t>
            </w:r>
          </w:p>
        </w:tc>
        <w:tc>
          <w:tcPr>
            <w:tcW w:w="1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0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(694)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29,306</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0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(1,436)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112,846</w:t>
            </w: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2028 Notes</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0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296,223</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283,143</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279,136</w:t>
            </w:r>
          </w:p>
        </w:tc>
      </w:tr>
    </w:tbl>
    <w:p>
      <w:pPr>
        <w:spacing w:after="0" w:line="123" w:lineRule="exact"/>
        <w:rPr>
          <w:sz w:val="20"/>
          <w:szCs w:val="20"/>
          <w:color w:val="auto"/>
        </w:rPr>
      </w:pPr>
    </w:p>
    <w:p>
      <w:pPr>
        <w:ind w:right="240" w:firstLine="5"/>
        <w:spacing w:after="0" w:line="254" w:lineRule="auto"/>
        <w:tabs>
          <w:tab w:leader="none" w:pos="142" w:val="left"/>
        </w:tabs>
        <w:numPr>
          <w:ilvl w:val="0"/>
          <w:numId w:val="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of deferred financing costs. Negative borrowings outstanding are the result of the facilities being paid down to zero principal balance as of December 31, 2023 while the associated deferred financing costs remain.</w:t>
      </w:r>
    </w:p>
    <w:p>
      <w:pPr>
        <w:spacing w:after="0" w:line="16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At December 31, 2023 and December 31, 2022, the carrying amount of the Company’s borrowings under the Capital One, Deutsche Bank, Webster, and One Florida lines of credit, and the Notes payable - Securitization Trusts, approximates fair value due to their variable interest rates.</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At December 31, 2023, the carrying amount of Newtek Bank’s FHLB borrowings includes a $0.2 million purchase accounting adjustment from the current principal amount to reach a balance sheet value of $23.2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the fixed rate 2028 Notes, 2026 Notes and 2024 Notes are based on the closing public share price on the date of measurement as included in the chart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88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40" w:type="dxa"/>
            <w:vAlign w:val="bottom"/>
            <w:tcBorders>
              <w:bottom w:val="single" w:sz="8" w:color="auto"/>
            </w:tcBorders>
          </w:tcPr>
          <w:p>
            <w:pPr>
              <w:spacing w:after="0"/>
              <w:rPr>
                <w:sz w:val="13"/>
                <w:szCs w:val="13"/>
                <w:color w:val="auto"/>
              </w:rPr>
            </w:pPr>
          </w:p>
        </w:tc>
      </w:tr>
      <w:tr>
        <w:trPr>
          <w:trHeight w:val="180"/>
        </w:trPr>
        <w:tc>
          <w:tcPr>
            <w:tcW w:w="304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Closing Price</w:t>
            </w: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Closing Price</w:t>
            </w: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Notes</w:t>
            </w:r>
          </w:p>
        </w:tc>
        <w:tc>
          <w:tcPr>
            <w:tcW w:w="1480" w:type="dxa"/>
            <w:vAlign w:val="bottom"/>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80" w:type="dxa"/>
            <w:vAlign w:val="bottom"/>
          </w:tcPr>
          <w:p>
            <w:pPr>
              <w:spacing w:after="0"/>
              <w:rPr>
                <w:sz w:val="14"/>
                <w:szCs w:val="14"/>
                <w:color w:val="auto"/>
              </w:rPr>
            </w:pP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40,070</w:t>
            </w: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109,250</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114,218</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Notes</w:t>
            </w: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37,944</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borrowings are not recorded at fair value on a recurring basis. The fixed rate 2025 Notes are held at par as of December 31, 2023 and December 31, 2022.</w:t>
      </w:r>
    </w:p>
    <w:p>
      <w:pPr>
        <w:spacing w:after="0" w:line="17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year ended December 31, 2023, 2022, and 2021 was $51.9 million, $26.3 million and $20.5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Capital One Facility</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Prior to October 2023, NSBF maintained a $150 million Capital One facility to finance the origination of the unguaranteed and guaranteed portions of SBA 7(a) loans NSBF originated. The portion of the facility collateralized by the government guaranteed portion of SBA 7(a) loans was Prime minus 0.75% and the interest rate on the portion of the facility collateralized by the non-guaranteed portion of SBA 7(a) loans was Prime plus 0.25%. The facility provided for a 55% advance rate on the non-guaranteed portions of the SBA 7(a) loans NSBF originates and a 90% advance rate on the guaranteed portions of SBA 7(a) loans NSBF originated. On May 7, 2020, NSBF amended the facility to, among other things, extend the maturity date on which the credit facility converted into a term loan for a period of three years to May 7, 2023, with the term loan maturing on May 7, 2025. The NSBF Capital One facility was paid off and terminated in October of 2023.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2023, 2022 and 2021, interest expense including amortization of related deferred financing costs was $11.0 million, $4.0 million and $1.5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Company intends to use the net proceeds from the sale of the Notes for general corporate purposes. The 2028 Notes bear interest at a rate of 8.00% per year payable quarterly on March 1, June 1, September 1 and December 1 of each year, commencing on December 1, 2023, and trade on the Nasdaq Global Market under the trading symbol “NEWTI.” At December 31, 2023, the Company was in compliance with all covenants related to the 2028 Notes.</w:t>
      </w:r>
    </w:p>
    <w:p>
      <w:pPr>
        <w:spacing w:after="0" w:line="16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interest expense including amortization of related deferred financing costs was $1.2 million. No interest expense was incurred during the year ended December 31, 2022 and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January 2021, the Company closed a public offering of $115.0 million aggregate principal amount of 5.50% Notes due 2026, including $15.0 million in aggregate principal amount sold pursuant to a fully-exercised overallotment option. The sale of the 2026 Notes generated proceeds of approximately $111.3 million, net of underwriter's fees and expenses. The 2026 Notes will mature on February 1, 2026 and may be redeemed in whole or in part at any time or from time to time at the Company’s option on or after February 1, 2022. The 2026 Notes bear interest at a rate of 5.50% per year payable quarterly on February 1, May 1, August 1 and November 1 of each year, commencing on May 1, 2021, and trade on the Nasdaq Global Market under the trading symbol “NEWTZ.”</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2023, 2022 and 2021, interest expense including amortization of related deferred financing costs was $7.0 million, $7.0 million and $6.7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On November 27, 2020, the Company closed an exempt offering of $5.0 million in aggregate principal amount of its 2025 6.85% Notes. The offering was consummated pursuant to the terms of a purchase agreement dated November 27, 2020 among the Company and an accredited investor. The purchase agreement provided for the 2025 6.85% Notes to be issued to the Purchaser in a private placement in reliance on Section 4(a)(2) of the Securities Act of 1933, as amended (the “Securities Act”). The 2025 6.85% Notes were scheduled to mature on November 30, 2025 and could be redeemed in whole or in part at any time. The 2025 6.85% Notes bear interest at a rate of 6.85% per year payable quarterly on February 28, May 31, August 31 and November 30, of each year, beginning February 28, 2021. Total net proceeds received after deducting structuring fees and estimated offering expenses was $4.8 million. The Company exercised its option to issue up to $10.0 million of additional 2025 6.85% Notes to the purchaser, and issued $10.0 million in additional 2025 6.85% Notes to the purchaser in an exempt offering in January 2021.</w:t>
      </w:r>
    </w:p>
    <w:p>
      <w:pPr>
        <w:spacing w:after="0" w:line="16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No interest expense was incurred during the year ended December 31, 2023. For the years ended December 31, 2022 and 2021, interest expense including amortization of related deferred financing costs was $0.4 million and $1.1 million, respectively.</w:t>
      </w:r>
    </w:p>
    <w:p>
      <w:pPr>
        <w:spacing w:after="0" w:line="145"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On July 25, 2019, the Company closed a public offering of $55.0 million in aggregate principal amount of its 2024 Notes. The 2024 Notes will mature on August 1, 2024 and may be redeemed in whole or in part at any time or from time to time at Newtek’s option on or after August 1, 2021. The 2024 Notes bear interest at a rate of 5.75% per year payable quarterly 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August 1, November 1, February 1 and May 1, of each year, beginning November 1, 2019. Total net proceeds received after deducting underwriters’ discount and expenses was $53.3 million. The 2024 Notes are listed on the Nasdaq Global Market under the trading symbol “NEWTL” and were rated “A-“ by Egan-Jones. A portion of the proceeds were used to redeem the outstanding 2022 Notes. In August 2019, the underwriters exercised their option to purchase an additional $8.25 million in aggregate principal amount of the 2024 Notes resulting in an additional $8.0 million in net proceeds.</w:t>
      </w:r>
    </w:p>
    <w:p>
      <w:pPr>
        <w:spacing w:after="0" w:line="15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in aggregate principal amount of the Notes on the redemption date of December 29, 2021 at 100% of their principal amount ($25 per Note), plus the accrued and unpaid interest thereon from November 1, 2021, through, but excluding, the redemption date. As a result of the partial redemption of the 2024 Notes, the Company recorded a $0.6 million loss on extinguishment of debt during the year ended December 31, 2021, equivalent to the redeemed portion of the remaining balance of unamortized deferred financing costs as of the redemption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2023, 2022, and 2021 interest expense including amortization of related deferred financing costs was $2.4 million, $2.4 million, and $4.7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Notes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February 21, 2018, the Company closed a public offering of $50.0 million in aggregate principal amount of its 2023 Notes. In February 2018, the underwriters exercised their option to purchase an additional $7.5 million in aggregate principal amount of the 2023 Notes. Total net proceeds received after deducting underwriters’ discount and expenses was $55.2 million. The 2023 Notes were listed on the Nasdaq Global Market under the trading symbol “NEWTI.” A portion of the proceeds were used to redeem the outstanding 2021 Notes. The 2023 Notes were scheduled to mature on March 1, 2023 and could be redeemed in whole or in part at any time or from time to time at Newtek’s option on or after March 1, 2020. The 2023 Notes bore interest at a rate of 6.25% per year payable quarterly on March 1, June 1, September 1 and December 1, of each year, beginning June 1, 2018.</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22, 2021, the Company redeemed all $57.5 million in aggregate principal amount of the 2023 Notes on the redemption date of February 22, 2021, at 100% of their principal amount ($25 per Note), plus the accrued and unpaid interest thereon from December 1, 2020, through, but excluding, the redemption date. As a result of the redemption of the 2023 Notes, the Company recorded a $1.0 million loss on extinguishment of debt during the year ended December 31, 2021, equivalent to the balance of unamortized deferred financing costs as of the redemption date.</w:t>
      </w:r>
    </w:p>
    <w:p>
      <w:pPr>
        <w:spacing w:after="0" w:line="15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No interest expense was incurred during the years ended December 31, 2023 and 2022. For the year ended December 31, 2021 interest expense including amortization of related deferred financing costs was $0.5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 Payable - Securitization Trusts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7(a) Unguaranteed Non-Affiliate Investments and reflects the associated financing in Notes Payable - Securitization trusts on the Consolidated Statements of Financial Condition.</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with a final maturity date of the notes is February 2043. On February 27, 2023, the 2017-1 Trust was terminated as a result of NSBF purchasing the 2017-1 Trust assets, with the 2017-1 Trust’s noteholders receiving the redemption price.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The Class A and Class B notes bear interest at a rate of adjusted SOFR plus 1.83% across both classes.</w:t>
      </w:r>
    </w:p>
    <w:p>
      <w:pPr>
        <w:spacing w:after="0" w:line="16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assets in a private placement. The Class A and Class B notes received an “A” and “BBB-” rating by S&amp;P, respectively, and the final maturity date of the notes is December 2044. The Class A and Class B notes bear interest at a rate of adjusted SOFR plus 1.83% across both classes.</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assets in a private placement. The Class A and Class B notes received an “A” and “BBB-” rating by S&amp;P, respectively, and the final maturity date of the notes is December 2044. The Class A and Class B notes bear interest at a rate of adjusted SOFR plus 1.92% across both classes.</w:t>
      </w:r>
    </w:p>
    <w:p>
      <w:pPr>
        <w:spacing w:after="0" w:line="16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$103.4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w:t>
      </w:r>
    </w:p>
    <w:p>
      <w:pPr>
        <w:spacing w:after="0" w:line="1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2023, 2022 and 2021, interest expense including amortization of related deferred financing costs and discount was $23.5 million, $10.6 million, and $5.5 million, respectively.</w:t>
      </w:r>
    </w:p>
    <w:p>
      <w:pPr>
        <w:spacing w:after="0" w:line="14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At December 31, 2023 and 2022, the assets of the consolidated Trusts totaled $14.8 million and $14.1 million, respectively. The liabilities of the consolidated Trusts totaled $296.2 million and $283.1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Payable - Related Parties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2015, the Company entered into the Related Party RLOC. Maximum borrowings under the Related Party RLOC were $38.0 million.</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In June 2017, the Related Party RLOC was amended to increase maximum borrowings to $50.0 million. The outstanding balance had an interest rate equal to 1 month LIBOR (with a floor of 0.50%) plus 6.0% or a rate equal to the greater of the Prime Rate or 3.5% plus 5.0%. In November 2018, the Related Party RLOC was amended to reduce the interest rate to the lesser of 1 month LIBOR plus 2.5% or the Prime Rate plus 1.5%.</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2022 and 2021, interest expense was $0.5 million and $0.4 million, respectively. For the year ended December 31, 2023, $0.0 interest expense was included in the consolidated financial statements on related party notes payable.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expected principal repayments on the Company’s borrowings for the next five fiscal years and thereafter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6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Borrowings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5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53,109</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104,701</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117,094</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41,985</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80"/>
        </w:trPr>
        <w:tc>
          <w:tcPr>
            <w:tcW w:w="20" w:type="dxa"/>
            <w:vAlign w:val="bottom"/>
            <w:tcBorders>
              <w:bottom w:val="single" w:sz="8" w:color="CCEEFF"/>
            </w:tcBorders>
          </w:tcPr>
          <w:p>
            <w:pPr>
              <w:spacing w:after="0"/>
              <w:rPr>
                <w:sz w:val="15"/>
                <w:szCs w:val="15"/>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296,223</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13—DERIVATIVE INSTRUMENTS:</w:t>
      </w:r>
    </w:p>
    <w:p>
      <w:pPr>
        <w:spacing w:after="0" w:line="2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December 31, 2023 and December 31, 2022:</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20" w:type="dxa"/>
            <w:vAlign w:val="bottom"/>
            <w:tcBorders>
              <w:bottom w:val="single" w:sz="8" w:color="auto"/>
            </w:tcBorders>
          </w:tcPr>
          <w:p>
            <w:pPr>
              <w:spacing w:after="0"/>
              <w:rPr>
                <w:sz w:val="13"/>
                <w:szCs w:val="13"/>
                <w:color w:val="auto"/>
              </w:rPr>
            </w:pPr>
          </w:p>
        </w:tc>
      </w:tr>
      <w:tr>
        <w:trPr>
          <w:trHeight w:val="154"/>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0"/>
        </w:trPr>
        <w:tc>
          <w:tcPr>
            <w:tcW w:w="234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16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3"/>
                <w:szCs w:val="13"/>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7"/>
                <w:szCs w:val="7"/>
                <w:b w:val="1"/>
                <w:bCs w:val="1"/>
                <w:color w:val="auto"/>
              </w:rPr>
              <w:t>2</w:t>
            </w:r>
          </w:p>
        </w:tc>
        <w:tc>
          <w:tcPr>
            <w:tcW w:w="80" w:type="dxa"/>
            <w:vAlign w:val="bottom"/>
          </w:tcPr>
          <w:p>
            <w:pPr>
              <w:spacing w:after="0"/>
              <w:rPr>
                <w:sz w:val="13"/>
                <w:szCs w:val="13"/>
                <w:color w:val="auto"/>
              </w:rPr>
            </w:pPr>
          </w:p>
        </w:tc>
        <w:tc>
          <w:tcPr>
            <w:tcW w:w="1480" w:type="dxa"/>
            <w:vAlign w:val="bottom"/>
            <w:gridSpan w:val="3"/>
          </w:tcPr>
          <w:p>
            <w:pPr>
              <w:jc w:val="center"/>
              <w:ind w:right="20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220" w:type="dxa"/>
            <w:vAlign w:val="bottom"/>
          </w:tcPr>
          <w:p>
            <w:pPr>
              <w:spacing w:after="0"/>
              <w:rPr>
                <w:sz w:val="13"/>
                <w:szCs w:val="13"/>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r>
    </w:tbl>
    <w:p>
      <w:pPr>
        <w:spacing w:after="0" w:line="292" w:lineRule="exact"/>
        <w:rPr>
          <w:sz w:val="20"/>
          <w:szCs w:val="20"/>
          <w:color w:val="auto"/>
        </w:rPr>
      </w:pPr>
    </w:p>
    <w:p>
      <w:pPr>
        <w:ind w:left="140" w:hanging="135"/>
        <w:spacing w:after="0"/>
        <w:tabs>
          <w:tab w:leader="none" w:pos="140"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Shown as a negative number when the position is sold short.</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Shown in Accounts Payable, Accrued Expenses, and Other Liabilities in the accompanying consolidated balance sheets.</w:t>
      </w:r>
    </w:p>
    <w:p>
      <w:pPr>
        <w:spacing w:after="0" w:line="17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 operations for the years ended December 31, 2023, 2022 and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04"/>
        </w:trPr>
        <w:tc>
          <w:tcPr>
            <w:tcW w:w="27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60" w:type="dxa"/>
            <w:vAlign w:val="bottom"/>
          </w:tcPr>
          <w:p>
            <w:pPr>
              <w:spacing w:after="0"/>
              <w:rPr>
                <w:sz w:val="9"/>
                <w:szCs w:val="9"/>
                <w:color w:val="auto"/>
              </w:rPr>
            </w:pPr>
          </w:p>
        </w:tc>
        <w:tc>
          <w:tcPr>
            <w:tcW w:w="1220" w:type="dxa"/>
            <w:vAlign w:val="bottom"/>
            <w:gridSpan w:val="2"/>
          </w:tcPr>
          <w:p>
            <w:pPr>
              <w:ind w:left="18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260" w:type="dxa"/>
            <w:vAlign w:val="bottom"/>
          </w:tcPr>
          <w:p>
            <w:pPr>
              <w:spacing w:after="0"/>
              <w:rPr>
                <w:sz w:val="9"/>
                <w:szCs w:val="9"/>
                <w:color w:val="auto"/>
              </w:rPr>
            </w:pPr>
          </w:p>
        </w:tc>
        <w:tc>
          <w:tcPr>
            <w:tcW w:w="1220" w:type="dxa"/>
            <w:vAlign w:val="bottom"/>
            <w:gridSpan w:val="2"/>
          </w:tcPr>
          <w:p>
            <w:pPr>
              <w:ind w:left="16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240" w:type="dxa"/>
            <w:vAlign w:val="bottom"/>
          </w:tcPr>
          <w:p>
            <w:pPr>
              <w:spacing w:after="0"/>
              <w:rPr>
                <w:sz w:val="9"/>
                <w:szCs w:val="9"/>
                <w:color w:val="auto"/>
              </w:rPr>
            </w:pPr>
          </w:p>
        </w:tc>
        <w:tc>
          <w:tcPr>
            <w:tcW w:w="1220" w:type="dxa"/>
            <w:vAlign w:val="bottom"/>
            <w:gridSpan w:val="2"/>
          </w:tcPr>
          <w:p>
            <w:pPr>
              <w:ind w:left="18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9"/>
                <w:szCs w:val="9"/>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0" w:type="dxa"/>
            <w:vAlign w:val="bottom"/>
          </w:tcPr>
          <w:p>
            <w:pPr>
              <w:spacing w:after="0"/>
              <w:rPr>
                <w:sz w:val="1"/>
                <w:szCs w:val="1"/>
                <w:color w:val="auto"/>
              </w:rPr>
            </w:pPr>
          </w:p>
        </w:tc>
      </w:tr>
      <w:tr>
        <w:trPr>
          <w:trHeight w:val="153"/>
        </w:trPr>
        <w:tc>
          <w:tcPr>
            <w:tcW w:w="270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2023, the Company entered into one-year employment agreements with its named executive officers.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Company’s obligations and commitments, as of December 31, 2023 for future minimum cash payments required under operating lease and employment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Employment Agreements</w:t>
            </w:r>
            <w:r>
              <w:rPr>
                <w:rFonts w:ascii="Times New Roman" w:cs="Times New Roman" w:eastAsia="Times New Roman" w:hAnsi="Times New Roman"/>
                <w:sz w:val="14"/>
                <w:szCs w:val="14"/>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auto"/>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7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Employment agreements with certain of the Company’s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December 31, 2023, the Company had accrued an immaterial reserve that we believe is appropriate to cover potential settlements.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At December 31, 2023, the Company had $125.4 million of unfunded commitments consisting of $20.4 million in connection with its SBA 7(a) loans, $81.0 million in connection with its SBA 504 loans, $13.1 million in connection with its alternative lending program loans, and $10.9 million relating to commercial and industrial loans. The Company anticipates these commitments will be funded from the same sources it used to fund its other loan commitments.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15—STOCK 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Plans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9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2023 Plan</w:t>
            </w:r>
            <w:r>
              <w:rPr>
                <w:rFonts w:ascii="Times New Roman" w:cs="Times New Roman" w:eastAsia="Times New Roman" w:hAnsi="Times New Roman"/>
                <w:sz w:val="18"/>
                <w:szCs w:val="18"/>
                <w:color w:val="auto"/>
                <w:vertAlign w:val="superscript"/>
              </w:rPr>
              <w:t>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 Plan</w:t>
            </w:r>
          </w:p>
        </w:tc>
      </w:tr>
      <w:tr>
        <w:trPr>
          <w:trHeight w:val="171"/>
        </w:trPr>
        <w:tc>
          <w:tcPr>
            <w:tcW w:w="79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1</w:t>
            </w:r>
          </w:p>
        </w:tc>
        <w:tc>
          <w:tcPr>
            <w:tcW w:w="13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3.0 million</w:t>
            </w:r>
          </w:p>
        </w:tc>
        <w:tc>
          <w:tcPr>
            <w:tcW w:w="80" w:type="dxa"/>
            <w:vAlign w:val="bottom"/>
          </w:tcPr>
          <w:p>
            <w:pPr>
              <w:spacing w:after="0"/>
              <w:rPr>
                <w:sz w:val="14"/>
                <w:szCs w:val="14"/>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0"/>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2020 and prior</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(223)</w:t>
            </w:r>
          </w:p>
        </w:tc>
      </w:tr>
      <w:tr>
        <w:trPr>
          <w:trHeight w:val="18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(215)</w:t>
            </w:r>
          </w:p>
        </w:tc>
      </w:tr>
      <w:tr>
        <w:trPr>
          <w:trHeight w:val="180"/>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(251)</w:t>
            </w:r>
          </w:p>
        </w:tc>
      </w:tr>
      <w:tr>
        <w:trPr>
          <w:trHeight w:val="18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3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13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(661)</w:t>
            </w:r>
          </w:p>
        </w:tc>
      </w:tr>
      <w:tr>
        <w:trPr>
          <w:trHeight w:val="20"/>
        </w:trPr>
        <w:tc>
          <w:tcPr>
            <w:tcW w:w="7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40" w:hanging="135"/>
        <w:spacing w:after="0"/>
        <w:tabs>
          <w:tab w:leader="none" w:pos="140"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stock options were granted under the 2015 or 2023 Stock Incentive Plan.</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2023 Stock Incentive Plan provides for an initial share reserve of up to 3.0 million shares of Common Stock.</w:t>
      </w:r>
    </w:p>
    <w:p>
      <w:pPr>
        <w:spacing w:after="0" w:line="17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Awards of restricted stock granted under the 2015 and 2023 Stock Incentive Plans generally vest over a one- to three-year period from the grant date; awards of restricted stock granted under the 2023 Stock Incentive Plan to non-employee directors generally vest over a one-year period. The fair value is expensed over the service period, starting on the grant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2023, 2022, and 2021, the Company recognized total stock-based compensation expense of $2.8 million, $2.5 million, and $2.1 million, respectively.</w:t>
      </w:r>
    </w:p>
    <w:p>
      <w:pPr>
        <w:spacing w:after="0" w:line="20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of December 31, 2023, there was $3.6 million of total unrecognized compensation expense related to unvested shares of restricted stock granted. This compensation expense is expected to be recognized over a remaining weighted-average period of approximately 1.7 years as of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outstanding</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has 345 thousand shares outstanding related to grants of restricted stock awards. The awards were issued at a weighted average grant date fair value of $19.18. In addition, there are 44 thousand shares outstanding relating to dividends on unvested restricted stock awards as of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2023 and 2022, additional shares were issued related to dividends on unvested shares of restricted stock granted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0" w:type="dxa"/>
            <w:vAlign w:val="bottom"/>
            <w:gridSpan w:val="7"/>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440" w:type="dxa"/>
            <w:vAlign w:val="bottom"/>
          </w:tcPr>
          <w:p>
            <w:pPr>
              <w:spacing w:after="0"/>
              <w:rPr>
                <w:sz w:val="13"/>
                <w:szCs w:val="13"/>
                <w:color w:val="auto"/>
              </w:rPr>
            </w:pPr>
          </w:p>
        </w:tc>
        <w:tc>
          <w:tcPr>
            <w:tcW w:w="2500" w:type="dxa"/>
            <w:vAlign w:val="bottom"/>
            <w:gridSpan w:val="6"/>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59"/>
        </w:trPr>
        <w:tc>
          <w:tcPr>
            <w:tcW w:w="5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3"/>
            <w:shd w:val="clear" w:color="auto" w:fill="CCEEFF"/>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440" w:type="dxa"/>
            <w:vAlign w:val="bottom"/>
            <w:tcBorders>
              <w:top w:val="single" w:sz="8" w:color="auto"/>
            </w:tcBorders>
            <w:gridSpan w:val="3"/>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gridSpan w:val="4"/>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420" w:type="dxa"/>
            <w:vAlign w:val="bottom"/>
            <w:tcBorders>
              <w:top w:val="single" w:sz="8" w:color="auto"/>
            </w:tcBorders>
            <w:gridSpan w:val="3"/>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r>
      <w:tr>
        <w:trPr>
          <w:trHeight w:val="175"/>
        </w:trPr>
        <w:tc>
          <w:tcPr>
            <w:tcW w:w="5300" w:type="dxa"/>
            <w:vAlign w:val="bottom"/>
            <w:tcBorders>
              <w:top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Dividends on Unvested Shares of Restricted Stock Grants</w:t>
            </w:r>
          </w:p>
        </w:tc>
        <w:tc>
          <w:tcPr>
            <w:tcW w:w="980" w:type="dxa"/>
            <w:vAlign w:val="bottom"/>
            <w:tcBorders>
              <w:top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19</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$263</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$646</w:t>
            </w:r>
          </w:p>
        </w:tc>
        <w:tc>
          <w:tcPr>
            <w:tcW w:w="440" w:type="dxa"/>
            <w:vAlign w:val="bottom"/>
            <w:tcBorders>
              <w:top w:val="single" w:sz="8" w:color="auto"/>
            </w:tcBorders>
          </w:tcPr>
          <w:p>
            <w:pPr>
              <w:spacing w:after="0"/>
              <w:rPr>
                <w:sz w:val="15"/>
                <w:szCs w:val="15"/>
                <w:color w:val="auto"/>
              </w:rPr>
            </w:pPr>
          </w:p>
        </w:tc>
      </w:tr>
      <w:tr>
        <w:trPr>
          <w:trHeight w:val="855"/>
        </w:trPr>
        <w:tc>
          <w:tcPr>
            <w:tcW w:w="5300" w:type="dxa"/>
            <w:vAlign w:val="bottom"/>
          </w:tcPr>
          <w:p>
            <w:pPr>
              <w:spacing w:after="0"/>
              <w:rPr>
                <w:sz w:val="24"/>
                <w:szCs w:val="24"/>
                <w:color w:val="auto"/>
              </w:rPr>
            </w:pPr>
          </w:p>
        </w:tc>
        <w:tc>
          <w:tcPr>
            <w:tcW w:w="15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F-59</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7"/>
        </w:trPr>
        <w:tc>
          <w:tcPr>
            <w:tcW w:w="5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On February 3, 2023, we entered into a Securities Purchase Agreement with Patriot Financial Partners IV, L.P., and Patriot Financial Partners Parallel IV, L.P. in respect of 20 thousand shares of the Company’s Series A Convertible Preferred Stock, par value $0.02 per share, in a private placement transaction. The aggregate purchase price was $20.0 million. Each share of Series A Preferred Stock was issued at a price of $1.0 thousand per share and is convertible at the holder’s option into 47.54053782 shares of the Company’s Common Stock. The Company had not issued preferred stock prior to February 3,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4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On February 3, 2023, the Company issued warrants to Patriot to purchase, in the aggregate, 47.54 shares of Common Stock for $21.03468 per share. The Warrants are exercisable in whole or in part until the ten year anniversary of the closing of the transaction and may be exercised for cash or on a “net share” basis, with the number of shares withheld determined based on the closing price of the Common Stock on the date of such exercise. Warrants are included in Other Liabilities on the Consolidated Statements of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ATM Program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June 25, 2020, the Company entered into the 2020 ATM Equity Distribution Agreement. On July 20, 2022, the Company entered into Amendment No. 1 to the 2020 ATM Equity Distribution Agreement. The 2020 ATM Equity Distribution Agreement, as amended, provided that the Company may offer and sell up to 6.4 million shares of common stock from time to time through the placement agents. The ATM program was suspended as of January 6, 2023, when the Company did not have an effective shelf registration statement in place. The following table summarizes the total shares sold and net proceeds received under the 2020 ATM Equity Distribution Agreement:</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60" w:type="dxa"/>
            <w:vAlign w:val="bottom"/>
          </w:tcPr>
          <w:p>
            <w:pPr>
              <w:spacing w:after="0"/>
              <w:rPr>
                <w:sz w:val="13"/>
                <w:szCs w:val="13"/>
                <w:color w:val="auto"/>
              </w:rPr>
            </w:pPr>
          </w:p>
        </w:tc>
        <w:tc>
          <w:tcPr>
            <w:tcW w:w="18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r>
      <w:tr>
        <w:trPr>
          <w:trHeight w:val="18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sold</w:t>
            </w:r>
          </w:p>
        </w:tc>
        <w:tc>
          <w:tcPr>
            <w:tcW w:w="1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1,940</w:t>
            </w: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76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25.91</w:t>
            </w: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76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50,261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net proceeds for funding investments in debt and equity securities in accordance with its investment objective and strategies.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ATM Program</w:t>
      </w:r>
    </w:p>
    <w:p>
      <w:pPr>
        <w:spacing w:after="0" w:line="19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as amended, provided that the Company may offer and sell up to 3.0 million shares of common stock from time to time through the placement agents. The Company may, subject to market conditions, engage in activity under the current ATM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February 3, 2023, the Company issued 20 thousand shares of the Company’s Series A Convertible Preferred Stock, par value $0.02 per share, in a private placement transaction. The aggregate purchase price was $20.0 million. Each share of Series A Preferred Stock was issued at a price of $1.0 thousand per share and is convertible at the holder’s option into 47.54 shares of the Company’s Common Stock. During the year ended December 31, 2023 the Company had $1.5 million in dividends on its preferred stock. No preferred dividends were paid during the year ended December 31, 2022.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4"/>
          <w:szCs w:val="14"/>
          <w:color w:val="auto"/>
        </w:rPr>
        <w:t>The Company’s dividends and distributions on the Company’s common shares are recorded on the declaration date. On November 7, 2023, the Company issued a 30-day notice of its termination of the DRIP. The following table summarizes the Company’s dividend declarations and distributions during the years ended December 31, 2023 and 2022:</w:t>
      </w: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2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20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Cash Distribution</w:t>
            </w: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DRIP Shares</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DRIP</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gridSpan w:val="3"/>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 Value</w:t>
            </w:r>
          </w:p>
        </w:tc>
        <w:tc>
          <w:tcPr>
            <w:tcW w:w="0" w:type="dxa"/>
            <w:vAlign w:val="bottom"/>
          </w:tcPr>
          <w:p>
            <w:pPr>
              <w:spacing w:after="0"/>
              <w:rPr>
                <w:sz w:val="1"/>
                <w:szCs w:val="1"/>
                <w:color w:val="auto"/>
              </w:rPr>
            </w:pPr>
          </w:p>
        </w:tc>
      </w:tr>
      <w:tr>
        <w:trPr>
          <w:trHeight w:val="112"/>
        </w:trPr>
        <w:tc>
          <w:tcPr>
            <w:tcW w:w="20" w:type="dxa"/>
            <w:vAlign w:val="bottom"/>
            <w:tcBorders>
              <w:top w:val="single" w:sz="8" w:color="auto"/>
            </w:tcBorders>
            <w:shd w:val="clear" w:color="auto" w:fill="CCEEFF"/>
          </w:tcPr>
          <w:p>
            <w:pPr>
              <w:spacing w:after="0"/>
              <w:rPr>
                <w:sz w:val="9"/>
                <w:szCs w:val="9"/>
                <w:color w:val="auto"/>
              </w:rPr>
            </w:pPr>
          </w:p>
        </w:tc>
        <w:tc>
          <w:tcPr>
            <w:tcW w:w="3100" w:type="dxa"/>
            <w:vAlign w:val="bottom"/>
            <w:tcBorders>
              <w:top w:val="single" w:sz="8" w:color="auto"/>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80" w:type="dxa"/>
            <w:vAlign w:val="bottom"/>
            <w:tcBorders>
              <w:top w:val="single" w:sz="8" w:color="CCEEFF"/>
            </w:tcBorders>
            <w:shd w:val="clear" w:color="auto" w:fill="CCEEFF"/>
          </w:tcPr>
          <w:p>
            <w:pPr>
              <w:spacing w:after="0"/>
              <w:rPr>
                <w:sz w:val="9"/>
                <w:szCs w:val="9"/>
                <w:color w:val="auto"/>
              </w:rPr>
            </w:pPr>
          </w:p>
        </w:tc>
        <w:tc>
          <w:tcPr>
            <w:tcW w:w="1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27, 2023</w:t>
            </w:r>
          </w:p>
        </w:tc>
        <w:tc>
          <w:tcPr>
            <w:tcW w:w="26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April 4, 2023</w:t>
            </w:r>
          </w:p>
        </w:tc>
        <w:tc>
          <w:tcPr>
            <w:tcW w:w="18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99"/>
              </w:rPr>
              <w:t>April 14, 2023</w:t>
            </w:r>
          </w:p>
        </w:tc>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4,291</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2023</w:t>
            </w:r>
          </w:p>
        </w:tc>
        <w:tc>
          <w:tcPr>
            <w:tcW w:w="26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July 10, 2023</w:t>
            </w:r>
          </w:p>
        </w:tc>
        <w:tc>
          <w:tcPr>
            <w:tcW w:w="18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July 21, 2023</w:t>
            </w:r>
          </w:p>
        </w:tc>
        <w:tc>
          <w:tcPr>
            <w:tcW w:w="6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4,293</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27, 2023</w:t>
            </w:r>
          </w:p>
        </w:tc>
        <w:tc>
          <w:tcPr>
            <w:tcW w:w="26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October 10, 2023</w:t>
            </w:r>
          </w:p>
        </w:tc>
        <w:tc>
          <w:tcPr>
            <w:tcW w:w="18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October 20, 2023</w:t>
            </w:r>
          </w:p>
        </w:tc>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4,293</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11, 2023</w:t>
            </w:r>
          </w:p>
        </w:tc>
        <w:tc>
          <w:tcPr>
            <w:tcW w:w="26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December 29, 2023</w:t>
            </w:r>
          </w:p>
        </w:tc>
        <w:tc>
          <w:tcPr>
            <w:tcW w:w="180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January 12, 2024</w:t>
            </w:r>
          </w:p>
        </w:tc>
        <w:tc>
          <w:tcPr>
            <w:tcW w:w="6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4,371</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39"/>
        </w:trPr>
        <w:tc>
          <w:tcPr>
            <w:tcW w:w="2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6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20, 2021</w:t>
            </w:r>
          </w:p>
        </w:tc>
        <w:tc>
          <w:tcPr>
            <w:tcW w:w="104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center"/>
              <w:ind w:left="529"/>
              <w:spacing w:after="0"/>
              <w:rPr>
                <w:sz w:val="20"/>
                <w:szCs w:val="20"/>
                <w:color w:val="auto"/>
              </w:rPr>
            </w:pPr>
            <w:r>
              <w:rPr>
                <w:rFonts w:ascii="Times New Roman" w:cs="Times New Roman" w:eastAsia="Times New Roman" w:hAnsi="Times New Roman"/>
                <w:sz w:val="14"/>
                <w:szCs w:val="14"/>
                <w:color w:val="auto"/>
              </w:rPr>
              <w:t>March 21, 2022</w:t>
            </w:r>
          </w:p>
        </w:tc>
        <w:tc>
          <w:tcPr>
            <w:tcW w:w="1800" w:type="dxa"/>
            <w:vAlign w:val="bottom"/>
            <w:tcBorders>
              <w:top w:val="single" w:sz="8" w:color="CCEEFF"/>
            </w:tcBorders>
          </w:tcPr>
          <w:p>
            <w:pPr>
              <w:jc w:val="center"/>
              <w:ind w:left="109"/>
              <w:spacing w:after="0"/>
              <w:rPr>
                <w:sz w:val="20"/>
                <w:szCs w:val="20"/>
                <w:color w:val="auto"/>
              </w:rPr>
            </w:pPr>
            <w:r>
              <w:rPr>
                <w:rFonts w:ascii="Times New Roman" w:cs="Times New Roman" w:eastAsia="Times New Roman" w:hAnsi="Times New Roman"/>
                <w:sz w:val="14"/>
                <w:szCs w:val="14"/>
                <w:color w:val="auto"/>
              </w:rPr>
              <w:t>March 31, 2022</w:t>
            </w:r>
          </w:p>
        </w:tc>
        <w:tc>
          <w:tcPr>
            <w:tcW w:w="660" w:type="dxa"/>
            <w:vAlign w:val="bottom"/>
            <w:tcBorders>
              <w:top w:val="single" w:sz="8" w:color="CCEEFF"/>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0.65</w:t>
            </w:r>
          </w:p>
        </w:tc>
        <w:tc>
          <w:tcPr>
            <w:tcW w:w="420" w:type="dxa"/>
            <w:vAlign w:val="bottom"/>
            <w:tcBorders>
              <w:top w:val="single" w:sz="8" w:color="CCEEFF"/>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CCEEFF"/>
            </w:tcBorders>
          </w:tcPr>
          <w:p>
            <w:pPr>
              <w:jc w:val="right"/>
              <w:ind w:right="269"/>
              <w:spacing w:after="0"/>
              <w:rPr>
                <w:sz w:val="20"/>
                <w:szCs w:val="20"/>
                <w:color w:val="auto"/>
              </w:rPr>
            </w:pPr>
            <w:r>
              <w:rPr>
                <w:rFonts w:ascii="Times New Roman" w:cs="Times New Roman" w:eastAsia="Times New Roman" w:hAnsi="Times New Roman"/>
                <w:sz w:val="14"/>
                <w:szCs w:val="14"/>
                <w:color w:val="auto"/>
              </w:rPr>
              <w:t>15,361</w:t>
            </w:r>
          </w:p>
        </w:tc>
        <w:tc>
          <w:tcPr>
            <w:tcW w:w="54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tcBorders>
              <w:top w:val="single" w:sz="8" w:color="CCEEFF"/>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20, 2022</w:t>
            </w:r>
          </w:p>
        </w:tc>
        <w:tc>
          <w:tcPr>
            <w:tcW w:w="26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June 20, 2022</w:t>
            </w:r>
          </w:p>
        </w:tc>
        <w:tc>
          <w:tcPr>
            <w:tcW w:w="180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June 30, 2022</w:t>
            </w:r>
          </w:p>
        </w:tc>
        <w:tc>
          <w:tcPr>
            <w:tcW w:w="6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0.75</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17,634</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4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80"/>
        </w:trPr>
        <w:tc>
          <w:tcPr>
            <w:tcW w:w="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30, 2022</w:t>
            </w:r>
          </w:p>
        </w:tc>
        <w:tc>
          <w:tcPr>
            <w:tcW w:w="26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w w:val="99"/>
              </w:rPr>
              <w:t>September 20, 2022</w:t>
            </w:r>
          </w:p>
        </w:tc>
        <w:tc>
          <w:tcPr>
            <w:tcW w:w="18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September 30, 2022</w:t>
            </w:r>
          </w:p>
        </w:tc>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0.65</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15,325</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80"/>
        </w:trPr>
        <w:tc>
          <w:tcPr>
            <w:tcW w:w="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17, 2022</w:t>
            </w:r>
          </w:p>
        </w:tc>
        <w:tc>
          <w:tcPr>
            <w:tcW w:w="26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December 20, 2022</w:t>
            </w:r>
          </w:p>
        </w:tc>
        <w:tc>
          <w:tcPr>
            <w:tcW w:w="180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December 30, 2022</w:t>
            </w:r>
          </w:p>
        </w:tc>
        <w:tc>
          <w:tcPr>
            <w:tcW w:w="6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0.70</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16,224</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4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17—REGULATORY CAPITAL:</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NewtekOne, Inc. as of December 31, 2023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2023</w:t>
            </w:r>
          </w:p>
        </w:tc>
        <w:tc>
          <w:tcPr>
            <w:tcW w:w="20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50,153</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4" w:lineRule="exact"/>
        <w:rPr>
          <w:sz w:val="20"/>
          <w:szCs w:val="20"/>
          <w:color w:val="auto"/>
        </w:rPr>
      </w:pPr>
    </w:p>
    <w:p>
      <w:pPr>
        <w:ind w:left="140" w:hanging="135"/>
        <w:spacing w:after="0"/>
        <w:tabs>
          <w:tab w:leader="none" w:pos="140" w:val="left"/>
        </w:tabs>
        <w:numPr>
          <w:ilvl w:val="0"/>
          <w:numId w:val="7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Exclusive of the capital conservation buffer of 2.5% of risk-weighted assets.</w:t>
      </w:r>
    </w:p>
    <w:p>
      <w:pPr>
        <w:spacing w:after="0" w:line="17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Capital amounts and ratios for Newtek Bank as of December 31, 2023, are presented in the table below. As of December 31, 2023, Newtek Bank was categorized as “well-capitalized” under the prompt corrective action measures and met the capital conservation buffer requirements.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2023</w:t>
            </w: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93"/>
              </w:rPr>
              <w:t>Ratio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3"/>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29,866</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30,026</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44" w:lineRule="exact"/>
        <w:rPr>
          <w:sz w:val="20"/>
          <w:szCs w:val="20"/>
          <w:color w:val="auto"/>
        </w:rPr>
      </w:pPr>
    </w:p>
    <w:p>
      <w:pPr>
        <w:ind w:left="140" w:hanging="135"/>
        <w:spacing w:after="0"/>
        <w:tabs>
          <w:tab w:leader="none" w:pos="140" w:val="left"/>
        </w:tabs>
        <w:numPr>
          <w:ilvl w:val="0"/>
          <w:numId w:val="7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18—EARNINGS PER SHARE:</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71"/>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32"/>
        </w:trPr>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49"/>
              <w:spacing w:after="0" w:line="133" w:lineRule="exact"/>
              <w:rPr>
                <w:sz w:val="20"/>
                <w:szCs w:val="20"/>
                <w:color w:val="auto"/>
              </w:rPr>
            </w:pPr>
            <w:r>
              <w:rPr>
                <w:rFonts w:ascii="Times New Roman" w:cs="Times New Roman" w:eastAsia="Times New Roman" w:hAnsi="Times New Roman"/>
                <w:sz w:val="14"/>
                <w:szCs w:val="14"/>
                <w:color w:val="auto"/>
              </w:rPr>
              <w:t>Financial Holding</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87"/>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4"/>
                <w:szCs w:val="14"/>
                <w:color w:val="auto"/>
                <w:w w:val="94"/>
              </w:rPr>
              <w:t>Company</w:t>
            </w:r>
            <w:r>
              <w:rPr>
                <w:rFonts w:ascii="Times New Roman" w:cs="Times New Roman" w:eastAsia="Times New Roman" w:hAnsi="Times New Roman"/>
                <w:sz w:val="18"/>
                <w:szCs w:val="18"/>
                <w:color w:val="auto"/>
                <w:w w:val="94"/>
                <w:vertAlign w:val="superscript"/>
              </w:rPr>
              <w:t>1,2</w:t>
            </w:r>
          </w:p>
        </w:tc>
        <w:tc>
          <w:tcPr>
            <w:tcW w:w="160" w:type="dxa"/>
            <w:vAlign w:val="bottom"/>
          </w:tcPr>
          <w:p>
            <w:pPr>
              <w:spacing w:after="0"/>
              <w:rPr>
                <w:sz w:val="16"/>
                <w:szCs w:val="16"/>
                <w:color w:val="auto"/>
              </w:rPr>
            </w:pPr>
          </w:p>
        </w:tc>
        <w:tc>
          <w:tcPr>
            <w:tcW w:w="17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4"/>
                <w:szCs w:val="14"/>
                <w:color w:val="auto"/>
                <w:w w:val="99"/>
              </w:rPr>
              <w:t>Investment Company</w:t>
            </w:r>
            <w:r>
              <w:rPr>
                <w:rFonts w:ascii="Times New Roman" w:cs="Times New Roman" w:eastAsia="Times New Roman" w:hAnsi="Times New Roman"/>
                <w:sz w:val="18"/>
                <w:szCs w:val="18"/>
                <w:color w:val="auto"/>
                <w:w w:val="99"/>
                <w:vertAlign w:val="superscript"/>
              </w:rPr>
              <w:t>4</w:t>
            </w:r>
          </w:p>
        </w:tc>
        <w:tc>
          <w:tcPr>
            <w:tcW w:w="160" w:type="dxa"/>
            <w:vAlign w:val="bottom"/>
          </w:tcPr>
          <w:p>
            <w:pPr>
              <w:spacing w:after="0"/>
              <w:rPr>
                <w:sz w:val="16"/>
                <w:szCs w:val="16"/>
                <w:color w:val="auto"/>
              </w:rPr>
            </w:pPr>
          </w:p>
        </w:tc>
        <w:tc>
          <w:tcPr>
            <w:tcW w:w="1560" w:type="dxa"/>
            <w:vAlign w:val="bottom"/>
          </w:tcPr>
          <w:p>
            <w:pPr>
              <w:jc w:val="right"/>
              <w:ind w:right="169"/>
              <w:spacing w:after="0" w:line="188" w:lineRule="exact"/>
              <w:rPr>
                <w:sz w:val="20"/>
                <w:szCs w:val="20"/>
                <w:color w:val="auto"/>
              </w:rPr>
            </w:pPr>
            <w:r>
              <w:rPr>
                <w:rFonts w:ascii="Times New Roman" w:cs="Times New Roman" w:eastAsia="Times New Roman" w:hAnsi="Times New Roman"/>
                <w:sz w:val="14"/>
                <w:szCs w:val="14"/>
                <w:color w:val="auto"/>
              </w:rPr>
              <w:t>Investment Company</w:t>
            </w:r>
            <w:r>
              <w:rPr>
                <w:rFonts w:ascii="Times New Roman" w:cs="Times New Roman" w:eastAsia="Times New Roman" w:hAnsi="Times New Roman"/>
                <w:sz w:val="18"/>
                <w:szCs w:val="18"/>
                <w:color w:val="auto"/>
                <w:vertAlign w:val="superscript"/>
              </w:rPr>
              <w:t>4</w:t>
            </w:r>
          </w:p>
        </w:tc>
      </w:tr>
      <w:tr>
        <w:trPr>
          <w:trHeight w:val="16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80"/>
        </w:trPr>
        <w:tc>
          <w:tcPr>
            <w:tcW w:w="5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84,142</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basic shares outstanding</w:t>
            </w: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68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tcBorders>
              <w:bottom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1.89</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3.69</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42"/>
        </w:trPr>
        <w:tc>
          <w:tcPr>
            <w:tcW w:w="5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80"/>
        </w:trPr>
        <w:tc>
          <w:tcPr>
            <w:tcW w:w="5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84,142</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w:t>
            </w:r>
          </w:p>
        </w:tc>
      </w:tr>
      <w:tr>
        <w:trPr>
          <w:trHeight w:val="180"/>
        </w:trPr>
        <w:tc>
          <w:tcPr>
            <w:tcW w:w="56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Add effect of dilutive warrants and restricted stock awards</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diluted shares outstanding</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24,348</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w:t>
            </w:r>
          </w:p>
        </w:tc>
      </w:tr>
      <w:tr>
        <w:trPr>
          <w:trHeight w:val="171"/>
        </w:trPr>
        <w:tc>
          <w:tcPr>
            <w:tcW w:w="5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warrants and restricted stock awards</w:t>
            </w: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40" w:hanging="135"/>
        <w:spacing w:after="0"/>
        <w:tabs>
          <w:tab w:leader="none" w:pos="140" w:val="left"/>
        </w:tabs>
        <w:numPr>
          <w:ilvl w:val="0"/>
          <w:numId w:val="7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years ended December 31, 2023, the convertible preferred stock was not included in the diluted share count because the result would have been anti-dilutive under the if-converted method.</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7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years ended December 31, 2023, the Warrants have an anti-dilutive impact on earnings per share.</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7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Incremental diluted shares from restricted stock awards under the treasury stock method.</w:t>
      </w:r>
    </w:p>
    <w:p>
      <w:pPr>
        <w:spacing w:after="0" w:line="1" w:lineRule="exact"/>
        <w:rPr>
          <w:rFonts w:ascii="Times New Roman" w:cs="Times New Roman" w:eastAsia="Times New Roman" w:hAnsi="Times New Roman"/>
          <w:sz w:val="17"/>
          <w:szCs w:val="17"/>
          <w:color w:val="auto"/>
          <w:vertAlign w:val="superscript"/>
        </w:rPr>
      </w:pPr>
    </w:p>
    <w:p>
      <w:pPr>
        <w:ind w:left="140" w:right="80" w:hanging="135"/>
        <w:spacing w:after="0" w:line="220" w:lineRule="auto"/>
        <w:tabs>
          <w:tab w:leader="none" w:pos="155" w:val="left"/>
        </w:tabs>
        <w:numPr>
          <w:ilvl w:val="0"/>
          <w:numId w:val="7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 ASC 260-10-15-3, presentation of EPS was not required for investment companies that comply with the requirements of ASC 946, or in the financial statements of wholly-owned subsidiaries. EPS presentation disclosures are now required as the Company is no longer subject to FASB Topic 946 as a financial holding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19—LEASES: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three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color w:val="auto"/>
        </w:rPr>
        <w:t>The following table summarizes supplemental cash flow and other information related to our operating leases: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(operating cash flows)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tc>
        <w:tc>
          <w:tcPr>
            <w:tcW w:w="14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2.88 years</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4.41 years</w:t>
            </w:r>
          </w:p>
        </w:tc>
        <w:tc>
          <w:tcPr>
            <w:tcW w:w="1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5.30 years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tcBorders>
              <w:left w:val="single" w:sz="8" w:color="CCEEFF"/>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Total lease costs</w:t>
            </w:r>
            <w:r>
              <w:rPr>
                <w:rFonts w:ascii="Times New Roman" w:cs="Times New Roman" w:eastAsia="Times New Roman" w:hAnsi="Times New Roman"/>
                <w:sz w:val="18"/>
                <w:szCs w:val="18"/>
                <w:color w:val="auto"/>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$894</w:t>
            </w:r>
          </w:p>
        </w:tc>
        <w:tc>
          <w:tcPr>
            <w:tcW w:w="0" w:type="dxa"/>
            <w:vAlign w:val="bottom"/>
          </w:tcPr>
          <w:p>
            <w:pPr>
              <w:spacing w:after="0"/>
              <w:rPr>
                <w:sz w:val="1"/>
                <w:szCs w:val="1"/>
                <w:color w:val="auto"/>
              </w:rPr>
            </w:pPr>
          </w:p>
        </w:tc>
      </w:tr>
      <w:tr>
        <w:trPr>
          <w:trHeight w:val="363"/>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in Other general and administrative costs on the consolidated statements of operations.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represents the maturity of the Company’s operating lease liabilities as of December 31, 2023:</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Maturity of Lease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vMerge w:val="continue"/>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0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7,502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Less: Imputed interest</w:t>
            </w: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70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4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2023, 2022 and 2021, the Company matched 50% of the first 2% of employee contributions, resulting in $0.4 million, $0.1 million and $0.1 million in expense,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 (ESPP)</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 The following table summarizes the Company’s ESPP activity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Borders>
              <w:bottom w:val="single" w:sz="8" w:color="auto"/>
            </w:tcBorders>
          </w:tcPr>
          <w:p>
            <w:pPr>
              <w:spacing w:after="0"/>
              <w:rPr>
                <w:sz w:val="16"/>
                <w:szCs w:val="16"/>
                <w:color w:val="auto"/>
              </w:rPr>
            </w:pPr>
          </w:p>
        </w:tc>
      </w:tr>
      <w:tr>
        <w:trPr>
          <w:trHeight w:val="171"/>
        </w:trPr>
        <w:tc>
          <w:tcPr>
            <w:tcW w:w="816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Offering Period 1</w:t>
            </w:r>
          </w:p>
        </w:tc>
        <w:tc>
          <w:tcPr>
            <w:tcW w:w="840" w:type="dxa"/>
            <w:vAlign w:val="bottom"/>
            <w:tcBorders>
              <w:bottom w:val="single" w:sz="8" w:color="auto"/>
            </w:tcBorders>
          </w:tcPr>
          <w:p>
            <w:pPr>
              <w:spacing w:after="0"/>
              <w:rPr>
                <w:sz w:val="14"/>
                <w:szCs w:val="14"/>
                <w:color w:val="auto"/>
              </w:rPr>
            </w:pPr>
          </w:p>
        </w:tc>
      </w:tr>
      <w:tr>
        <w:trPr>
          <w:trHeight w:val="17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date</w:t>
            </w:r>
          </w:p>
        </w:tc>
        <w:tc>
          <w:tcPr>
            <w:tcW w:w="2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12/15/2023</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purchased</w:t>
            </w:r>
          </w:p>
        </w:tc>
        <w:tc>
          <w:tcPr>
            <w:tcW w:w="2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21—INCOME TAXES:</w:t>
      </w:r>
    </w:p>
    <w:p>
      <w:pPr>
        <w:spacing w:after="0" w:line="202"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4"/>
          <w:szCs w:val="14"/>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While the Company operated as a RIC, it was required to distribute</w:t>
      </w:r>
    </w:p>
    <w:p>
      <w:pPr>
        <w:spacing w:after="0" w:line="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substantially all of its respective net taxable income each tax year as dividends to its shareholders. Accordingly, for the period December 31, 2022, no provision for federal income tax was made in the financial statements. For 2023, the Company no longer qualifies as a RIC and instead will file a consolidated U.S. federal income tax return. Financial holding companies are subject to federal and state income taxes in essentially the same manner as other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of the Company’s former consolidated holding companies is undergoing a NYS tax audit for the fiscal years ended December 31, 2020 and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 and Net Operating Losses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effective tax rate was (4.31)% for the years ended December 31, 2023. The effective tax rate differs from the federal tax rate of 21% for the years ended December 31, 2023 due primarily to the recognition of subsidiary federal net operating losses (“NOLs”) expected to be realized in a federal consolidated return setting and other discrete items.</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At December 31, 2022, the Company had NOLs in the amount of $35.4 million. Certain of these NOLs ($4.6 million) expire in 2029 through 2037 with the remainder NOLs ($30.8 million) having indefinite lives. The Company expects to apply $23.8 million of the total NOLs against 2023 taxable income and will carry forward the remaining balance of $11.6 million to apply against future taxable income. The Tax Cuts &amp; Jobs Act of 2017 limits the amount of net operating loss utilized each year after December 31, 2020 to 80% of taxable income.</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and its subsidiaries’ federal income tax returns are generally open to review by the tax authorities for the tax years ended in 2019 and beyond. However, the Company’s NOLs continue to be subject to review by tax authorities in the period utilized notwithstanding origination in closed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material interest and penalties recorded in the income statement for the years ended December 31, 2023,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for the year ended December 31, 2023,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660" w:type="dxa"/>
            <w:vAlign w:val="bottom"/>
            <w:shd w:val="clear" w:color="auto" w:fill="CCEEFF"/>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income tax expense:</w:t>
            </w:r>
          </w:p>
        </w:tc>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61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18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7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w:t>
            </w:r>
          </w:p>
        </w:tc>
      </w:tr>
      <w:tr>
        <w:trPr>
          <w:trHeight w:val="171"/>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current expense</w:t>
            </w:r>
          </w:p>
        </w:tc>
        <w:tc>
          <w:tcPr>
            <w:tcW w:w="5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expense:</w:t>
            </w:r>
          </w:p>
        </w:tc>
        <w:tc>
          <w:tcPr>
            <w:tcW w:w="5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5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r>
      <w:tr>
        <w:trPr>
          <w:trHeight w:val="18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7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71"/>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deferred expense</w:t>
            </w:r>
          </w:p>
        </w:tc>
        <w:tc>
          <w:tcPr>
            <w:tcW w:w="57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r>
      <w:tr>
        <w:trPr>
          <w:trHeight w:val="171"/>
        </w:trPr>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income tax expense</w:t>
            </w:r>
          </w:p>
        </w:tc>
        <w:tc>
          <w:tcPr>
            <w:tcW w:w="572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20"/>
        </w:trPr>
        <w:tc>
          <w:tcPr>
            <w:tcW w:w="36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41"/>
        </w:trPr>
        <w:tc>
          <w:tcPr>
            <w:tcW w:w="3660" w:type="dxa"/>
            <w:vAlign w:val="bottom"/>
          </w:tcPr>
          <w:p>
            <w:pPr>
              <w:spacing w:after="0"/>
              <w:rPr>
                <w:sz w:val="24"/>
                <w:szCs w:val="24"/>
                <w:color w:val="auto"/>
              </w:rPr>
            </w:pPr>
          </w:p>
        </w:tc>
        <w:tc>
          <w:tcPr>
            <w:tcW w:w="6120" w:type="dxa"/>
            <w:vAlign w:val="bottom"/>
            <w:gridSpan w:val="2"/>
          </w:tcPr>
          <w:p>
            <w:pPr>
              <w:jc w:val="right"/>
              <w:ind w:right="3929"/>
              <w:spacing w:after="0"/>
              <w:rPr>
                <w:sz w:val="20"/>
                <w:szCs w:val="20"/>
                <w:color w:val="auto"/>
              </w:rPr>
            </w:pPr>
            <w:r>
              <w:rPr>
                <w:rFonts w:ascii="Times New Roman" w:cs="Times New Roman" w:eastAsia="Times New Roman" w:hAnsi="Times New Roman"/>
                <w:sz w:val="14"/>
                <w:szCs w:val="14"/>
                <w:color w:val="auto"/>
              </w:rPr>
              <w:t>F-64</w:t>
            </w:r>
          </w:p>
        </w:tc>
        <w:tc>
          <w:tcPr>
            <w:tcW w:w="1500" w:type="dxa"/>
            <w:vAlign w:val="bottom"/>
          </w:tcPr>
          <w:p>
            <w:pPr>
              <w:spacing w:after="0"/>
              <w:rPr>
                <w:sz w:val="24"/>
                <w:szCs w:val="24"/>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57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color w:val="auto"/>
        </w:rPr>
        <w:t>Income taxes for financial reporting purposes differ from the amount computed by applying the statutory federal income tax rate of 21% as shown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income computed at statutory federal income tax rate</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9,528</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taxes resulting from:</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income tax, net of federal tax effect</w:t>
            </w: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Non-deductible expenses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788</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Realization of net operating loss carryforwards</w:t>
            </w: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(7,430)</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DTA realization due to change in taxpayer status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(5,550)</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(203)</w:t>
            </w:r>
          </w:p>
        </w:tc>
      </w:tr>
      <w:tr>
        <w:trPr>
          <w:trHeight w:val="17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(1,956)</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435"/>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Significant components of the Company’s net deferred tax asset at December 31 are listed below:</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3"/>
        </w:trPr>
        <w:tc>
          <w:tcPr>
            <w:tcW w:w="75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2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1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Accounting, net</w:t>
            </w:r>
          </w:p>
        </w:tc>
        <w:tc>
          <w:tcPr>
            <w:tcW w:w="1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Compensation</w:t>
            </w:r>
          </w:p>
        </w:tc>
        <w:tc>
          <w:tcPr>
            <w:tcW w:w="12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1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Federal and state net operating losses, net of federal tax effect</w:t>
            </w:r>
          </w:p>
        </w:tc>
        <w:tc>
          <w:tcPr>
            <w:tcW w:w="1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w:t>
            </w:r>
          </w:p>
        </w:tc>
        <w:tc>
          <w:tcPr>
            <w:tcW w:w="1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19,194</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Rights</w:t>
            </w:r>
          </w:p>
        </w:tc>
        <w:tc>
          <w:tcPr>
            <w:tcW w:w="12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1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12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19,194</w:t>
            </w: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729" w:right="319" w:bottom="1440" w:gutter="0" w:footer="0" w:header="0"/>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details of the expiration dates for Company’s net operating loss carryforwards at December 31,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operating losses - federal</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Expiring: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Years ended 2029 - 2035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Years ended 2036 - 2043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3100" w:type="dxa"/>
            <w:vAlign w:val="bottom"/>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6"/>
        </w:trPr>
        <w:tc>
          <w:tcPr>
            <w:tcW w:w="5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Deferred Tax Asset Balance</w:t>
            </w:r>
          </w:p>
        </w:tc>
      </w:tr>
      <w:tr>
        <w:trPr>
          <w:trHeight w:val="167"/>
        </w:trPr>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0" w:type="dxa"/>
            <w:vAlign w:val="bottom"/>
          </w:tcPr>
          <w:p>
            <w:pPr>
              <w:spacing w:after="0"/>
              <w:rPr>
                <w:sz w:val="15"/>
                <w:szCs w:val="15"/>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w:t>
            </w:r>
          </w:p>
        </w:tc>
      </w:tr>
      <w:tr>
        <w:trPr>
          <w:trHeight w:val="171"/>
        </w:trPr>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260"/>
            <w:col w:w="3620"/>
          </w:cols>
          <w:pgMar w:left="300" w:top="729" w:right="31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color w:val="auto"/>
        </w:rPr>
        <w:t>NOTE 22—SEGMENTS:</w:t>
      </w:r>
    </w:p>
    <w:p>
      <w:pPr>
        <w:spacing w:after="0" w:line="19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w:t>
      </w:r>
    </w:p>
    <w:p>
      <w:pPr>
        <w:spacing w:after="0" w:line="15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held outside Newtek Bank, no new originating activity takes place. NSBF’s legacy portfolio consists of SBA 7(a) Loans, a material portion of which reside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securitization trusts.</w:t>
      </w:r>
    </w:p>
    <w:p>
      <w:pPr>
        <w:spacing w:after="0"/>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Includes NMS, POS and Mobil Money. NMS markets credit and debit card processing services, check approval services, processing equipment, and software and:</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7" w:lineRule="exact"/>
        <w:rPr>
          <w:sz w:val="20"/>
          <w:szCs w:val="20"/>
          <w:color w:val="auto"/>
        </w:rPr>
      </w:pPr>
    </w:p>
    <w:p>
      <w:pPr>
        <w:ind w:left="520" w:right="120" w:hanging="255"/>
        <w:spacing w:after="0" w:line="243"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6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NTS provides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within two years of becoming a financial holding company, subject to any extension of the two-year period.</w:t>
      </w:r>
    </w:p>
    <w:p>
      <w:pPr>
        <w:spacing w:after="0" w:line="15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The information provided under the caption “Corporate and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condensed consolidated financial statements prepared in conformity with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 financial information for the Company's segments: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Technology</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NSBF</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34,349</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50,823</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 provision for loan</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58,375</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32,108</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(34,869)</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00" w:type="dxa"/>
            <w:vAlign w:val="bottom"/>
            <w:vMerge w:val="continue"/>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683,202</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23,404</w:t>
            </w:r>
          </w:p>
        </w:tc>
        <w:tc>
          <w:tcPr>
            <w:tcW w:w="80" w:type="dxa"/>
            <w:vAlign w:val="bottom"/>
          </w:tcPr>
          <w:p>
            <w:pPr>
              <w:spacing w:after="0"/>
              <w:rPr>
                <w:sz w:val="12"/>
                <w:szCs w:val="12"/>
                <w:color w:val="auto"/>
              </w:rPr>
            </w:pPr>
          </w:p>
        </w:tc>
        <w:tc>
          <w:tcPr>
            <w:tcW w:w="2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633,207</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51,819</w:t>
            </w:r>
          </w:p>
        </w:tc>
        <w:tc>
          <w:tcPr>
            <w:tcW w:w="8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726,002</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(688,121)</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1,429,513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5"/>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F-66</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23—SUPPLEMENTAL FINANCIAL DATA:</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2022 and 2021 when we operated as a BDC, in accordance with the SEC’s Regulation S-X and GAAP, we were not permitted to consolidate any subsidiary or other entity that is not an investment company, including those in which we have a controlling interest.</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had two unconsolidated subsidiaries that met at least one of the significance conditions under Rule 1-02(w) of Regulation S-X during certain periods presented for which we were previously required, pursuant to Rule 3-09 of Regulation S-X, to attach separate financial statements as exhibits to the Form 10-K for the years ended December 31, 2022 and 2021. Refer to our 2022 Form 10-K filed March 15, 2023 and exhibits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24—SELECTED QUARTERLY FINANCIAL DATA (UNAUDITED):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Revisions to Prior Period Quarterly Consolidated Financial Statements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As of January 6, 2023, the Company is no longer subject to Financial Accounting Standard Board Accounting Standards Codification (FASB) Topic (ASC) 946 Financial Services – Investment Companies, which resulted in a significant change in the Company’s accounting and financial reporting requirements for the year ended December 31, 2023. For example, the Company is required to consolidate the financial statements of what was previously referred to as our controlled or majority-owned investments together with those already consolidated by the Company. In accordance with ASC 946, prior to January 6, 2023, the Company was required to account for investments, loans and other receivables at fair value. For fiscal year ended December 31, 2023, the Company is now required to account for debt securities under ASC 320, loans and other receivables, including modifications and restructurings under ASC 310, and must apply the current expected credit loss model to each of these financial instruments under ASC 326. Additionally, management continues to elect the fair value option of accounting under ASC 825 for certain financial instruments. Finally, as a result of the conversion, the Company no longer qualifies as a RIC for federal income tax purposes, and no longer qualifies for accounting treatment as an investment company, therefore management has been required to expend significant efforts in order to implement these changes in accounting and financial reporting requirements.</w:t>
      </w:r>
    </w:p>
    <w:p>
      <w:pPr>
        <w:spacing w:after="0" w:line="17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condensed comparative financial statements have been adjusted to correct errors made in the Company’s financial statements previously issued for the first, second, and third quarters of 2023. These adjustments include the following adjustments for the year-to-date period ended September 30, 2023:</w:t>
      </w:r>
    </w:p>
    <w:p>
      <w:pPr>
        <w:spacing w:after="0" w:line="145" w:lineRule="exact"/>
        <w:rPr>
          <w:sz w:val="20"/>
          <w:szCs w:val="20"/>
          <w:color w:val="auto"/>
        </w:rPr>
      </w:pPr>
    </w:p>
    <w:p>
      <w:pPr>
        <w:ind w:left="520" w:right="20" w:hanging="260"/>
        <w:spacing w:after="0" w:line="229" w:lineRule="auto"/>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Accounting for deferred loan origination fees and costs, net, under ASC 310 resulting for the year-to-date period ended September 30, 2023, in (a) a $5.1 million and $5.7 million decrease in non-interest income and non-interest expense, respectively, and (b) net increases to pretax income of $0.6 million (the Company was not applying the standard to its SBA 7(a) HFI at amortized cost or to its SBA 504 HFS at LCM portfolios);</w:t>
      </w:r>
    </w:p>
    <w:p>
      <w:pPr>
        <w:ind w:left="520" w:right="160" w:hanging="260"/>
        <w:spacing w:after="0" w:line="221" w:lineRule="auto"/>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Calculating EPS under ASC 260 (a) exclude stock compensation awards from average basic shares outstanding and (b) adjust average diluted shares to reflect the (i) treasury stock method for stock compensation awards and warrants and (ii) the if-converted method for preferred stock and (c) adjusting the allocation under the two-class method to align with the contractual limitations for preferred stock, all of which result in quarterly increases per share for both basic and diluted EPS for the first three quarters of 2023;</w:t>
      </w:r>
    </w:p>
    <w:p>
      <w:pPr>
        <w:jc w:val="both"/>
        <w:ind w:left="520" w:right="100" w:hanging="260"/>
        <w:spacing w:after="0" w:line="224" w:lineRule="auto"/>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Establishing net deferred net tax assets and income taxes receivable under ASC 740 in conjunction with the common control transaction, as of January 6, 2023, specifically to recognize (a) the book tax differences on the inside basis of the assets and liabilities that were consolidated as of that date (b) net amounts receivable from tax authorities and © deferred tax assets arising from a change in taxpayer filing status in conjunction with the Reorganization, all of which resulted in increased net deferred tax assets and income taxes receivable of $10.0 million and an increase to additional paid in capital of $2.9 million and an income tax benefit of $7.1 million. The results of these adjustments impacted period end balances on the statements of financial condition and year-to-date amounts on the statements of income for each period presented;</w:t>
      </w:r>
    </w:p>
    <w:p>
      <w:pPr>
        <w:spacing w:after="0" w:line="1" w:lineRule="exact"/>
        <w:rPr>
          <w:rFonts w:ascii="Times New Roman" w:cs="Times New Roman" w:eastAsia="Times New Roman" w:hAnsi="Times New Roman"/>
          <w:sz w:val="16"/>
          <w:szCs w:val="16"/>
          <w:color w:val="auto"/>
        </w:rPr>
      </w:pPr>
    </w:p>
    <w:p>
      <w:pPr>
        <w:ind w:left="520" w:right="240" w:hanging="260"/>
        <w:spacing w:after="0" w:line="221" w:lineRule="auto"/>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Establishing certain servicing assets under ASC 860 in conjunction with the common control transaction and servicing assets that stemmed from loan originations that occurred following January 6, 2023, resulting in a $1.0 million increase in non-interest income and a $1.5 million increase in servicing assets; and</w:t>
      </w:r>
    </w:p>
    <w:p>
      <w:pPr>
        <w:ind w:left="520" w:right="60" w:hanging="260"/>
        <w:spacing w:after="0" w:line="263"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adjusting opening balance sheet entry in conjunction with common control transaction to correct (a) net understatements of goodwill and intangibles and stockholders’ equity resulting in respective increases of $3.9 million and (b) amortization of intangible assets.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year-to-date and quarterly impact of these adjustments for the periods presented are outlined in the unaudited tables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Financial Condition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30, 2023</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43"/>
              <w:spacing w:after="0" w:line="159"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Adjustment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As Adjusted</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3"/>
              <w:spacing w:after="0" w:line="159"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Adjustment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As Adjusted</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3"/>
              <w:spacing w:after="0" w:line="159"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Adjustment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As Adjusted</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due from banks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223,692</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223,692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256,333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197,143</w:t>
            </w:r>
          </w:p>
        </w:tc>
        <w:tc>
          <w:tcPr>
            <w:tcW w:w="0" w:type="dxa"/>
            <w:vAlign w:val="bottom"/>
          </w:tcPr>
          <w:p>
            <w:pPr>
              <w:spacing w:after="0"/>
              <w:rPr>
                <w:sz w:val="1"/>
                <w:szCs w:val="1"/>
                <w:color w:val="auto"/>
              </w:rPr>
            </w:pPr>
          </w:p>
        </w:tc>
      </w:tr>
      <w:tr>
        <w:trPr>
          <w:trHeight w:val="107"/>
        </w:trPr>
        <w:tc>
          <w:tcPr>
            <w:tcW w:w="2120" w:type="dxa"/>
            <w:vAlign w:val="bottom"/>
          </w:tcPr>
          <w:p>
            <w:pPr>
              <w:ind w:left="20"/>
              <w:spacing w:after="0" w:line="107" w:lineRule="exact"/>
              <w:rPr>
                <w:sz w:val="20"/>
                <w:szCs w:val="20"/>
                <w:color w:val="auto"/>
              </w:rPr>
            </w:pPr>
            <w:r>
              <w:rPr>
                <w:rFonts w:ascii="Times New Roman" w:cs="Times New Roman" w:eastAsia="Times New Roman" w:hAnsi="Times New Roman"/>
                <w:sz w:val="11"/>
                <w:szCs w:val="11"/>
                <w:color w:val="auto"/>
              </w:rPr>
              <w:t>Loans held for investment, at amortized cost,</w:t>
            </w:r>
          </w:p>
        </w:tc>
        <w:tc>
          <w:tcPr>
            <w:tcW w:w="1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272,725</w:t>
            </w: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180" w:type="dxa"/>
            <w:vAlign w:val="bottom"/>
          </w:tcPr>
          <w:p>
            <w:pPr>
              <w:spacing w:after="0"/>
              <w:rPr>
                <w:sz w:val="9"/>
                <w:szCs w:val="9"/>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273,378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213,501</w:t>
            </w: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80" w:type="dxa"/>
            <w:vAlign w:val="bottom"/>
          </w:tcPr>
          <w:p>
            <w:pPr>
              <w:spacing w:after="0"/>
              <w:rPr>
                <w:sz w:val="9"/>
                <w:szCs w:val="9"/>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213,795</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164,639</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164,648</w:t>
            </w:r>
          </w:p>
        </w:tc>
        <w:tc>
          <w:tcPr>
            <w:tcW w:w="0" w:type="dxa"/>
            <w:vAlign w:val="bottom"/>
          </w:tcPr>
          <w:p>
            <w:pPr>
              <w:spacing w:after="0"/>
              <w:rPr>
                <w:sz w:val="1"/>
                <w:szCs w:val="1"/>
                <w:color w:val="auto"/>
              </w:rPr>
            </w:pPr>
          </w:p>
        </w:tc>
      </w:tr>
      <w:tr>
        <w:trPr>
          <w:trHeight w:val="158"/>
        </w:trPr>
        <w:tc>
          <w:tcPr>
            <w:tcW w:w="212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net</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&amp; intangibles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27,157</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4,154</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27,595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31,667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32,091</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 net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8,656</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7,599</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16,255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8,005</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12,627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4,706</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8,120</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12,826</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Servicing assets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36,774</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35,754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36,238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33,351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33,679</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48,430</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49,848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46,670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48,211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49,850</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51,479</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 other assets</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760,720</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760,720</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852,150</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852,150</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767,933</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767,933</w:t>
            </w: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1,378,154</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15,341</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1,393,495</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1,436,625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14,396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1,451,021</w:t>
            </w: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1,245,723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1,259,799</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Deposits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432,559</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432,559</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447,357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447,357</w:t>
            </w:r>
          </w:p>
        </w:tc>
        <w:tc>
          <w:tcPr>
            <w:tcW w:w="6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247,574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247,574</w:t>
            </w:r>
          </w:p>
        </w:tc>
        <w:tc>
          <w:tcPr>
            <w:tcW w:w="0" w:type="dxa"/>
            <w:vAlign w:val="bottom"/>
          </w:tcPr>
          <w:p>
            <w:pPr>
              <w:spacing w:after="0"/>
              <w:rPr>
                <w:sz w:val="1"/>
                <w:szCs w:val="1"/>
                <w:color w:val="auto"/>
              </w:rPr>
            </w:pPr>
          </w:p>
        </w:tc>
      </w:tr>
      <w:tr>
        <w:trPr>
          <w:trHeight w:val="116"/>
        </w:trPr>
        <w:tc>
          <w:tcPr>
            <w:tcW w:w="21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Accounts payable, accrued expenses and</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36,509</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36,671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37,512</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37,674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44,912</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44,912</w:t>
            </w:r>
          </w:p>
        </w:tc>
        <w:tc>
          <w:tcPr>
            <w:tcW w:w="0" w:type="dxa"/>
            <w:vAlign w:val="bottom"/>
          </w:tcPr>
          <w:p>
            <w:pPr>
              <w:spacing w:after="0"/>
              <w:rPr>
                <w:sz w:val="1"/>
                <w:szCs w:val="1"/>
                <w:color w:val="auto"/>
              </w:rPr>
            </w:pPr>
          </w:p>
        </w:tc>
      </w:tr>
      <w:tr>
        <w:trPr>
          <w:trHeight w:val="15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 other liabilities</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682,063</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682,063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730,541</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730,541</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734,727</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734,727</w:t>
            </w:r>
          </w:p>
        </w:tc>
        <w:tc>
          <w:tcPr>
            <w:tcW w:w="0" w:type="dxa"/>
            <w:vAlign w:val="bottom"/>
          </w:tcPr>
          <w:p>
            <w:pPr>
              <w:spacing w:after="0"/>
              <w:rPr>
                <w:sz w:val="1"/>
                <w:szCs w:val="1"/>
                <w:color w:val="auto"/>
              </w:rPr>
            </w:pPr>
          </w:p>
        </w:tc>
      </w:tr>
      <w:tr>
        <w:trPr>
          <w:trHeight w:val="15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1,151,131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1,151,293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1,215,410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1,215,572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1,027,213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1,027,213</w:t>
            </w: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 Other Equity</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20,045</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20,026</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20,147</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20,147</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16,065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6,832</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13,879</w:t>
            </w:r>
          </w:p>
        </w:tc>
        <w:tc>
          <w:tcPr>
            <w:tcW w:w="0" w:type="dxa"/>
            <w:vAlign w:val="bottom"/>
          </w:tcPr>
          <w:p>
            <w:pPr>
              <w:spacing w:after="0"/>
              <w:rPr>
                <w:sz w:val="1"/>
                <w:szCs w:val="1"/>
                <w:color w:val="auto"/>
              </w:rPr>
            </w:pPr>
          </w:p>
        </w:tc>
      </w:tr>
      <w:tr>
        <w:trPr>
          <w:trHeight w:val="15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APIC</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192,711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7,244</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199,955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192,114</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7,244</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199,358</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191,316</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7,244</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198,560</w:t>
            </w:r>
          </w:p>
        </w:tc>
        <w:tc>
          <w:tcPr>
            <w:tcW w:w="0" w:type="dxa"/>
            <w:vAlign w:val="bottom"/>
          </w:tcPr>
          <w:p>
            <w:pPr>
              <w:spacing w:after="0"/>
              <w:rPr>
                <w:sz w:val="1"/>
                <w:szCs w:val="1"/>
                <w:color w:val="auto"/>
              </w:rPr>
            </w:pPr>
          </w:p>
        </w:tc>
      </w:tr>
      <w:tr>
        <w:trPr>
          <w:trHeight w:val="15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227,023</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15,179</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242,202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221,215</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14,234</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235,449</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218,510</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232,586</w:t>
            </w: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&amp; Shareholders Equity</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1,378,154</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15,341</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1,393,495</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1,436,625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14,396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1,451,021</w:t>
            </w: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1,245,723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1,259,799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Certain amounts labeled “As Reported” have been reclassified to conform to current period 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Periods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8"/>
              </w:rPr>
              <w:t>March 31, 2023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0"/>
        </w:trPr>
        <w:tc>
          <w:tcPr>
            <w:tcW w:w="22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As Reported</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3"/>
              <w:spacing w:after="0" w:line="150"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Adjustment</w:t>
            </w: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As Adjusted</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3"/>
              <w:spacing w:after="0" w:line="150" w:lineRule="exact"/>
              <w:rPr>
                <w:sz w:val="20"/>
                <w:szCs w:val="20"/>
                <w:color w:val="auto"/>
              </w:rPr>
            </w:pPr>
            <w:r>
              <w:rPr>
                <w:rFonts w:ascii="Times New Roman" w:cs="Times New Roman" w:eastAsia="Times New Roman" w:hAnsi="Times New Roman"/>
                <w:sz w:val="11"/>
                <w:szCs w:val="11"/>
                <w:color w:val="auto"/>
                <w:w w:val="99"/>
              </w:rPr>
              <w:t>As Reported</w:t>
            </w:r>
            <w:r>
              <w:rPr>
                <w:rFonts w:ascii="Times New Roman" w:cs="Times New Roman" w:eastAsia="Times New Roman" w:hAnsi="Times New Roman"/>
                <w:sz w:val="14"/>
                <w:szCs w:val="14"/>
                <w:color w:val="auto"/>
                <w:w w:val="99"/>
                <w:vertAlign w:val="superscript"/>
              </w:rPr>
              <w:t>1</w:t>
            </w: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Adjustment</w:t>
            </w: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As Adjusted</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3"/>
              <w:spacing w:after="0" w:line="150" w:lineRule="exact"/>
              <w:rPr>
                <w:sz w:val="20"/>
                <w:szCs w:val="20"/>
                <w:color w:val="auto"/>
              </w:rPr>
            </w:pPr>
            <w:r>
              <w:rPr>
                <w:rFonts w:ascii="Times New Roman" w:cs="Times New Roman" w:eastAsia="Times New Roman" w:hAnsi="Times New Roman"/>
                <w:sz w:val="11"/>
                <w:szCs w:val="11"/>
                <w:color w:val="auto"/>
                <w:w w:val="99"/>
              </w:rPr>
              <w:t>As Reported</w:t>
            </w:r>
            <w:r>
              <w:rPr>
                <w:rFonts w:ascii="Times New Roman" w:cs="Times New Roman" w:eastAsia="Times New Roman" w:hAnsi="Times New Roman"/>
                <w:sz w:val="14"/>
                <w:szCs w:val="14"/>
                <w:color w:val="auto"/>
                <w:w w:val="99"/>
                <w:vertAlign w:val="superscript"/>
              </w:rPr>
              <w:t>1</w:t>
            </w: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Adjustment</w:t>
            </w: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As Adjusted</w:t>
            </w:r>
          </w:p>
        </w:tc>
      </w:tr>
      <w:tr>
        <w:trPr>
          <w:trHeight w:val="15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22,553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18,715</w:t>
            </w:r>
          </w:p>
        </w:tc>
      </w:tr>
      <w:tr>
        <w:trPr>
          <w:trHeight w:val="153"/>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18,068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18,659</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18,659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16,880</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16,880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14,132</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14,132</w:t>
            </w:r>
          </w:p>
        </w:tc>
      </w:tr>
      <w:tr>
        <w:trPr>
          <w:trHeight w:val="15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8,077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4,583</w:t>
            </w: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3,446</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2,575</w:t>
            </w: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1,318</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1,318</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gains on sales of loans</w:t>
            </w:r>
          </w:p>
        </w:tc>
        <w:tc>
          <w:tcPr>
            <w:tcW w:w="1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12,718</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13,208</w:t>
            </w: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6,367</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Technology and IT support income</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5,499</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6,709</w:t>
            </w: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1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25,395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24,683</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21,897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26,761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29,552</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29,280</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expense</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Salaries and benefits</w:t>
            </w:r>
          </w:p>
        </w:tc>
        <w:tc>
          <w:tcPr>
            <w:tcW w:w="1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(1,574)</w:t>
            </w: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19,418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19,119</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19,073</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loan origination and maintenance expense</w:t>
            </w:r>
          </w:p>
        </w:tc>
        <w:tc>
          <w:tcPr>
            <w:tcW w:w="1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3,405</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3,559</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2,781</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expense</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15,028</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16,378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16,378</w:t>
            </w:r>
          </w:p>
        </w:tc>
      </w:tr>
      <w:tr>
        <w:trPr>
          <w:trHeight w:val="153"/>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3,011</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3,416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2,524</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(7,089)</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(11,952)</w:t>
            </w:r>
          </w:p>
        </w:tc>
      </w:tr>
      <w:tr>
        <w:trPr>
          <w:trHeight w:val="18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9,975</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2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5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number of shares outstanding</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24,663</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24,609</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24,223</w:t>
            </w: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24,663</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25,588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25,237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24,881</w:t>
            </w:r>
          </w:p>
        </w:tc>
      </w:tr>
      <w:tr>
        <w:trPr>
          <w:trHeight w:val="153"/>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per common share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r>
      <w:tr>
        <w:trPr>
          <w:trHeight w:val="147"/>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0.43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0.38</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0.43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0.28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0.74</w:t>
            </w: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YTD Periods Ended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0" w:type="dxa"/>
            <w:vAlign w:val="bottom"/>
            <w:gridSpan w:val="4"/>
            <w:shd w:val="clear" w:color="auto" w:fill="CCEEFF"/>
          </w:tcPr>
          <w:p>
            <w:pPr>
              <w:jc w:val="center"/>
              <w:ind w:left="763"/>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5"/>
        </w:trPr>
        <w:tc>
          <w:tcPr>
            <w:tcW w:w="40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43"/>
              <w:spacing w:after="0" w:line="155"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Adjustment</w:t>
            </w: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As Adjusted</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23"/>
              <w:spacing w:after="0" w:line="155" w:lineRule="exact"/>
              <w:rPr>
                <w:sz w:val="20"/>
                <w:szCs w:val="20"/>
                <w:color w:val="auto"/>
              </w:rPr>
            </w:pPr>
            <w:r>
              <w:rPr>
                <w:rFonts w:ascii="Times New Roman" w:cs="Times New Roman" w:eastAsia="Times New Roman" w:hAnsi="Times New Roman"/>
                <w:sz w:val="11"/>
                <w:szCs w:val="11"/>
                <w:color w:val="auto"/>
              </w:rPr>
              <w:t>As Reported</w:t>
            </w:r>
            <w:r>
              <w:rPr>
                <w:rFonts w:ascii="Times New Roman" w:cs="Times New Roman" w:eastAsia="Times New Roman" w:hAnsi="Times New Roman"/>
                <w:sz w:val="14"/>
                <w:szCs w:val="14"/>
                <w:color w:val="auto"/>
                <w:vertAlign w:val="superscript"/>
              </w:rPr>
              <w:t>1</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center"/>
              <w:ind w:right="123"/>
              <w:spacing w:after="0"/>
              <w:rPr>
                <w:sz w:val="20"/>
                <w:szCs w:val="20"/>
                <w:color w:val="auto"/>
              </w:rPr>
            </w:pPr>
            <w:r>
              <w:rPr>
                <w:rFonts w:ascii="Times New Roman" w:cs="Times New Roman" w:eastAsia="Times New Roman" w:hAnsi="Times New Roman"/>
                <w:sz w:val="11"/>
                <w:szCs w:val="11"/>
                <w:color w:val="auto"/>
              </w:rPr>
              <w:t>Adjustment</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As Adjusted</w:t>
            </w:r>
          </w:p>
        </w:tc>
      </w:tr>
      <w:tr>
        <w:trPr>
          <w:trHeight w:val="144"/>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68,004</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41,268</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41,268</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49,671</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49,671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31,012</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31,012</w:t>
            </w:r>
          </w:p>
        </w:tc>
      </w:tr>
      <w:tr>
        <w:trPr>
          <w:trHeight w:val="144"/>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18,333</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10,256</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10,256</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3,893</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gains on sales of loans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32,452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19,734</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19,731</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Technology and IT support income</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18,667</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13,168</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13,080</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80,994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(5,267)</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75,727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56,313</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(2,483)</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53,830</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expense:</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benefits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53,837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(2,664)</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51,173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38,537</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37,447</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2,517</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loan origination and maintenance expense</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9,791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(2,861)</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6,386</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5,094</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noninterest expense</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47,746</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47,746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32,718</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32,718</w:t>
            </w:r>
          </w:p>
        </w:tc>
      </w:tr>
      <w:tr>
        <w:trPr>
          <w:trHeight w:val="15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(6,612)</w:t>
            </w: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(5,941)</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(7,018)</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(9,357)</w:t>
            </w:r>
          </w:p>
        </w:tc>
      </w:tr>
      <w:tr>
        <w:trPr>
          <w:trHeight w:val="156"/>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7,935</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36,480</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18,571</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6,990</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25,561</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number of shares outstanding</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24,626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24,608</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24,244</w:t>
            </w: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24,626</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25,423</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24,298</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(loss) per common share</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0.72</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0.31</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r>
      <w:tr>
        <w:trPr>
          <w:trHeight w:val="16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0.31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Certain amounts labeled “As Reported” have been reclassified to conform to current period presentation.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25—NEWTEKONE, INC. - PARENT COMPANY ONLY:</w:t>
      </w:r>
    </w:p>
    <w:p>
      <w:pPr>
        <w:spacing w:after="0" w:line="19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following balance sheets, statements of income and statements of cash flows are for NewtekOne, Inc. and should be read in conjunction with the consolidated financial statements and the notes thereto.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4860" w:type="dxa"/>
            <w:vAlign w:val="bottom"/>
            <w:gridSpan w:val="2"/>
          </w:tcPr>
          <w:p>
            <w:pPr>
              <w:jc w:val="right"/>
              <w:ind w:right="2729"/>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tc>
        <w:tc>
          <w:tcPr>
            <w:tcW w:w="1840" w:type="dxa"/>
            <w:vAlign w:val="bottom"/>
          </w:tcPr>
          <w:p>
            <w:pPr>
              <w:spacing w:after="0"/>
              <w:rPr>
                <w:sz w:val="16"/>
                <w:szCs w:val="16"/>
                <w:color w:val="auto"/>
              </w:rPr>
            </w:pPr>
          </w:p>
        </w:tc>
      </w:tr>
      <w:tr>
        <w:trPr>
          <w:trHeight w:val="341"/>
        </w:trPr>
        <w:tc>
          <w:tcPr>
            <w:tcW w:w="4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8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 financing receivable</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and receivables due from subsidiaries and associated companies</w:t>
            </w:r>
          </w:p>
        </w:tc>
        <w:tc>
          <w:tcPr>
            <w:tcW w:w="4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392,519</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fixed assets (including capitalized leases)</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5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20,159</w:t>
            </w: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431,399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3"/>
        </w:trPr>
        <w:tc>
          <w:tcPr>
            <w:tcW w:w="458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with a remaining maturity of one year or less:</w:t>
            </w:r>
          </w:p>
        </w:tc>
        <w:tc>
          <w:tcPr>
            <w:tcW w:w="4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borrowed money with a remaining maturity of more than one year</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253,888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5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59,495</w:t>
            </w:r>
          </w:p>
        </w:tc>
      </w:tr>
      <w:tr>
        <w:trPr>
          <w:trHeight w:val="17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351,507</w:t>
            </w:r>
          </w:p>
        </w:tc>
      </w:tr>
      <w:tr>
        <w:trPr>
          <w:trHeight w:val="182"/>
        </w:trPr>
        <w:tc>
          <w:tcPr>
            <w:tcW w:w="458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314,187</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5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(254,278)</w:t>
            </w:r>
          </w:p>
        </w:tc>
      </w:tr>
      <w:tr>
        <w:trPr>
          <w:trHeight w:val="17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79,892</w:t>
            </w: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5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431,399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4580" w:type="dxa"/>
            <w:vAlign w:val="bottom"/>
            <w:gridSpan w:val="2"/>
          </w:tcPr>
          <w:p>
            <w:pPr>
              <w:jc w:val="right"/>
              <w:ind w:right="3069"/>
              <w:spacing w:after="0"/>
              <w:rPr>
                <w:sz w:val="20"/>
                <w:szCs w:val="20"/>
                <w:color w:val="auto"/>
              </w:rPr>
            </w:pPr>
            <w:r>
              <w:rPr>
                <w:rFonts w:ascii="Times New Roman" w:cs="Times New Roman" w:eastAsia="Times New Roman" w:hAnsi="Times New Roman"/>
                <w:sz w:val="14"/>
                <w:szCs w:val="14"/>
                <w:b w:val="1"/>
                <w:bCs w:val="1"/>
                <w:color w:val="auto"/>
              </w:rPr>
              <w:t>Statement of Income</w:t>
            </w:r>
          </w:p>
        </w:tc>
        <w:tc>
          <w:tcPr>
            <w:tcW w:w="1880" w:type="dxa"/>
            <w:vAlign w:val="bottom"/>
          </w:tcPr>
          <w:p>
            <w:pPr>
              <w:spacing w:after="0"/>
              <w:rPr>
                <w:sz w:val="16"/>
                <w:szCs w:val="16"/>
                <w:color w:val="auto"/>
              </w:rPr>
            </w:pPr>
          </w:p>
        </w:tc>
      </w:tr>
      <w:tr>
        <w:trPr>
          <w:trHeight w:val="202"/>
        </w:trPr>
        <w:tc>
          <w:tcPr>
            <w:tcW w:w="48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1"/>
        </w:trPr>
        <w:tc>
          <w:tcPr>
            <w:tcW w:w="4820" w:type="dxa"/>
            <w:vAlign w:val="bottom"/>
            <w:tcBorders>
              <w:bottom w:val="single" w:sz="8" w:color="CCEEFF"/>
            </w:tcBorders>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18,797</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loss</w:t>
            </w:r>
          </w:p>
        </w:tc>
        <w:tc>
          <w:tcPr>
            <w:tcW w:w="4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(16,478)</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4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60,317</w:t>
            </w: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operating income</w:t>
            </w:r>
          </w:p>
        </w:tc>
        <w:tc>
          <w:tcPr>
            <w:tcW w:w="4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57,972</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4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w:t>
            </w: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4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equity in undistributed income of subsidiaries</w:t>
            </w: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4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undistributed income of subsidiaries</w:t>
            </w: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36,004</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undistributed income (losses) of subsidiaries and associated companies:</w:t>
            </w:r>
          </w:p>
        </w:tc>
        <w:tc>
          <w:tcPr>
            <w:tcW w:w="4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26,813</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26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62,817</w:t>
            </w:r>
          </w:p>
        </w:tc>
      </w:tr>
      <w:tr>
        <w:trPr>
          <w:trHeight w:val="850"/>
        </w:trPr>
        <w:tc>
          <w:tcPr>
            <w:tcW w:w="4820" w:type="dxa"/>
            <w:vAlign w:val="bottom"/>
          </w:tcPr>
          <w:p>
            <w:pPr>
              <w:spacing w:after="0"/>
              <w:rPr>
                <w:sz w:val="24"/>
                <w:szCs w:val="24"/>
                <w:color w:val="auto"/>
              </w:rPr>
            </w:pPr>
          </w:p>
        </w:tc>
        <w:tc>
          <w:tcPr>
            <w:tcW w:w="4580" w:type="dxa"/>
            <w:vAlign w:val="bottom"/>
            <w:gridSpan w:val="2"/>
          </w:tcPr>
          <w:p>
            <w:pPr>
              <w:jc w:val="right"/>
              <w:ind w:right="3549"/>
              <w:spacing w:after="0"/>
              <w:rPr>
                <w:sz w:val="20"/>
                <w:szCs w:val="20"/>
                <w:color w:val="auto"/>
              </w:rPr>
            </w:pPr>
            <w:r>
              <w:rPr>
                <w:rFonts w:ascii="Times New Roman" w:cs="Times New Roman" w:eastAsia="Times New Roman" w:hAnsi="Times New Roman"/>
                <w:sz w:val="14"/>
                <w:szCs w:val="14"/>
                <w:color w:val="auto"/>
              </w:rPr>
              <w:t>F-70</w:t>
            </w:r>
          </w:p>
        </w:tc>
        <w:tc>
          <w:tcPr>
            <w:tcW w:w="1880" w:type="dxa"/>
            <w:vAlign w:val="bottom"/>
          </w:tcPr>
          <w:p>
            <w:pPr>
              <w:spacing w:after="0"/>
              <w:rPr>
                <w:sz w:val="24"/>
                <w:szCs w:val="24"/>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4"/>
          <w:szCs w:val="14"/>
          <w:b w:val="1"/>
          <w:bCs w:val="1"/>
          <w:color w:val="auto"/>
        </w:rPr>
        <w:t>Statement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Provisions for deferred income taxes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Gain (loss)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Equity in Undistributed (earnings) losses of subs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change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Net change in other asset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Payments for investments in and advances to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Outlays for business acquisitions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provided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Proceeds from issuance of preferred stock</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provided (used) by financing activities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restricted cash - end of period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Borrowings and Maturities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1"/>
        </w:trPr>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37"/>
        </w:trPr>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62,817</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(26,813)</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(40,414)</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(10,759)</w:t>
            </w:r>
          </w:p>
        </w:tc>
      </w:tr>
      <w:tr>
        <w:trPr>
          <w:trHeight w:val="184"/>
        </w:trPr>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7,570</w:t>
            </w:r>
          </w:p>
        </w:tc>
      </w:tr>
      <w:tr>
        <w:trPr>
          <w:trHeight w:val="175"/>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w:t>
            </w:r>
          </w:p>
        </w:tc>
      </w:tr>
      <w:tr>
        <w:trPr>
          <w:trHeight w:val="565"/>
        </w:trPr>
        <w:tc>
          <w:tcPr>
            <w:tcW w:w="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(96,265)</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(21,322)</w:t>
            </w:r>
          </w:p>
        </w:tc>
      </w:tr>
      <w:tr>
        <w:trPr>
          <w:trHeight w:val="184"/>
        </w:trPr>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5"/>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(117,573)</w:t>
            </w:r>
          </w:p>
        </w:tc>
      </w:tr>
      <w:tr>
        <w:trPr>
          <w:trHeight w:val="565"/>
        </w:trPr>
        <w:tc>
          <w:tcPr>
            <w:tcW w:w="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r>
      <w:tr>
        <w:trPr>
          <w:trHeight w:val="180"/>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(14,147)</w:t>
            </w:r>
          </w:p>
        </w:tc>
      </w:tr>
      <w:tr>
        <w:trPr>
          <w:trHeight w:val="184"/>
        </w:trPr>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w:t>
            </w:r>
          </w:p>
        </w:tc>
      </w:tr>
      <w:tr>
        <w:trPr>
          <w:trHeight w:val="175"/>
        </w:trPr>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92,520</w:t>
            </w:r>
          </w:p>
        </w:tc>
      </w:tr>
      <w:tr>
        <w:trPr>
          <w:trHeight w:val="385"/>
        </w:trPr>
        <w:tc>
          <w:tcPr>
            <w:tcW w:w="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(37,927)</w:t>
            </w:r>
          </w:p>
        </w:tc>
      </w:tr>
      <w:tr>
        <w:trPr>
          <w:trHeight w:val="184"/>
        </w:trPr>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51,798</w:t>
            </w:r>
          </w:p>
        </w:tc>
      </w:tr>
      <w:tr>
        <w:trPr>
          <w:trHeight w:val="175"/>
        </w:trPr>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13,871</w:t>
            </w:r>
          </w:p>
        </w:tc>
      </w:tr>
    </w:tbl>
    <w:p>
      <w:pPr>
        <w:spacing w:after="0" w:line="796" w:lineRule="exact"/>
        <w:rPr>
          <w:sz w:val="20"/>
          <w:szCs w:val="20"/>
          <w:color w:val="auto"/>
        </w:rPr>
      </w:pPr>
    </w:p>
    <w:p>
      <w:pPr>
        <w:sectPr>
          <w:pgSz w:w="11900" w:h="16838" w:orient="portrait"/>
          <w:cols w:equalWidth="0" w:num="2">
            <w:col w:w="8360" w:space="720"/>
            <w:col w:w="2200"/>
          </w:cols>
          <w:pgMar w:left="300" w:top="127" w:right="319" w:bottom="1440" w:gutter="0" w:footer="0" w:header="0"/>
        </w:sectPr>
      </w:pPr>
    </w:p>
    <w:p>
      <w:pPr>
        <w:spacing w:after="0" w:line="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Refer to NOTE 12—BORROWINGS for a schedule of borrowings that includes the notes issued by the parent company. Refer to the Liquidity and Capital Resources section of the MD&amp;A under the Contractual Obligations section for a schedule of maturities.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 Capital One Facility. Maximum borrowings under the SPV I Facility are $60.0 million. The lender’s commitments terminate in November 2024, with all amounts due under the SPV I Facility maturing in November 2025. At December 31, 2023, total principal owed by SPV I was $16.3 million. At December 31, 2023, the Company determined that it is not probable that payments would be required to be made under the guarantee.</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II Deutsche Bank Facility. Maximum borrowings under the SPV II Deutsche Bank Facility are $50.0 million. The Deutsche Bank Facility matures in November 2024. At December 31, 2023, total principal owed by SPV II was $6.9 million. At December 31, 2023, the Company determined that it is not probable that payments would be required to be made under the guarantee.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guarantor on the SPV III One Florida Bank Facility. Maximum borrowings under the SPV III One Florida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Bank Facility are $30.0 million. The One Florida Bank Facility matures in May 2025. At December 31, 2023, total principal owed by SPV III was $0.4 million. At December 31, 2023, the Company determined that it is not probable that payments would be required to be made under the guarantee. On April 27, 2023, the SPV III One Florida Bank Facility was amended to increase maximum borrowings under the line to $30.0 million.</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Webster Facility, a term loan facility between NMS with Webster Bank with an aggregate principal amount up to $54.9 million. The Webster Facility matures in November 2027. At December 31, 2023, total principal outstanding was $36.6 million. At December 31, 2023, the Company determined that it is not probable that payments would be required to be made under the guarantee.</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is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19, 2024, the Company declared a first quarter 2024 cash dividend of $0.19 per share, which is payable on April 15, 2024 to shareholders of record as of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11200"/>
          </w:cols>
          <w:pgMar w:left="300" w:top="127" w:right="3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234" w:lineRule="exact"/>
        <w:rPr>
          <w:sz w:val="20"/>
          <w:szCs w:val="20"/>
          <w:color w:val="auto"/>
        </w:rPr>
      </w:pPr>
    </w:p>
    <w:p>
      <w:pPr>
        <w:ind w:right="42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2023, NewtekOne Inc. (the “Company,” “we,” “our,” or “us”) had two classes of securities registered under Section 12 of the Securities Exchange Act of 1934, as amended: (1) our common stock and (2) our debt securities.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 ascribed to them in the Annual Report on Form 10-K to which this Description of Securities is attached as an exhibit.</w:t>
      </w:r>
    </w:p>
    <w:p>
      <w:pPr>
        <w:spacing w:after="0" w:line="230"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Common Stock, $0.02 par value per share</w:t>
      </w:r>
    </w:p>
    <w:p>
      <w:pPr>
        <w:spacing w:after="0" w:line="234" w:lineRule="exact"/>
        <w:rPr>
          <w:sz w:val="20"/>
          <w:szCs w:val="20"/>
          <w:color w:val="auto"/>
        </w:rPr>
      </w:pPr>
    </w:p>
    <w:p>
      <w:pPr>
        <w:ind w:right="30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2023, the authorized capital stock of the Company consisted of 200,000,000 shares of stock, par value $0.02 per share, of which all are designated as common stock except for the 20,000 shares which are designated as Series A Convertible Preferred Stock. Our common stock is traded on the Nasdaq Global Market under the ticker symbol “NEWT.”</w:t>
      </w:r>
    </w:p>
    <w:p>
      <w:pPr>
        <w:spacing w:after="0" w:line="40" w:lineRule="exact"/>
        <w:rPr>
          <w:sz w:val="20"/>
          <w:szCs w:val="20"/>
          <w:color w:val="auto"/>
        </w:rPr>
      </w:pPr>
    </w:p>
    <w:p>
      <w:pPr>
        <w:ind w:right="40" w:firstLine="509"/>
        <w:spacing w:after="0" w:line="309"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4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4"/>
          <w:szCs w:val="14"/>
          <w:color w:val="auto"/>
        </w:rPr>
        <w:t>Under our charter, our Board is authorized to classify and reclassify any unissued shares of stock into other classes or series of stock without obtaining stockholder approval. Our charter also provides that the Board, without any action by our stockholders, may amend the charter from time to time to increase or decrease the aggregate number of shares of stock or the number of shares of stock of any class or series that we have authority to issue.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Options and Restricted Stock</w:t>
      </w:r>
    </w:p>
    <w:p>
      <w:pPr>
        <w:spacing w:after="0" w:line="138"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w:t>
      </w:r>
    </w:p>
    <w:p>
      <w:pPr>
        <w:spacing w:after="0" w:line="125" w:lineRule="exact"/>
        <w:rPr>
          <w:sz w:val="20"/>
          <w:szCs w:val="20"/>
          <w:color w:val="auto"/>
        </w:rPr>
      </w:pPr>
    </w:p>
    <w:p>
      <w:pPr>
        <w:ind w:right="80" w:firstLine="509"/>
        <w:spacing w:after="0" w:line="317" w:lineRule="auto"/>
        <w:rPr>
          <w:sz w:val="20"/>
          <w:szCs w:val="20"/>
          <w:color w:val="auto"/>
        </w:rPr>
      </w:pPr>
      <w:r>
        <w:rPr>
          <w:rFonts w:ascii="Times New Roman" w:cs="Times New Roman" w:eastAsia="Times New Roman" w:hAnsi="Times New Roman"/>
          <w:sz w:val="14"/>
          <w:szCs w:val="14"/>
          <w:color w:val="auto"/>
        </w:rPr>
        <w:t>The 2023 Stock Plan permits us to issue awards of stock options and restricted shares of common stock in an aggregate amount of up to 3,000,000 issued and outstanding shares of common stock as of the effective date of the 2023 Plan. The Compensation, Corporate Governance and Nominating Committee believes that restricted shares of common stock is the best method of encouraging stock ownership in the Company by eligible participants by giving them a proprietary interest in the Company’s performance, which more closely aligns compensation with the</w:t>
      </w:r>
    </w:p>
    <w:p>
      <w:pPr>
        <w:sectPr>
          <w:pgSz w:w="11900" w:h="16838" w:orient="portrait"/>
          <w:cols w:equalWidth="0" w:num="1">
            <w:col w:w="11280"/>
          </w:cols>
          <w:pgMar w:left="300" w:top="125"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color w:val="auto"/>
        </w:rPr>
        <w:t>Company’s performance and provides a means to attract and retain persons of outstanding ability in key positions with the Company.</w:t>
      </w:r>
    </w:p>
    <w:p>
      <w:pPr>
        <w:spacing w:after="0" w:line="232" w:lineRule="exact"/>
        <w:rPr>
          <w:sz w:val="20"/>
          <w:szCs w:val="20"/>
          <w:color w:val="auto"/>
        </w:rPr>
      </w:pPr>
    </w:p>
    <w:p>
      <w:pPr>
        <w:ind w:right="40" w:firstLine="509"/>
        <w:spacing w:after="0" w:line="325"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308" w:lineRule="exact"/>
        <w:rPr>
          <w:sz w:val="20"/>
          <w:szCs w:val="20"/>
          <w:color w:val="auto"/>
        </w:rPr>
      </w:pPr>
    </w:p>
    <w:p>
      <w:pPr>
        <w:ind w:right="40" w:firstLine="509"/>
        <w:spacing w:after="0" w:line="306"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w:t>
      </w:r>
    </w:p>
    <w:p>
      <w:pPr>
        <w:spacing w:after="0" w:line="147"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ectPr>
          <w:pgSz w:w="11900" w:h="16838" w:orient="portrait"/>
          <w:cols w:equalWidth="0" w:num="1">
            <w:col w:w="11260"/>
          </w:cols>
          <w:pgMar w:left="300" w:top="116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127" w:lineRule="exact"/>
        <w:rPr>
          <w:sz w:val="20"/>
          <w:szCs w:val="20"/>
          <w:color w:val="auto"/>
        </w:rPr>
      </w:pPr>
    </w:p>
    <w:p>
      <w:pPr>
        <w:ind w:right="100" w:firstLine="509"/>
        <w:spacing w:after="0" w:line="317"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We believe that the benefits of these provisions outweigh the potential disadvantages of discouraging any such acquisition proposals because, among other things, the negotiation of such proposals may improve their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27" w:lineRule="exact"/>
        <w:rPr>
          <w:sz w:val="20"/>
          <w:szCs w:val="20"/>
          <w:color w:val="auto"/>
        </w:rPr>
      </w:pPr>
    </w:p>
    <w:p>
      <w:pPr>
        <w:ind w:right="120" w:firstLine="509"/>
        <w:spacing w:after="0" w:line="317" w:lineRule="auto"/>
        <w:rPr>
          <w:sz w:val="20"/>
          <w:szCs w:val="20"/>
          <w:color w:val="auto"/>
        </w:rPr>
      </w:pPr>
      <w:r>
        <w:rPr>
          <w:rFonts w:ascii="Times New Roman" w:cs="Times New Roman" w:eastAsia="Times New Roman" w:hAnsi="Times New Roman"/>
          <w:sz w:val="14"/>
          <w:szCs w:val="14"/>
          <w:color w:val="auto"/>
        </w:rPr>
        <w:t>Our Board is divided into three classes of directors serving staggered three-year terms. The first expires in 2024, the second class expires in 2025, and the third class expires in 2026.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27"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138"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twelve.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Our charter provides that a director may be removed only for cause, as defined in our charter, and then only by the affirmative vote of at least two-thirds of the votes entitled to be cast in the election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127" w:lineRule="exact"/>
        <w:rPr>
          <w:sz w:val="20"/>
          <w:szCs w:val="20"/>
          <w:color w:val="auto"/>
        </w:rPr>
      </w:pPr>
    </w:p>
    <w:p>
      <w:pPr>
        <w:ind w:right="100" w:firstLine="509"/>
        <w:spacing w:after="0" w:line="325"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w:t>
      </w:r>
    </w:p>
    <w:p>
      <w:pPr>
        <w:sectPr>
          <w:pgSz w:w="11900" w:h="16838" w:orient="portrait"/>
          <w:cols w:equalWidth="0" w:num="1">
            <w:col w:w="11280"/>
          </w:cols>
          <w:pgMar w:left="300" w:top="1162"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color w:val="auto"/>
        </w:rPr>
        <w:t>discussed below, may have the effect of delaying consideration of a stockholder proposal until the next annual meeting.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127" w:lineRule="exact"/>
        <w:rPr>
          <w:sz w:val="20"/>
          <w:szCs w:val="20"/>
          <w:color w:val="auto"/>
        </w:rPr>
      </w:pPr>
    </w:p>
    <w:p>
      <w:pPr>
        <w:ind w:right="20" w:firstLine="509"/>
        <w:spacing w:after="0" w:line="303"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and the proposal of business to be considered by stockholders may be made only (a) pursuant to our notice of the meeting, (b) by the Board or (c)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spacing w:after="0" w:line="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138" w:lineRule="exact"/>
        <w:rPr>
          <w:sz w:val="20"/>
          <w:szCs w:val="20"/>
          <w:color w:val="auto"/>
        </w:rPr>
      </w:pPr>
    </w:p>
    <w:p>
      <w:pPr>
        <w:jc w:val="both"/>
        <w:ind w:right="100" w:firstLine="509"/>
        <w:spacing w:after="0" w:line="317"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127" w:lineRule="exact"/>
        <w:rPr>
          <w:sz w:val="20"/>
          <w:szCs w:val="20"/>
          <w:color w:val="auto"/>
        </w:rPr>
      </w:pPr>
    </w:p>
    <w:p>
      <w:pPr>
        <w:ind w:firstLine="509"/>
        <w:spacing w:after="0" w:line="309"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and any proposal for our liquidation or dissolution requires the approval of the stockholders entitled to cast at least a majority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w:t>
      </w:r>
    </w:p>
    <w:p>
      <w:pPr>
        <w:sectPr>
          <w:pgSz w:w="11900" w:h="16838" w:orient="portrait"/>
          <w:cols w:equalWidth="0" w:num="1">
            <w:col w:w="11280"/>
          </w:cols>
          <w:pgMar w:left="300" w:top="1164" w:right="319" w:bottom="1440" w:gutter="0" w:footer="0" w:header="0"/>
        </w:sectPr>
      </w:pPr>
    </w:p>
    <w:bookmarkStart w:id="192" w:name="page193"/>
    <w:bookmarkEnd w:id="192"/>
    <w:p>
      <w:pPr>
        <w:ind w:right="140"/>
        <w:spacing w:after="0" w:line="334" w:lineRule="auto"/>
        <w:rPr>
          <w:sz w:val="20"/>
          <w:szCs w:val="20"/>
          <w:color w:val="auto"/>
        </w:rPr>
      </w:pPr>
      <w:r>
        <w:rPr>
          <w:rFonts w:ascii="Times New Roman" w:cs="Times New Roman" w:eastAsia="Times New Roman" w:hAnsi="Times New Roman"/>
          <w:sz w:val="14"/>
          <w:szCs w:val="14"/>
          <w:color w:val="auto"/>
        </w:rPr>
        <w:t>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spacing w:after="0" w:line="125" w:lineRule="exact"/>
        <w:rPr>
          <w:sz w:val="20"/>
          <w:szCs w:val="20"/>
          <w:color w:val="auto"/>
        </w:rPr>
      </w:pPr>
    </w:p>
    <w:p>
      <w:pPr>
        <w:ind w:right="140" w:firstLine="509"/>
        <w:spacing w:after="0" w:line="310" w:lineRule="auto"/>
        <w:rPr>
          <w:sz w:val="20"/>
          <w:szCs w:val="20"/>
          <w:color w:val="auto"/>
        </w:rPr>
      </w:pPr>
      <w:r>
        <w:rPr>
          <w:rFonts w:ascii="Times New Roman" w:cs="Times New Roman" w:eastAsia="Times New Roman" w:hAnsi="Times New Roman"/>
          <w:sz w:val="14"/>
          <w:szCs w:val="14"/>
          <w:color w:val="auto"/>
        </w:rPr>
        <w:t>Our charter and bylaws provide that the Board will have the exclusive power to make, alter, amend or repeal any provision of our bylaws. At meetings of our shareholders held on July 26, 2018, August 2, 2019, July 10, 2020 and September 30, 2022 (collectively, the “Meetings”), the Board recommended that the Company’s shareholders approve an amendment to the Company’s Articles of Amendment and Restatement (the “Charter Amendment”). The shareholder proposals, if passed, would have allowed Company shareholders to amend the Company’s bylaws by the affirmative vote of the holders of a majority of all votes entitled to be cast (the “Charter Amendment Proposals”). The Company’s shareholders failed to pass the Charter Amendment Proposals at each of the Meetings. The Board continues to believe that allowing the Company’s shareholders to amend its Bylaws by the affirmative vote of a majority of all the votes entitled to be cast on the matter is in the Company’s best interests. Therefore, the Company intends to resubmit the Charter Amendment Proposal at the Company’s next meeting of shareholders.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27" w:lineRule="exact"/>
        <w:rPr>
          <w:sz w:val="20"/>
          <w:szCs w:val="20"/>
          <w:color w:val="auto"/>
        </w:rPr>
      </w:pPr>
    </w:p>
    <w:p>
      <w:pPr>
        <w:ind w:right="160" w:firstLine="509"/>
        <w:spacing w:after="0" w:line="334"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shall determine such rights apply.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7" w:lineRule="exact"/>
        <w:rPr>
          <w:sz w:val="20"/>
          <w:szCs w:val="20"/>
          <w:color w:val="auto"/>
        </w:rPr>
      </w:pPr>
    </w:p>
    <w:p>
      <w:pPr>
        <w:ind w:right="20" w:firstLine="509"/>
        <w:spacing w:after="0" w:line="313"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4" w:lineRule="exact"/>
        <w:rPr>
          <w:sz w:val="20"/>
          <w:szCs w:val="20"/>
          <w:color w:val="auto"/>
        </w:rPr>
      </w:pPr>
    </w:p>
    <w:p>
      <w:pPr>
        <w:ind w:left="720" w:hanging="270"/>
        <w:spacing w:after="0"/>
        <w:tabs>
          <w:tab w:leader="none" w:pos="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40" w:lineRule="exact"/>
        <w:rPr>
          <w:rFonts w:ascii="Times New Roman" w:cs="Times New Roman" w:eastAsia="Times New Roman" w:hAnsi="Times New Roman"/>
          <w:sz w:val="14"/>
          <w:szCs w:val="14"/>
          <w:color w:val="auto"/>
        </w:rPr>
      </w:pPr>
    </w:p>
    <w:p>
      <w:pPr>
        <w:ind w:left="740" w:hanging="290"/>
        <w:spacing w:after="0"/>
        <w:tabs>
          <w:tab w:leader="none" w:pos="7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51" w:lineRule="exact"/>
        <w:rPr>
          <w:rFonts w:ascii="Times New Roman" w:cs="Times New Roman" w:eastAsia="Times New Roman" w:hAnsi="Times New Roman"/>
          <w:sz w:val="14"/>
          <w:szCs w:val="14"/>
          <w:color w:val="auto"/>
        </w:rPr>
      </w:pPr>
    </w:p>
    <w:p>
      <w:pPr>
        <w:ind w:left="720" w:hanging="270"/>
        <w:spacing w:after="0"/>
        <w:tabs>
          <w:tab w:leader="none" w:pos="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41" w:lineRule="exact"/>
        <w:rPr>
          <w:sz w:val="20"/>
          <w:szCs w:val="20"/>
          <w:color w:val="auto"/>
        </w:rPr>
      </w:pPr>
    </w:p>
    <w:p>
      <w:pPr>
        <w:ind w:right="140" w:firstLine="509"/>
        <w:spacing w:after="0" w:line="334"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5" w:lineRule="exact"/>
        <w:rPr>
          <w:sz w:val="20"/>
          <w:szCs w:val="20"/>
          <w:color w:val="auto"/>
        </w:rPr>
      </w:pPr>
    </w:p>
    <w:p>
      <w:pPr>
        <w:ind w:firstLine="509"/>
        <w:spacing w:after="0" w:line="325"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ectPr>
          <w:pgSz w:w="11900" w:h="16838" w:orient="portrait"/>
          <w:cols w:equalWidth="0" w:num="1">
            <w:col w:w="11240"/>
          </w:cols>
          <w:pgMar w:left="300" w:top="1165" w:right="359" w:bottom="1440" w:gutter="0" w:footer="0" w:header="0"/>
        </w:sectPr>
      </w:pPr>
    </w:p>
    <w:bookmarkStart w:id="193" w:name="page194"/>
    <w:bookmarkEnd w:id="193"/>
    <w:p>
      <w:pPr>
        <w:ind w:right="140" w:firstLine="509"/>
        <w:spacing w:after="0" w:line="310"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42" w:lineRule="exact"/>
        <w:rPr>
          <w:sz w:val="20"/>
          <w:szCs w:val="20"/>
          <w:color w:val="auto"/>
        </w:rPr>
      </w:pPr>
    </w:p>
    <w:p>
      <w:pPr>
        <w:ind w:right="140" w:firstLine="509"/>
        <w:spacing w:after="0" w:line="317" w:lineRule="auto"/>
        <w:rPr>
          <w:sz w:val="20"/>
          <w:szCs w:val="20"/>
          <w:color w:val="auto"/>
        </w:rPr>
      </w:pPr>
      <w:r>
        <w:rPr>
          <w:rFonts w:ascii="Times New Roman" w:cs="Times New Roman" w:eastAsia="Times New Roman" w:hAnsi="Times New Roman"/>
          <w:sz w:val="14"/>
          <w:szCs w:val="14"/>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As a result, we will amend our bylaws to be subject to the Control Share Act only if the Board determines that it would be in our best interests and, after notification.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27" w:lineRule="exact"/>
        <w:rPr>
          <w:sz w:val="20"/>
          <w:szCs w:val="20"/>
          <w:color w:val="auto"/>
        </w:rPr>
      </w:pPr>
    </w:p>
    <w:p>
      <w:pPr>
        <w:ind w:right="40" w:firstLine="509"/>
        <w:spacing w:after="0" w:line="305"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2" w:lineRule="exact"/>
        <w:rPr>
          <w:sz w:val="20"/>
          <w:szCs w:val="20"/>
          <w:color w:val="auto"/>
        </w:rPr>
      </w:pPr>
    </w:p>
    <w:p>
      <w:pPr>
        <w:ind w:left="740" w:hanging="290"/>
        <w:spacing w:after="0"/>
        <w:tabs>
          <w:tab w:leader="none" w:pos="7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 or more of the voting power of the corporation’s outstanding voting stock; or</w:t>
      </w:r>
    </w:p>
    <w:p>
      <w:pPr>
        <w:spacing w:after="0" w:line="40" w:lineRule="exact"/>
        <w:rPr>
          <w:rFonts w:ascii="Times New Roman" w:cs="Times New Roman" w:eastAsia="Times New Roman" w:hAnsi="Times New Roman"/>
          <w:sz w:val="14"/>
          <w:szCs w:val="14"/>
          <w:color w:val="auto"/>
        </w:rPr>
      </w:pPr>
    </w:p>
    <w:p>
      <w:pPr>
        <w:ind w:left="740" w:right="180" w:hanging="290"/>
        <w:spacing w:after="0" w:line="300" w:lineRule="auto"/>
        <w:tabs>
          <w:tab w:leader="none" w:pos="7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 w:lineRule="exact"/>
        <w:rPr>
          <w:sz w:val="20"/>
          <w:szCs w:val="20"/>
          <w:color w:val="auto"/>
        </w:rPr>
      </w:pPr>
    </w:p>
    <w:p>
      <w:pPr>
        <w:ind w:right="40" w:firstLine="509"/>
        <w:spacing w:after="0" w:line="305"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 w:lineRule="exact"/>
        <w:rPr>
          <w:sz w:val="20"/>
          <w:szCs w:val="20"/>
          <w:color w:val="auto"/>
        </w:rPr>
      </w:pPr>
    </w:p>
    <w:p>
      <w:pPr>
        <w:ind w:left="740" w:hanging="290"/>
        <w:spacing w:after="0"/>
        <w:tabs>
          <w:tab w:leader="none" w:pos="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40" w:lineRule="exact"/>
        <w:rPr>
          <w:rFonts w:ascii="Times New Roman" w:cs="Times New Roman" w:eastAsia="Times New Roman" w:hAnsi="Times New Roman"/>
          <w:sz w:val="14"/>
          <w:szCs w:val="14"/>
          <w:color w:val="auto"/>
        </w:rPr>
      </w:pPr>
    </w:p>
    <w:p>
      <w:pPr>
        <w:ind w:left="740" w:hanging="290"/>
        <w:spacing w:after="0"/>
        <w:tabs>
          <w:tab w:leader="none" w:pos="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combination is to be effected or held by an affiliate or associate of the interested stockholder.</w:t>
      </w:r>
    </w:p>
    <w:p>
      <w:pPr>
        <w:spacing w:after="0" w:line="41" w:lineRule="exact"/>
        <w:rPr>
          <w:sz w:val="20"/>
          <w:szCs w:val="20"/>
          <w:color w:val="auto"/>
        </w:rPr>
      </w:pPr>
    </w:p>
    <w:p>
      <w:pPr>
        <w:ind w:right="80" w:firstLine="509"/>
        <w:spacing w:after="0" w:line="334" w:lineRule="auto"/>
        <w:rPr>
          <w:sz w:val="20"/>
          <w:szCs w:val="20"/>
          <w:color w:val="auto"/>
        </w:rPr>
      </w:pPr>
      <w:r>
        <w:rPr>
          <w:rFonts w:ascii="Times New Roman" w:cs="Times New Roman" w:eastAsia="Times New Roman" w:hAnsi="Times New Roman"/>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ectPr>
          <w:pgSz w:w="11900" w:h="16838" w:orient="portrait"/>
          <w:cols w:equalWidth="0" w:num="1">
            <w:col w:w="11280"/>
          </w:cols>
          <w:pgMar w:left="300" w:top="1165" w:right="319" w:bottom="1440" w:gutter="0" w:footer="0" w:header="0"/>
        </w:sectPr>
      </w:pPr>
    </w:p>
    <w:bookmarkStart w:id="194" w:name="page195"/>
    <w:bookmarkEnd w:id="194"/>
    <w:p>
      <w:pPr>
        <w:ind w:firstLine="509"/>
        <w:spacing w:after="0" w:line="313"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Board. This resolution may be altered or repealed in whole or in part at any time; however, our Board will adopt resolutions so as to make us subject to the provisions of the Business Combination Act only if the Board determines that it would be in our best interests If this resolution is repealed, or the Board does not otherwise approve a business combination, the statute may discourage others from trying to acquire control of us and increase the difficulty of consummating any offer.</w:t>
      </w:r>
    </w:p>
    <w:p>
      <w:pPr>
        <w:sectPr>
          <w:pgSz w:w="11900" w:h="16838" w:orient="portrait"/>
          <w:cols w:equalWidth="0" w:num="1">
            <w:col w:w="11180"/>
          </w:cols>
          <w:pgMar w:left="300" w:top="1165" w:right="419" w:bottom="1440" w:gutter="0" w:footer="0" w:header="0"/>
        </w:sectPr>
      </w:pPr>
    </w:p>
    <w:bookmarkStart w:id="195" w:name="page196"/>
    <w:bookmarkEnd w:id="195"/>
    <w:p>
      <w:pPr>
        <w:ind w:left="500" w:hanging="240"/>
        <w:spacing w:after="0"/>
        <w:tabs>
          <w:tab w:leader="none" w:pos="500" w:val="left"/>
        </w:tabs>
        <w:numPr>
          <w:ilvl w:val="0"/>
          <w:numId w:val="8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Debt Securities</w:t>
      </w:r>
    </w:p>
    <w:p>
      <w:pPr>
        <w:spacing w:after="0" w:line="297" w:lineRule="exact"/>
        <w:rPr>
          <w:rFonts w:ascii="Times New Roman" w:cs="Times New Roman" w:eastAsia="Times New Roman" w:hAnsi="Times New Roman"/>
          <w:sz w:val="14"/>
          <w:szCs w:val="14"/>
          <w:b w:val="1"/>
          <w:bCs w:val="1"/>
          <w:i w:val="1"/>
          <w:iCs w:val="1"/>
          <w:color w:val="auto"/>
        </w:rPr>
      </w:pPr>
    </w:p>
    <w:p>
      <w:pPr>
        <w:ind w:left="1280" w:hanging="257"/>
        <w:spacing w:after="0"/>
        <w:tabs>
          <w:tab w:leader="none" w:pos="128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5.75% Notes due 2024 (the “2024 Notes”);</w:t>
      </w:r>
    </w:p>
    <w:p>
      <w:pPr>
        <w:spacing w:after="0" w:line="2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5.50% Notes due 2026 (the “2026 Notes”); and</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 Notes due 2028 (the “2028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2024 Notes</w:t>
      </w:r>
    </w:p>
    <w:p>
      <w:pPr>
        <w:spacing w:after="0" w:line="181"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In July 2019, we issued $55.0 million in aggregate principal amount of 5.75% notes due 2024 (the “2024 Notes”). In August 2019, we closed on an additional $8.25 million in aggregate principal amount of the 2024 Notes pursuant to a fully-exercised overallotment option granted to the underwriters. The total net proceeds to us, after deducting underwriting discounts and offering expenses, were approximately $61.3 million.</w:t>
      </w:r>
    </w:p>
    <w:p>
      <w:pPr>
        <w:spacing w:after="0" w:line="136" w:lineRule="exact"/>
        <w:rPr>
          <w:sz w:val="20"/>
          <w:szCs w:val="20"/>
          <w:color w:val="auto"/>
        </w:rPr>
      </w:pPr>
    </w:p>
    <w:p>
      <w:pPr>
        <w:jc w:val="both"/>
        <w:ind w:right="340" w:firstLine="509"/>
        <w:spacing w:after="0" w:line="270"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13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On December 29, 2021, the Company partially redeemed $40.0 million in aggregate principal amount of the $78.25 million of 2024 Notes outstanding at 100% of their principal amount ($25 per Note), plus the accrued and unpaid interest thereon from November 1, 2021 through, but excluding, the redemption date. As of December 31, 2021, the outstanding principal balance of the 2024 Notes was $78.25 million.</w:t>
      </w:r>
    </w:p>
    <w:p>
      <w:pPr>
        <w:spacing w:after="0" w:line="13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The 2024 Notes were issued under a base indenture (the “Base Indenture”), dated September 23, 2015, by and between the Company and U.S. Bank National Association (the “Trustee”), as supplemented by the fourth supplemental indenture, dated as of July 29, 2019 (the “Fourth Supplemental Indenture”, and together with the Base Indenture and the Third Supplemental Indenture, the “2024 Notes Indenture”). The 2024 Notes bear interest at a rate of 6.25% per year payable quarterly on February 1, May 1, August 1, and November 1 of each year, beginning on November 1, 2019. The 2024 Notes will mature on August 1, 2024. The 2024 Notes may be redeemed in whole or in part at any time or from time to time at our option on or after August 1, 2021. We have listed the 2024 Notes on The Nasdaq Global Select Market under the trading symbol “NEWTL.”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2026 Notes</w:t>
      </w:r>
    </w:p>
    <w:p>
      <w:pPr>
        <w:spacing w:after="0" w:line="18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In January 2021, we issued $115.0 million in aggregate principal amount of 5.50% notes due 2026 (the “2026 Notes”). The 2026 Notes including $15.0 million in aggregate principal amount sold pursuant to a fully-exercised overallotment option. Total net proceeds received after deducting underwriters’ discount and expenses was approximately $111.3 million. As of December 31, 2021, the outstanding principal balance of the 2026 Notes was $115.0 million.</w:t>
      </w:r>
    </w:p>
    <w:p>
      <w:pPr>
        <w:spacing w:after="0" w:line="136"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2026 Notes were issued under the Seventh Supplemental Indenture (the “Seventh Supplemental Indenture”) to the Indenture, dated as of September 23, 2015, between the Company and the Trustee (the “Base Indenture”, and together with the Seventh Supplemental Indenture, the “2026 Notes Indenture”). The 2026 Notes will mature on February 1, 2026 and may be redeemed in whole or in part at any time or from time to time at our option on or after February 1, 2022. The 2026 Notes bear interest at a rate of 5.50% per year payable quarterly on February 1, May 1, August 1 and November 1, of each year, beginning May 1, 2021. The 2026 Notes are listed on the Nasdaq Global Market under the trading symbol “NEWTZ.”</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2024 Notes and 2026 Notes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Set forth below is a summary of the material terms of the 2024 Notes and the 2026 Notes. All references to the "Notes" refer to the 2024 Notes and the 2026 collectively and to the "Indenture" refer to the 2024 Notes Indenture and the 2026 Notes Indenture collectively.</w:t>
      </w:r>
    </w:p>
    <w:p>
      <w:pPr>
        <w:sectPr>
          <w:pgSz w:w="11900" w:h="16838" w:orient="portrait"/>
          <w:cols w:equalWidth="0" w:num="1">
            <w:col w:w="11280"/>
          </w:cols>
          <w:pgMar w:left="300" w:top="1162"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any debt securities proposed to be sold may be issued under the Indenture in one or more series.</w:t>
      </w:r>
    </w:p>
    <w:p>
      <w:pPr>
        <w:spacing w:after="0" w:line="115"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from time to time. Debt securities issued under the Indenture, when a single trustee is acting for all debt securities issued under the Indentures,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will extend only to the one or more series of indenture securities for which it is trustee. If two or more trustees are acting under the Indenture, then the indenture securities for which each trustee is acting would be treated as if issued under separate indenture.</w:t>
      </w:r>
    </w:p>
    <w:p>
      <w:pPr>
        <w:spacing w:after="0" w:line="93"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Except as described under “— Events of Default” and “— Merger or Consolidation” below, the Indenture does not contain any provisions that give you protection in the event we issue a large amount of debt or we are acquired by another entity.</w:t>
      </w:r>
    </w:p>
    <w:p>
      <w:pPr>
        <w:spacing w:after="0" w:line="71"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We refer you to the applicable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61"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202" w:lineRule="exact"/>
        <w:rPr>
          <w:sz w:val="20"/>
          <w:szCs w:val="20"/>
          <w:color w:val="auto"/>
        </w:rPr>
      </w:pPr>
    </w:p>
    <w:p>
      <w:pPr>
        <w:ind w:right="60" w:firstLine="223"/>
        <w:spacing w:after="0" w:line="270" w:lineRule="auto"/>
        <w:rPr>
          <w:sz w:val="20"/>
          <w:szCs w:val="20"/>
          <w:color w:val="auto"/>
        </w:rPr>
      </w:pPr>
      <w:r>
        <w:rPr>
          <w:rFonts w:ascii="Times New Roman" w:cs="Times New Roman" w:eastAsia="Times New Roman" w:hAnsi="Times New Roman"/>
          <w:sz w:val="14"/>
          <w:szCs w:val="14"/>
          <w:color w:val="auto"/>
        </w:rPr>
        <w:t>The Notes may be redeemed in whole or in part at any time or from time to time at our option on or after August 1, 2020, in the case of the 2024 Notes and February 1, 2022, in the case of the 2026 Notes,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to the date fixed for redemption.</w:t>
      </w:r>
    </w:p>
    <w:p>
      <w:pPr>
        <w:spacing w:after="0" w:line="157" w:lineRule="exact"/>
        <w:rPr>
          <w:sz w:val="20"/>
          <w:szCs w:val="20"/>
          <w:color w:val="auto"/>
        </w:rPr>
      </w:pPr>
    </w:p>
    <w:p>
      <w:pPr>
        <w:jc w:val="both"/>
        <w:ind w:right="120" w:firstLine="223"/>
        <w:spacing w:after="0" w:line="270" w:lineRule="auto"/>
        <w:rPr>
          <w:sz w:val="20"/>
          <w:szCs w:val="20"/>
          <w:color w:val="auto"/>
        </w:rPr>
      </w:pPr>
      <w:r>
        <w:rPr>
          <w:rFonts w:ascii="Times New Roman" w:cs="Times New Roman" w:eastAsia="Times New Roman" w:hAnsi="Times New Roman"/>
          <w:sz w:val="14"/>
          <w:szCs w:val="14"/>
          <w:color w:val="auto"/>
        </w:rPr>
        <w:t>If we redeem only some of the Notes, the trustee or, with respect to global securities, DTC will determine the method for selection of the particular Notes to be redeemed, in accordance with the Indenture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202" w:lineRule="exact"/>
        <w:rPr>
          <w:sz w:val="20"/>
          <w:szCs w:val="20"/>
          <w:color w:val="auto"/>
        </w:rPr>
      </w:pPr>
    </w:p>
    <w:p>
      <w:pPr>
        <w:jc w:val="both"/>
        <w:ind w:firstLine="223"/>
        <w:spacing w:after="0" w:line="264" w:lineRule="auto"/>
        <w:rPr>
          <w:sz w:val="20"/>
          <w:szCs w:val="20"/>
          <w:color w:val="auto"/>
        </w:rPr>
      </w:pPr>
      <w:r>
        <w:rPr>
          <w:rFonts w:ascii="Times New Roman" w:cs="Times New Roman" w:eastAsia="Times New Roman" w:hAnsi="Times New Roman"/>
          <w:sz w:val="14"/>
          <w:szCs w:val="14"/>
          <w:color w:val="auto"/>
        </w:rPr>
        <w:t>Each Note will be issued in book-entry form and represented by a global security that we deposit with and register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“Description of Notes — Book-Entry Procedures” below.</w:t>
      </w:r>
    </w:p>
    <w:p>
      <w:pPr>
        <w:sectPr>
          <w:pgSz w:w="11900" w:h="16838" w:orient="portrait"/>
          <w:cols w:equalWidth="0" w:num="1">
            <w:col w:w="11280"/>
          </w:cols>
          <w:pgMar w:left="300" w:top="1332"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color w:val="auto"/>
        </w:rPr>
        <w:t>Termination of a Global Security</w:t>
      </w:r>
    </w:p>
    <w:p>
      <w:pPr>
        <w:spacing w:after="0" w:line="202"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w:t>
      </w:r>
    </w:p>
    <w:p>
      <w:pPr>
        <w:spacing w:after="0" w:line="202" w:lineRule="exact"/>
        <w:rPr>
          <w:sz w:val="20"/>
          <w:szCs w:val="20"/>
          <w:color w:val="auto"/>
        </w:rPr>
      </w:pPr>
    </w:p>
    <w:p>
      <w:pPr>
        <w:ind w:right="20" w:firstLine="223"/>
        <w:spacing w:after="0" w:line="261" w:lineRule="auto"/>
        <w:rPr>
          <w:sz w:val="20"/>
          <w:szCs w:val="20"/>
          <w:color w:val="auto"/>
        </w:rPr>
      </w:pPr>
      <w:r>
        <w:rPr>
          <w:rFonts w:ascii="Times New Roman" w:cs="Times New Roman" w:eastAsia="Times New Roman" w:hAnsi="Times New Roman"/>
          <w:sz w:val="14"/>
          <w:szCs w:val="14"/>
          <w:color w:val="auto"/>
        </w:rPr>
        <w:t>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Payments on Global Securities</w:t>
      </w:r>
    </w:p>
    <w:p>
      <w:pPr>
        <w:spacing w:after="0" w:line="202" w:lineRule="exact"/>
        <w:rPr>
          <w:sz w:val="20"/>
          <w:szCs w:val="20"/>
          <w:color w:val="auto"/>
        </w:rPr>
      </w:pPr>
    </w:p>
    <w:p>
      <w:pPr>
        <w:ind w:right="180" w:firstLine="223"/>
        <w:spacing w:after="0" w:line="270" w:lineRule="auto"/>
        <w:rPr>
          <w:sz w:val="20"/>
          <w:szCs w:val="20"/>
          <w:color w:val="auto"/>
        </w:rPr>
      </w:pPr>
      <w:r>
        <w:rPr>
          <w:rFonts w:ascii="Times New Roman" w:cs="Times New Roman" w:eastAsia="Times New Roman" w:hAnsi="Times New Roman"/>
          <w:sz w:val="14"/>
          <w:szCs w:val="14"/>
          <w:color w:val="auto"/>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Notes — Book-Entry Procedures.”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Payments on Certificated Securities</w:t>
      </w:r>
    </w:p>
    <w:p>
      <w:pPr>
        <w:spacing w:after="0" w:line="202" w:lineRule="exact"/>
        <w:rPr>
          <w:sz w:val="20"/>
          <w:szCs w:val="20"/>
          <w:color w:val="auto"/>
        </w:rPr>
      </w:pPr>
    </w:p>
    <w:p>
      <w:pPr>
        <w:jc w:val="both"/>
        <w:ind w:right="80" w:firstLine="223"/>
        <w:spacing w:after="0" w:line="270" w:lineRule="auto"/>
        <w:rPr>
          <w:sz w:val="20"/>
          <w:szCs w:val="20"/>
          <w:color w:val="auto"/>
        </w:rPr>
      </w:pPr>
      <w:r>
        <w:rPr>
          <w:rFonts w:ascii="Times New Roman" w:cs="Times New Roman" w:eastAsia="Times New Roman" w:hAnsi="Times New Roman"/>
          <w:sz w:val="14"/>
          <w:szCs w:val="14"/>
          <w:color w:val="auto"/>
        </w:rPr>
        <w:t>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w:t>
      </w:r>
    </w:p>
    <w:p>
      <w:pPr>
        <w:spacing w:after="0" w:line="157" w:lineRule="exact"/>
        <w:rPr>
          <w:sz w:val="20"/>
          <w:szCs w:val="20"/>
          <w:color w:val="auto"/>
        </w:rPr>
      </w:pPr>
    </w:p>
    <w:p>
      <w:pPr>
        <w:ind w:right="40" w:firstLine="223"/>
        <w:spacing w:after="0" w:line="287" w:lineRule="auto"/>
        <w:rPr>
          <w:sz w:val="20"/>
          <w:szCs w:val="20"/>
          <w:color w:val="auto"/>
        </w:rPr>
      </w:pPr>
      <w:r>
        <w:rPr>
          <w:rFonts w:ascii="Times New Roman" w:cs="Times New Roman" w:eastAsia="Times New Roman" w:hAnsi="Times New Roman"/>
          <w:sz w:val="14"/>
          <w:szCs w:val="14"/>
          <w:color w:val="auto"/>
        </w:rPr>
        <w:t>Alternatively, at our option, we may pay any cash interest that becomes due on the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When Offices Are Closed</w:t>
      </w:r>
    </w:p>
    <w:p>
      <w:pPr>
        <w:spacing w:after="0" w:line="202"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Holders will have rights if an Event of Default occurs in respect of the Notes, as described later in this subsection. The term “Event of Default” in respect of the Notes means any of the following:</w:t>
      </w:r>
    </w:p>
    <w:p>
      <w:pPr>
        <w:spacing w:after="0" w:line="101" w:lineRule="exact"/>
        <w:rPr>
          <w:sz w:val="20"/>
          <w:szCs w:val="20"/>
          <w:color w:val="auto"/>
        </w:rPr>
      </w:pPr>
    </w:p>
    <w:p>
      <w:pPr>
        <w:ind w:left="840" w:hanging="439"/>
        <w:spacing w:after="0"/>
        <w:tabs>
          <w:tab w:leader="none" w:pos="8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premium, if any, on) any Note on its due date and such default is not cured within 5 days of its due date.</w:t>
      </w:r>
    </w:p>
    <w:p>
      <w:pPr>
        <w:spacing w:after="0" w:line="7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An Event of Default for the Notes does not necessarily constitute an Event of Default for any other series of debt securities issued under the same or any other Indenture. The trustee may withhold notice to the holders of the Notes</w:t>
      </w:r>
    </w:p>
    <w:p>
      <w:pPr>
        <w:sectPr>
          <w:pgSz w:w="11900" w:h="16838" w:orient="portrait"/>
          <w:cols w:equalWidth="0" w:num="1">
            <w:col w:w="11260"/>
          </w:cols>
          <w:pgMar w:left="300" w:top="114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color w:val="auto"/>
        </w:rPr>
        <w:t>of any default, except in the payment of principal or interest, if it in good faith considers the withholding of notice to be in the best interests of the holders.</w:t>
      </w:r>
    </w:p>
    <w:p>
      <w:pPr>
        <w:spacing w:after="0" w:line="115" w:lineRule="exact"/>
        <w:rPr>
          <w:sz w:val="20"/>
          <w:szCs w:val="20"/>
          <w:color w:val="auto"/>
        </w:rPr>
      </w:pPr>
    </w:p>
    <w:p>
      <w:pPr>
        <w:ind w:left="840" w:hanging="439"/>
        <w:spacing w:after="0"/>
        <w:tabs>
          <w:tab w:leader="none" w:pos="8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any Note when due, and such default is not cured within 30 days of its due date.</w:t>
      </w:r>
    </w:p>
    <w:p>
      <w:pPr>
        <w:spacing w:after="0" w:line="104" w:lineRule="exact"/>
        <w:rPr>
          <w:rFonts w:ascii="Times New Roman" w:cs="Times New Roman" w:eastAsia="Times New Roman" w:hAnsi="Times New Roman"/>
          <w:sz w:val="14"/>
          <w:szCs w:val="14"/>
          <w:color w:val="auto"/>
        </w:rPr>
      </w:pPr>
    </w:p>
    <w:p>
      <w:pPr>
        <w:ind w:left="840" w:right="120" w:hanging="439"/>
        <w:spacing w:after="0" w:line="255" w:lineRule="auto"/>
        <w:tabs>
          <w:tab w:leader="none" w:pos="8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any other covenant with respect to the Notes for 60 days after we receive a written notice of default stating we are in breach. The notice must be sent by either the trustee or holders of at least 25.0% of the principal amount of the Notes.</w:t>
      </w:r>
    </w:p>
    <w:p>
      <w:pPr>
        <w:spacing w:after="0" w:line="156" w:lineRule="exact"/>
        <w:rPr>
          <w:rFonts w:ascii="Times New Roman" w:cs="Times New Roman" w:eastAsia="Times New Roman" w:hAnsi="Times New Roman"/>
          <w:sz w:val="14"/>
          <w:szCs w:val="14"/>
          <w:color w:val="auto"/>
        </w:rPr>
      </w:pPr>
    </w:p>
    <w:p>
      <w:pPr>
        <w:ind w:left="840" w:right="140" w:hanging="439"/>
        <w:spacing w:after="0" w:line="239" w:lineRule="auto"/>
        <w:tabs>
          <w:tab w:leader="none" w:pos="8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in the case of certain orders or decrees entered against us under any bankruptcy law, such order or decree remains undischarged or unstayed for a period of 90 days.</w:t>
      </w:r>
    </w:p>
    <w:p>
      <w:pPr>
        <w:spacing w:after="0" w:line="93" w:lineRule="exact"/>
        <w:rPr>
          <w:rFonts w:ascii="Times New Roman" w:cs="Times New Roman" w:eastAsia="Times New Roman" w:hAnsi="Times New Roman"/>
          <w:sz w:val="14"/>
          <w:szCs w:val="14"/>
          <w:color w:val="auto"/>
        </w:rPr>
      </w:pPr>
    </w:p>
    <w:p>
      <w:pPr>
        <w:ind w:left="840" w:right="200" w:hanging="439"/>
        <w:spacing w:after="0" w:line="255" w:lineRule="auto"/>
        <w:tabs>
          <w:tab w:leader="none" w:pos="8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2024 and 2026 Notes only, on the last business day of each of twenty-four consecutive calendar months, the Notes have an asset coverage, as defined in the 1940 Act, of less than 100% after giving effect to any exemptive relief granted to us by the SEC.</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Remedies if an Event of Default Occurs</w:t>
      </w:r>
    </w:p>
    <w:p>
      <w:pPr>
        <w:spacing w:after="0" w:line="25" w:lineRule="exact"/>
        <w:rPr>
          <w:sz w:val="20"/>
          <w:szCs w:val="20"/>
          <w:color w:val="auto"/>
        </w:rPr>
      </w:pPr>
    </w:p>
    <w:p>
      <w:pPr>
        <w:ind w:firstLine="223"/>
        <w:spacing w:after="0" w:line="255" w:lineRule="auto"/>
        <w:rPr>
          <w:sz w:val="20"/>
          <w:szCs w:val="20"/>
          <w:color w:val="auto"/>
        </w:rPr>
      </w:pPr>
      <w:r>
        <w:rPr>
          <w:rFonts w:ascii="Times New Roman" w:cs="Times New Roman" w:eastAsia="Times New Roman" w:hAnsi="Times New Roman"/>
          <w:sz w:val="14"/>
          <w:szCs w:val="14"/>
          <w:color w:val="auto"/>
        </w:rPr>
        <w:t>If an Event of Default has occurred and is continuing, the trustee or the holders of not less than 25% in principal amount of the Notes may declare the entire principal amount of all the Notes to be due and immediately payable.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that has become due solely by reason of such acceleration) and certain other amounts, (2) any other Events of Default have been cured or waived, and (3) we have deposited with the trustee a sum sufficient to pay all sums paid or advanced by the trustee and the reasonable compensation, expenses, disbursements, and advances of the trustee, its agents, and counsel as required under the Indenture in connection with the rescinded Event of Default.</w:t>
      </w:r>
    </w:p>
    <w:p>
      <w:pPr>
        <w:spacing w:after="0" w:line="169" w:lineRule="exact"/>
        <w:rPr>
          <w:sz w:val="20"/>
          <w:szCs w:val="20"/>
          <w:color w:val="auto"/>
        </w:rPr>
      </w:pPr>
    </w:p>
    <w:p>
      <w:pPr>
        <w:jc w:val="both"/>
        <w:ind w:right="20" w:firstLine="223"/>
        <w:spacing w:after="0" w:line="264" w:lineRule="auto"/>
        <w:rPr>
          <w:sz w:val="20"/>
          <w:szCs w:val="20"/>
          <w:color w:val="auto"/>
        </w:rPr>
      </w:pPr>
      <w:r>
        <w:rPr>
          <w:rFonts w:ascii="Times New Roman" w:cs="Times New Roman" w:eastAsia="Times New Roman" w:hAnsi="Times New Roman"/>
          <w:sz w:val="14"/>
          <w:szCs w:val="14"/>
          <w:color w:val="auto"/>
        </w:rPr>
        <w:t>The trustee is not required to take any action under an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247" w:lineRule="exact"/>
        <w:rPr>
          <w:sz w:val="20"/>
          <w:szCs w:val="20"/>
          <w:color w:val="auto"/>
        </w:rPr>
      </w:pPr>
    </w:p>
    <w:p>
      <w:pPr>
        <w:ind w:right="300" w:firstLine="223"/>
        <w:spacing w:after="0" w:line="287" w:lineRule="auto"/>
        <w:rPr>
          <w:sz w:val="20"/>
          <w:szCs w:val="20"/>
          <w:color w:val="auto"/>
        </w:rPr>
      </w:pPr>
      <w:r>
        <w:rPr>
          <w:rFonts w:ascii="Times New Roman" w:cs="Times New Roman" w:eastAsia="Times New Roman" w:hAnsi="Times New Roman"/>
          <w:sz w:val="14"/>
          <w:szCs w:val="14"/>
          <w:color w:val="auto"/>
        </w:rPr>
        <w:t>Before a holder is allowed to bypass the trustee and bring your own lawsuit or other formal legal action or take other steps to enforce its rights or protect its interests relating to the Notes, the following must occur:</w:t>
      </w:r>
    </w:p>
    <w:p>
      <w:pPr>
        <w:spacing w:after="0" w:line="71" w:lineRule="exact"/>
        <w:rPr>
          <w:sz w:val="20"/>
          <w:szCs w:val="20"/>
          <w:color w:val="auto"/>
        </w:rPr>
      </w:pPr>
    </w:p>
    <w:p>
      <w:pPr>
        <w:ind w:right="4140" w:firstLine="401"/>
        <w:spacing w:after="0" w:line="379" w:lineRule="auto"/>
        <w:tabs>
          <w:tab w:leader="none" w:pos="83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must give the trustee written notice that an Event of Default has occurred and remains uncured; However, you are entitled at any time to bring a lawsuit for the payment of money due on your Notes on or after the due date.</w:t>
      </w:r>
    </w:p>
    <w:p>
      <w:pPr>
        <w:ind w:left="840" w:right="340" w:hanging="439"/>
        <w:spacing w:after="0" w:line="255" w:lineRule="auto"/>
        <w:tabs>
          <w:tab w:leader="none" w:pos="8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the Notes must make a written request that the trustee take action because of the default and must offer the trustee indemnity, security or both reasonably satisfactory to it against the cost and other liabilities of taking that action;</w:t>
      </w:r>
    </w:p>
    <w:p>
      <w:pPr>
        <w:spacing w:after="0" w:line="82"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and/or security; and</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Notes must not have given the trustee a direction inconsistent with the above notice during that 60-day period.</w:t>
      </w:r>
    </w:p>
    <w:p>
      <w:pPr>
        <w:spacing w:after="0" w:line="274" w:lineRule="exact"/>
        <w:rPr>
          <w:sz w:val="20"/>
          <w:szCs w:val="20"/>
          <w:color w:val="auto"/>
        </w:rPr>
      </w:pPr>
    </w:p>
    <w:p>
      <w:pPr>
        <w:ind w:right="140" w:firstLine="223"/>
        <w:spacing w:after="0" w:line="287" w:lineRule="auto"/>
        <w:rPr>
          <w:sz w:val="20"/>
          <w:szCs w:val="20"/>
          <w:color w:val="auto"/>
        </w:rPr>
      </w:pPr>
      <w:r>
        <w:rPr>
          <w:rFonts w:ascii="Times New Roman" w:cs="Times New Roman" w:eastAsia="Times New Roman" w:hAnsi="Times New Roman"/>
          <w:sz w:val="14"/>
          <w:szCs w:val="14"/>
          <w:color w:val="auto"/>
        </w:rPr>
        <w:t>Each year, we will furnish to the trustee a written statement of certain of our officers certifying that to their knowledge we are in compliance with the Indenture and the Notes, or else specifying any default.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Waiver of Default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holders of a majority in principal amount of the Notes may waive any past defaults other than a default:</w:t>
      </w:r>
    </w:p>
    <w:p>
      <w:pPr>
        <w:sectPr>
          <w:pgSz w:w="11900" w:h="16838" w:orient="portrait"/>
          <w:cols w:equalWidth="0" w:num="1">
            <w:col w:w="11260"/>
          </w:cols>
          <w:pgMar w:left="300" w:top="1143" w:right="339" w:bottom="1440" w:gutter="0" w:footer="0" w:header="0"/>
        </w:sectPr>
      </w:pPr>
    </w:p>
    <w:bookmarkStart w:id="199" w:name="page200"/>
    <w:bookmarkEnd w:id="199"/>
    <w:p>
      <w:pPr>
        <w:ind w:left="840" w:hanging="439"/>
        <w:spacing w:after="0"/>
        <w:tabs>
          <w:tab w:leader="none" w:pos="8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(or premium, if any) or interest; or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117" w:lineRule="exact"/>
        <w:rPr>
          <w:sz w:val="20"/>
          <w:szCs w:val="20"/>
          <w:color w:val="auto"/>
        </w:rPr>
      </w:pPr>
    </w:p>
    <w:p>
      <w:pPr>
        <w:ind w:left="840" w:hanging="439"/>
        <w:spacing w:after="0"/>
        <w:tabs>
          <w:tab w:leader="none" w:pos="8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w:t>
      </w:r>
    </w:p>
    <w:p>
      <w:pPr>
        <w:spacing w:after="0" w:line="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we may not take any of these actions unless all the following conditions are met:</w:t>
      </w:r>
    </w:p>
    <w:p>
      <w:pPr>
        <w:spacing w:after="0" w:line="90" w:lineRule="exact"/>
        <w:rPr>
          <w:sz w:val="20"/>
          <w:szCs w:val="20"/>
          <w:color w:val="auto"/>
        </w:rPr>
      </w:pPr>
    </w:p>
    <w:p>
      <w:pPr>
        <w:ind w:left="840" w:right="80" w:hanging="439"/>
        <w:spacing w:after="0" w:line="255" w:lineRule="auto"/>
        <w:tabs>
          <w:tab w:leader="none" w:pos="8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convey or transfer our assets substantially as an entirety, the resulting entity must agree, in a supplemental indenture, to be legally responsible for our obligations under the Notes and the Indenture;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117" w:lineRule="exact"/>
        <w:rPr>
          <w:sz w:val="20"/>
          <w:szCs w:val="20"/>
          <w:color w:val="auto"/>
        </w:rPr>
      </w:pPr>
    </w:p>
    <w:p>
      <w:pPr>
        <w:ind w:left="840" w:hanging="439"/>
        <w:spacing w:after="0"/>
        <w:tabs>
          <w:tab w:leader="none" w:pos="8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206"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certain certificates and documents and an opinion of counsel.</w:t>
      </w:r>
    </w:p>
    <w:p>
      <w:pPr>
        <w:spacing w:after="0" w:line="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Notes issued thereunder.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Changes Requiring Holders' Approval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First, there are changes that we cannot make to your Notes without holders' specific approval. The following is a list of those types of changes:</w:t>
      </w:r>
    </w:p>
    <w:p>
      <w:pPr>
        <w:spacing w:after="0" w:line="101" w:lineRule="exact"/>
        <w:rPr>
          <w:sz w:val="20"/>
          <w:szCs w:val="20"/>
          <w:color w:val="auto"/>
        </w:rPr>
      </w:pPr>
    </w:p>
    <w:p>
      <w:pPr>
        <w:ind w:right="6400" w:firstLine="401"/>
        <w:spacing w:after="0" w:line="379" w:lineRule="auto"/>
        <w:tabs>
          <w:tab w:leader="none" w:pos="831"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the stated maturity of the principal of or interest on the Notes; </w:t>
      </w:r>
      <w:r>
        <w:rPr>
          <w:rFonts w:ascii="Times New Roman" w:cs="Times New Roman" w:eastAsia="Times New Roman" w:hAnsi="Times New Roman"/>
          <w:sz w:val="14"/>
          <w:szCs w:val="14"/>
          <w:i w:val="1"/>
          <w:iCs w:val="1"/>
          <w:color w:val="auto"/>
        </w:rPr>
        <w:t>Changes Not Requiring Approval</w:t>
      </w: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the Notes;</w:t>
      </w:r>
    </w:p>
    <w:p>
      <w:pPr>
        <w:spacing w:after="0" w:line="11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Note following a default;</w:t>
      </w:r>
    </w:p>
    <w:p>
      <w:pPr>
        <w:spacing w:after="0" w:line="23"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Note;</w:t>
      </w:r>
    </w:p>
    <w:p>
      <w:pPr>
        <w:spacing w:after="0" w:line="17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 holders right to sue for payment;</w:t>
      </w:r>
    </w:p>
    <w:p>
      <w:pPr>
        <w:spacing w:after="0" w:line="11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modify or amend the Indenture; and</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waive compliance with certain provisions of the Indenture or to waive certain defaults.</w:t>
      </w:r>
    </w:p>
    <w:p>
      <w:pPr>
        <w:spacing w:after="0" w:line="72" w:lineRule="exact"/>
        <w:rPr>
          <w:sz w:val="20"/>
          <w:szCs w:val="20"/>
          <w:color w:val="auto"/>
        </w:rPr>
      </w:pPr>
    </w:p>
    <w:p>
      <w:pPr>
        <w:ind w:right="260" w:firstLine="223"/>
        <w:spacing w:after="0" w:line="263"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Any other change to the Indenture and the Notes would require the following approval:</w:t>
      </w:r>
    </w:p>
    <w:p>
      <w:pPr>
        <w:spacing w:after="0" w:line="101" w:lineRule="exact"/>
        <w:rPr>
          <w:sz w:val="20"/>
          <w:szCs w:val="20"/>
          <w:color w:val="auto"/>
        </w:rPr>
      </w:pPr>
    </w:p>
    <w:p>
      <w:pPr>
        <w:ind w:right="3400" w:firstLine="401"/>
        <w:spacing w:after="0" w:line="379" w:lineRule="auto"/>
        <w:tabs>
          <w:tab w:leader="none" w:pos="83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Notes, it must be approved by the holders of a majority in principal amount of the Notes; and In each case, the required approval must be given by written consent.</w:t>
      </w:r>
    </w:p>
    <w:p>
      <w:pPr>
        <w:ind w:left="840" w:right="160" w:hanging="439"/>
        <w:spacing w:after="0" w:line="255" w:lineRule="auto"/>
        <w:tabs>
          <w:tab w:leader="none" w:pos="8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ectPr>
          <w:pgSz w:w="11900" w:h="16838" w:orient="portrait"/>
          <w:cols w:equalWidth="0" w:num="1">
            <w:col w:w="11180"/>
          </w:cols>
          <w:pgMar w:left="300" w:top="1249" w:right="419" w:bottom="1440" w:gutter="0" w:footer="0" w:header="0"/>
        </w:sectPr>
      </w:pPr>
    </w:p>
    <w:bookmarkStart w:id="200" w:name="page201"/>
    <w:bookmarkEnd w:id="200"/>
    <w:p>
      <w:pPr>
        <w:ind w:right="80" w:firstLine="223"/>
        <w:spacing w:after="0" w:line="270" w:lineRule="auto"/>
        <w:rPr>
          <w:sz w:val="20"/>
          <w:szCs w:val="20"/>
          <w:color w:val="auto"/>
        </w:rPr>
      </w:pPr>
      <w:r>
        <w:rPr>
          <w:rFonts w:ascii="Times New Roman" w:cs="Times New Roman" w:eastAsia="Times New Roman" w:hAnsi="Times New Roman"/>
          <w:sz w:val="14"/>
          <w:szCs w:val="14"/>
          <w:color w:val="auto"/>
        </w:rPr>
        <w:t>The holders of a majority in principal amount of any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Notes — Modification or Waiver — Changes Requiring Your 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Further Details Concerning Voting</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the Notes:</w:t>
      </w:r>
    </w:p>
    <w:p>
      <w:pPr>
        <w:spacing w:after="0" w:line="23" w:lineRule="exact"/>
        <w:rPr>
          <w:sz w:val="20"/>
          <w:szCs w:val="20"/>
          <w:color w:val="auto"/>
        </w:rPr>
      </w:pPr>
    </w:p>
    <w:p>
      <w:pPr>
        <w:ind w:right="400" w:firstLine="223"/>
        <w:spacing w:after="0" w:line="266" w:lineRule="auto"/>
        <w:rPr>
          <w:sz w:val="20"/>
          <w:szCs w:val="20"/>
          <w:color w:val="auto"/>
        </w:rPr>
      </w:pPr>
      <w:r>
        <w:rPr>
          <w:rFonts w:ascii="Times New Roman" w:cs="Times New Roman" w:eastAsia="Times New Roman" w:hAnsi="Times New Roman"/>
          <w:sz w:val="14"/>
          <w:szCs w:val="14"/>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“Description of Notes — Defeasance — Full Defeasance.”</w:t>
      </w:r>
    </w:p>
    <w:p>
      <w:pPr>
        <w:spacing w:after="0" w:line="159"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the purpose of determining the holders of the Notes that are entitled to vote or take other action under an Indenture. However, the record date may not be more than 30 days before the date of the first solicitation of holders to vote on or take such action. If we set a record date for a vote or other action to be taken by holders of the Notes, that vote or action may be taken only by persons who are holders of the Notes on the record date and must be taken within eleven months following the record date.</w:t>
      </w:r>
    </w:p>
    <w:p>
      <w:pPr>
        <w:spacing w:after="0" w:line="157" w:lineRule="exact"/>
        <w:rPr>
          <w:sz w:val="20"/>
          <w:szCs w:val="20"/>
          <w:color w:val="auto"/>
        </w:rPr>
      </w:pPr>
    </w:p>
    <w:p>
      <w:pPr>
        <w:jc w:val="both"/>
        <w:ind w:firstLine="223"/>
        <w:spacing w:after="0" w:line="270" w:lineRule="auto"/>
        <w:rPr>
          <w:sz w:val="20"/>
          <w:szCs w:val="20"/>
          <w:color w:val="auto"/>
        </w:rPr>
      </w:pPr>
      <w:r>
        <w:rPr>
          <w:rFonts w:ascii="Times New Roman" w:cs="Times New Roman" w:eastAsia="Times New Roman" w:hAnsi="Times New Roman"/>
          <w:sz w:val="14"/>
          <w:szCs w:val="14"/>
          <w:color w:val="auto"/>
        </w:rPr>
        <w:t>The trustee shall not be deemed to have notice of any default or Event of Default unless (i) written notice of any event which is in fact such a default is received by the trustee at the corporate trust office of the trustee and such notice references the Notes and the Indenture or (ii), in the case of a Default or Event of Default in the payment of the principal of (or premium, if any) or interest, if any, on any Notes, a responsible officer of the trustee has actual knowledge thereof.</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202" w:lineRule="exact"/>
        <w:rPr>
          <w:sz w:val="20"/>
          <w:szCs w:val="20"/>
          <w:color w:val="auto"/>
        </w:rPr>
      </w:pPr>
    </w:p>
    <w:p>
      <w:pPr>
        <w:ind w:right="180" w:firstLine="223"/>
        <w:spacing w:after="0" w:line="261" w:lineRule="auto"/>
        <w:rPr>
          <w:sz w:val="20"/>
          <w:szCs w:val="20"/>
          <w:color w:val="auto"/>
        </w:rPr>
      </w:pPr>
      <w:r>
        <w:rPr>
          <w:rFonts w:ascii="Times New Roman" w:cs="Times New Roman" w:eastAsia="Times New Roman" w:hAnsi="Times New Roman"/>
          <w:sz w:val="14"/>
          <w:szCs w:val="14"/>
          <w:color w:val="auto"/>
        </w:rPr>
        <w:t>The following defeasance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Notes nonetheless would be guaranteed to receive the principal and interest owed to them.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w:t>
      </w:r>
    </w:p>
    <w:p>
      <w:pPr>
        <w:spacing w:after="0" w:line="202"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Under current U.S. federal income tax law and the Indenture, we can make the deposit described below and be released from some of the restrictive covenants in the Indenture under which the Notes were issued. This is called “covenant defeasance.” In that event, holders would lose the protection of those restrictive covenants but would gain the protection of having money and government securities set aside in trust to repay Notes. In order to achieve covenant defeasance, the following must occur:</w:t>
      </w:r>
    </w:p>
    <w:p>
      <w:pPr>
        <w:spacing w:after="0" w:line="72" w:lineRule="exact"/>
        <w:rPr>
          <w:sz w:val="20"/>
          <w:szCs w:val="20"/>
          <w:color w:val="auto"/>
        </w:rPr>
      </w:pPr>
    </w:p>
    <w:p>
      <w:pPr>
        <w:ind w:left="840" w:right="20" w:hanging="439"/>
        <w:spacing w:after="0" w:line="228" w:lineRule="auto"/>
        <w:tabs>
          <w:tab w:leader="none" w:pos="8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cash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6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72" w:lineRule="exact"/>
        <w:rPr>
          <w:sz w:val="20"/>
          <w:szCs w:val="20"/>
          <w:color w:val="auto"/>
        </w:rPr>
      </w:pPr>
    </w:p>
    <w:p>
      <w:pPr>
        <w:ind w:left="840" w:right="340" w:hanging="439"/>
        <w:spacing w:after="0" w:line="239" w:lineRule="auto"/>
        <w:tabs>
          <w:tab w:leader="none" w:pos="8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ectPr>
          <w:pgSz w:w="11900" w:h="16838" w:orient="portrait"/>
          <w:cols w:equalWidth="0" w:num="1">
            <w:col w:w="11280"/>
          </w:cols>
          <w:pgMar w:left="300" w:top="1143" w:right="319" w:bottom="1440" w:gutter="0" w:footer="0" w:header="0"/>
        </w:sectPr>
      </w:pPr>
    </w:p>
    <w:bookmarkStart w:id="201" w:name="page202"/>
    <w:bookmarkEnd w:id="201"/>
    <w:p>
      <w:pPr>
        <w:ind w:left="840" w:right="360" w:hanging="439"/>
        <w:spacing w:after="0" w:line="239" w:lineRule="auto"/>
        <w:tabs>
          <w:tab w:leader="none" w:pos="8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w:t>
      </w:r>
    </w:p>
    <w:p>
      <w:pPr>
        <w:spacing w:after="0" w:line="114" w:lineRule="exact"/>
        <w:rPr>
          <w:rFonts w:ascii="Times New Roman" w:cs="Times New Roman" w:eastAsia="Times New Roman" w:hAnsi="Times New Roman"/>
          <w:sz w:val="14"/>
          <w:szCs w:val="14"/>
          <w:color w:val="auto"/>
        </w:rPr>
      </w:pPr>
    </w:p>
    <w:p>
      <w:pPr>
        <w:ind w:left="840" w:right="180" w:hanging="439"/>
        <w:spacing w:after="0" w:line="239" w:lineRule="auto"/>
        <w:tabs>
          <w:tab w:leader="none" w:pos="8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 Defeasance</w:t>
      </w:r>
    </w:p>
    <w:p>
      <w:pPr>
        <w:spacing w:after="0" w:line="202" w:lineRule="exact"/>
        <w:rPr>
          <w:sz w:val="20"/>
          <w:szCs w:val="20"/>
          <w:color w:val="auto"/>
        </w:rPr>
      </w:pPr>
    </w:p>
    <w:p>
      <w:pPr>
        <w:ind w:right="40" w:firstLine="223"/>
        <w:spacing w:after="0" w:line="287" w:lineRule="auto"/>
        <w:rPr>
          <w:sz w:val="20"/>
          <w:szCs w:val="20"/>
          <w:color w:val="auto"/>
        </w:rPr>
      </w:pPr>
      <w:r>
        <w:rPr>
          <w:rFonts w:ascii="Times New Roman" w:cs="Times New Roman" w:eastAsia="Times New Roman" w:hAnsi="Times New Roman"/>
          <w:sz w:val="14"/>
          <w:szCs w:val="14"/>
          <w:color w:val="auto"/>
        </w:rPr>
        <w:t>If there is a change in U.S. federal income tax law, as described below, we can legally release ourselves from all payment and other obligations on the Notes (called “full defeasance”) if we put in place the following other arrangements for you to be repaid:</w:t>
      </w:r>
    </w:p>
    <w:p>
      <w:pPr>
        <w:spacing w:after="0" w:line="50" w:lineRule="exact"/>
        <w:rPr>
          <w:sz w:val="20"/>
          <w:szCs w:val="20"/>
          <w:color w:val="auto"/>
        </w:rPr>
      </w:pPr>
    </w:p>
    <w:p>
      <w:pPr>
        <w:ind w:left="840" w:hanging="439"/>
        <w:spacing w:after="0" w:line="233" w:lineRule="auto"/>
        <w:tabs>
          <w:tab w:leader="none" w:pos="8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money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6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 If Notes were subordinated as described later under “Description of Notes — Indenture Provisions — Ranking,” such subordination would not prevent the trustee under the Indenture from applying the funds available to it from the deposit referred to in the first bullet of the preceding paragraph to the payment of amounts due in respect of such Notes for the benefit of the subordinated debtholders.</w:t>
      </w:r>
    </w:p>
    <w:p>
      <w:pPr>
        <w:spacing w:after="0" w:line="77" w:lineRule="exact"/>
        <w:rPr>
          <w:sz w:val="20"/>
          <w:szCs w:val="20"/>
          <w:color w:val="auto"/>
        </w:rPr>
      </w:pPr>
    </w:p>
    <w:p>
      <w:pPr>
        <w:ind w:left="840" w:right="120" w:hanging="439"/>
        <w:spacing w:after="0" w:line="226" w:lineRule="auto"/>
        <w:tabs>
          <w:tab w:leader="none" w:pos="8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confirming that there has been a change in current U.S. federal income tax law or an IRS ruling that allows us to make the above deposit without causing you to be taxed on the Notes any differently than if we did not make the deposit. Under current U.S. federal income tax law the deposit and our legal release from the Notes would be treated as though we paid a holder its share of the cash and notes or bonds at the time the cash and notes or bonds were deposited in trust in exchange for Notes and holders would recognize gain or loss on the Notes at the time of the deposit;</w:t>
      </w:r>
    </w:p>
    <w:p>
      <w:pPr>
        <w:spacing w:after="0" w:line="83" w:lineRule="exact"/>
        <w:rPr>
          <w:rFonts w:ascii="Times New Roman" w:cs="Times New Roman" w:eastAsia="Times New Roman" w:hAnsi="Times New Roman"/>
          <w:sz w:val="14"/>
          <w:szCs w:val="14"/>
          <w:color w:val="auto"/>
        </w:rPr>
      </w:pPr>
    </w:p>
    <w:p>
      <w:pPr>
        <w:ind w:left="840" w:right="360" w:hanging="439"/>
        <w:spacing w:after="0" w:line="255" w:lineRule="auto"/>
        <w:tabs>
          <w:tab w:leader="none" w:pos="8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56"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constitute a default under, the Indenture or any of our other material agreements or instruments; and</w:t>
      </w:r>
    </w:p>
    <w:p>
      <w:pPr>
        <w:spacing w:after="0" w:line="104" w:lineRule="exact"/>
        <w:rPr>
          <w:rFonts w:ascii="Times New Roman" w:cs="Times New Roman" w:eastAsia="Times New Roman" w:hAnsi="Times New Roman"/>
          <w:sz w:val="14"/>
          <w:szCs w:val="14"/>
          <w:color w:val="auto"/>
        </w:rPr>
      </w:pPr>
    </w:p>
    <w:p>
      <w:pPr>
        <w:ind w:left="840" w:right="180" w:hanging="439"/>
        <w:spacing w:after="0" w:line="255" w:lineRule="auto"/>
        <w:tabs>
          <w:tab w:leader="none" w:pos="8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Covenants</w:t>
      </w:r>
    </w:p>
    <w:p>
      <w:pPr>
        <w:spacing w:after="0" w:line="202" w:lineRule="exact"/>
        <w:rPr>
          <w:sz w:val="20"/>
          <w:szCs w:val="20"/>
          <w:color w:val="auto"/>
        </w:rPr>
      </w:pPr>
    </w:p>
    <w:p>
      <w:pPr>
        <w:ind w:right="240" w:firstLine="223"/>
        <w:spacing w:after="0" w:line="270" w:lineRule="auto"/>
        <w:rPr>
          <w:sz w:val="20"/>
          <w:szCs w:val="20"/>
          <w:color w:val="auto"/>
        </w:rPr>
      </w:pPr>
      <w:r>
        <w:rPr>
          <w:rFonts w:ascii="Times New Roman" w:cs="Times New Roman" w:eastAsia="Times New Roman" w:hAnsi="Times New Roman"/>
          <w:sz w:val="14"/>
          <w:szCs w:val="14"/>
          <w:color w:val="auto"/>
        </w:rPr>
        <w:t>In addition to any other covenants described in applicable prospectus supplement or accompanying prospectus, as well as standard covenants relating to payment of principal and interest, maintaining an office where payments may be made or securities can be surrendered for payment, payment of taxes by the Company and related matters, the following covenants will apply to the Notes:</w:t>
      </w:r>
    </w:p>
    <w:p>
      <w:pPr>
        <w:sectPr>
          <w:pgSz w:w="11900" w:h="16838" w:orient="portrait"/>
          <w:cols w:equalWidth="0" w:num="1">
            <w:col w:w="11260"/>
          </w:cols>
          <w:pgMar w:left="300" w:top="1175" w:right="339" w:bottom="1440" w:gutter="0" w:footer="0" w:header="0"/>
        </w:sectPr>
      </w:pPr>
    </w:p>
    <w:bookmarkStart w:id="202" w:name="page203"/>
    <w:bookmarkEnd w:id="202"/>
    <w:p>
      <w:pPr>
        <w:jc w:val="both"/>
        <w:ind w:left="840" w:right="160" w:hanging="439"/>
        <w:spacing w:after="0" w:line="226" w:lineRule="auto"/>
        <w:tabs>
          <w:tab w:leader="none" w:pos="8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Notes, we agree that for the period of time during which the 2024 and 2026 Notes are outstanding, we will not violate Section 18(a)(1)(A) as modified by Section 61(a) of the 1940 Act or any successor provisions, but giving effect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 See “Risk Factors — Because we have received the approval of our stockholders, we are subject to 150% asset coverage beginning after July 26, 2018” in this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117" w:lineRule="exact"/>
        <w:rPr>
          <w:sz w:val="20"/>
          <w:szCs w:val="20"/>
          <w:color w:val="auto"/>
        </w:rPr>
      </w:pPr>
    </w:p>
    <w:p>
      <w:pPr>
        <w:ind w:left="840" w:right="40" w:hanging="439"/>
        <w:spacing w:after="0" w:line="215" w:lineRule="auto"/>
        <w:tabs>
          <w:tab w:leader="none" w:pos="8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 that for the period of time during which the 2024 and 2026 Notes are outstanding, pursuant to Section 18(a)(1)(B) as modified by Section 61(a) of the Investment Company Act or any successor provisions thereto of the Investment Company Act, the Company will not declare any dividend (except a dividend payable in stock of the issuer), or declare any other distribution, upon a class of the capital stock of the Company, or purchase any such capital stock, unless, in every such case, at the time of the declaration of any such dividend or distribution, or at the time of any such purchase, the Company has an asset coverage (as defined in the Investment Company Act) of at least the threshold specified in Section 18(a)(1)</w:t>
      </w:r>
    </w:p>
    <w:p>
      <w:pPr>
        <w:spacing w:after="0" w:line="1" w:lineRule="exact"/>
        <w:rPr>
          <w:rFonts w:ascii="Times New Roman" w:cs="Times New Roman" w:eastAsia="Times New Roman" w:hAnsi="Times New Roman"/>
          <w:sz w:val="14"/>
          <w:szCs w:val="14"/>
          <w:color w:val="auto"/>
        </w:rPr>
      </w:pPr>
    </w:p>
    <w:p>
      <w:pPr>
        <w:ind w:left="8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as modified by Section 61(a) of the Investment Company Act or any successor provisions thereto of the Investment Company Act, as such obligation may be amended or</w:t>
      </w:r>
    </w:p>
    <w:p>
      <w:pPr>
        <w:ind w:left="840" w:right="20"/>
        <w:spacing w:after="0" w:line="210" w:lineRule="auto"/>
        <w:rPr>
          <w:sz w:val="20"/>
          <w:szCs w:val="20"/>
          <w:color w:val="auto"/>
        </w:rPr>
      </w:pPr>
      <w:r>
        <w:rPr>
          <w:rFonts w:ascii="Times New Roman" w:cs="Times New Roman" w:eastAsia="Times New Roman" w:hAnsi="Times New Roman"/>
          <w:sz w:val="14"/>
          <w:szCs w:val="14"/>
          <w:color w:val="auto"/>
        </w:rPr>
        <w:t>superseded, after deducting the amount of such dividend, distribution or purchase price, as the case may be, and in each case giving effect to (i) any exemptive relief granted to the Company by the Commission, and (ii) any SEC no-action relief granted by the Commission to another business development company (or to the Company if it determines to seek such similar no-action or other relief) permitting the business development company to declare any cash dividend or distribution notwithstanding the prohibition contained in Section 18(a)</w:t>
      </w:r>
    </w:p>
    <w:p>
      <w:pPr>
        <w:spacing w:after="0" w:line="2" w:lineRule="exact"/>
        <w:rPr>
          <w:sz w:val="20"/>
          <w:szCs w:val="20"/>
          <w:color w:val="auto"/>
        </w:rPr>
      </w:pPr>
    </w:p>
    <w:p>
      <w:pPr>
        <w:ind w:left="840" w:right="240"/>
        <w:spacing w:after="0" w:line="228" w:lineRule="auto"/>
        <w:rPr>
          <w:sz w:val="20"/>
          <w:szCs w:val="20"/>
          <w:color w:val="auto"/>
        </w:rPr>
      </w:pPr>
      <w:r>
        <w:rPr>
          <w:rFonts w:ascii="Times New Roman" w:cs="Times New Roman" w:eastAsia="Times New Roman" w:hAnsi="Times New Roman"/>
          <w:sz w:val="14"/>
          <w:szCs w:val="14"/>
          <w:color w:val="auto"/>
        </w:rPr>
        <w:t>(1)(B) as modified by Section 61(a) of the Investment Company Act, as such obligation may be amended or superseded, in order to maintain such business development company’s status as a regulated investment company under Subchapter M of the Code.</w:t>
      </w:r>
    </w:p>
    <w:p>
      <w:pPr>
        <w:ind w:left="840" w:right="40" w:hanging="439"/>
        <w:spacing w:after="0" w:line="225" w:lineRule="auto"/>
        <w:tabs>
          <w:tab w:leader="none" w:pos="8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If registered Notes cease to be issued in book-entry form, they will be issued:</w:t>
      </w:r>
    </w:p>
    <w:p>
      <w:pPr>
        <w:spacing w:after="0" w:line="104" w:lineRule="exact"/>
        <w:rPr>
          <w:sz w:val="20"/>
          <w:szCs w:val="20"/>
          <w:color w:val="auto"/>
        </w:rPr>
      </w:pPr>
    </w:p>
    <w:p>
      <w:pPr>
        <w:ind w:left="840" w:hanging="439"/>
        <w:spacing w:after="0"/>
        <w:tabs>
          <w:tab w:leader="none" w:pos="8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 fully registered certificated form;</w:t>
      </w:r>
    </w:p>
    <w:p>
      <w:pPr>
        <w:spacing w:after="0" w:line="8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61" w:lineRule="exact"/>
        <w:rPr>
          <w:sz w:val="20"/>
          <w:szCs w:val="20"/>
          <w:color w:val="auto"/>
        </w:rPr>
      </w:pPr>
    </w:p>
    <w:p>
      <w:pPr>
        <w:ind w:left="840" w:hanging="439"/>
        <w:spacing w:after="0"/>
        <w:tabs>
          <w:tab w:leader="none" w:pos="8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interest coupons; and</w:t>
      </w:r>
    </w:p>
    <w:p>
      <w:pPr>
        <w:spacing w:after="0" w:line="10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denominations of $25 and amounts that are multiples of $25.</w:t>
      </w:r>
    </w:p>
    <w:p>
      <w:pPr>
        <w:spacing w:after="0" w:line="274" w:lineRule="exact"/>
        <w:rPr>
          <w:sz w:val="20"/>
          <w:szCs w:val="20"/>
          <w:color w:val="auto"/>
        </w:rPr>
      </w:pPr>
    </w:p>
    <w:p>
      <w:pPr>
        <w:ind w:firstLine="223"/>
        <w:spacing w:after="0" w:line="287"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w:t>
      </w:r>
    </w:p>
    <w:p>
      <w:pPr>
        <w:spacing w:after="0" w:line="145" w:lineRule="exact"/>
        <w:rPr>
          <w:sz w:val="20"/>
          <w:szCs w:val="20"/>
          <w:color w:val="auto"/>
        </w:rPr>
      </w:pPr>
    </w:p>
    <w:p>
      <w:pPr>
        <w:ind w:right="100" w:firstLine="223"/>
        <w:spacing w:after="0" w:line="287"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may appoint additional transfer agents or cancel the appointment of any particular transfer agent. We may also approve a change in the office through which any transfer agent acts.</w:t>
      </w:r>
    </w:p>
    <w:p>
      <w:pPr>
        <w:spacing w:after="0" w:line="200" w:lineRule="exact"/>
        <w:rPr>
          <w:sz w:val="20"/>
          <w:szCs w:val="20"/>
          <w:color w:val="auto"/>
        </w:rPr>
      </w:pPr>
    </w:p>
    <w:p>
      <w:pPr>
        <w:ind w:firstLine="223"/>
        <w:spacing w:after="0" w:line="287" w:lineRule="auto"/>
        <w:rPr>
          <w:sz w:val="20"/>
          <w:szCs w:val="20"/>
          <w:color w:val="auto"/>
        </w:rPr>
      </w:pPr>
      <w:r>
        <w:rPr>
          <w:rFonts w:ascii="Times New Roman" w:cs="Times New Roman" w:eastAsia="Times New Roman" w:hAnsi="Times New Roman"/>
          <w:sz w:val="14"/>
          <w:szCs w:val="14"/>
          <w:color w:val="auto"/>
        </w:rPr>
        <w:t>If we redeem any of the Notes, we may block the transfer or exchange of those Notes selected for redemption during the period beginning 15 days before the day we mail the notice of redemption and ending on the day of that mailing, in order to determine and fix the list of holders to prepare the mailing. We may also refuse to register</w:t>
      </w:r>
    </w:p>
    <w:p>
      <w:pPr>
        <w:sectPr>
          <w:pgSz w:w="11900" w:h="16838" w:orient="portrait"/>
          <w:cols w:equalWidth="0" w:num="1">
            <w:col w:w="11260"/>
          </w:cols>
          <w:pgMar w:left="300" w:top="1250" w:right="339" w:bottom="1440" w:gutter="0" w:footer="0" w:header="0"/>
        </w:sectPr>
      </w:pPr>
    </w:p>
    <w:bookmarkStart w:id="203" w:name="page204"/>
    <w:bookmarkEnd w:id="203"/>
    <w:p>
      <w:pPr>
        <w:ind w:right="180"/>
        <w:spacing w:after="0" w:line="287" w:lineRule="auto"/>
        <w:rPr>
          <w:sz w:val="20"/>
          <w:szCs w:val="20"/>
          <w:color w:val="auto"/>
        </w:rPr>
      </w:pPr>
      <w:r>
        <w:rPr>
          <w:rFonts w:ascii="Times New Roman" w:cs="Times New Roman" w:eastAsia="Times New Roman" w:hAnsi="Times New Roman"/>
          <w:sz w:val="14"/>
          <w:szCs w:val="14"/>
          <w:color w:val="auto"/>
        </w:rPr>
        <w:t>transfers or exchanges of any certificated Notes selected for redemption, except that we will continue to permit transfers and exchanges of the unredeemed portion of any Note that will be partially redeemed.</w:t>
      </w:r>
    </w:p>
    <w:p>
      <w:pPr>
        <w:spacing w:after="0" w:line="145" w:lineRule="exact"/>
        <w:rPr>
          <w:sz w:val="20"/>
          <w:szCs w:val="20"/>
          <w:color w:val="auto"/>
        </w:rPr>
      </w:pPr>
    </w:p>
    <w:p>
      <w:pPr>
        <w:ind w:right="360" w:firstLine="223"/>
        <w:spacing w:after="0" w:line="287" w:lineRule="auto"/>
        <w:rPr>
          <w:sz w:val="20"/>
          <w:szCs w:val="20"/>
          <w:color w:val="auto"/>
        </w:rPr>
      </w:pPr>
      <w:r>
        <w:rPr>
          <w:rFonts w:ascii="Times New Roman" w:cs="Times New Roman" w:eastAsia="Times New Roman" w:hAnsi="Times New Roman"/>
          <w:sz w:val="14"/>
          <w:szCs w:val="14"/>
          <w:color w:val="auto"/>
        </w:rPr>
        <w:t>If registered Notes are issued in book-entry form, only the depositary will be entitled to transfer and exchange the Notes as described in this subsection, since it will be the sole holder of the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25" w:lineRule="exact"/>
        <w:rPr>
          <w:sz w:val="20"/>
          <w:szCs w:val="20"/>
          <w:color w:val="auto"/>
        </w:rPr>
      </w:pPr>
    </w:p>
    <w:p>
      <w:pPr>
        <w:ind w:right="140" w:firstLine="223"/>
        <w:spacing w:after="0" w:line="266" w:lineRule="auto"/>
        <w:rPr>
          <w:sz w:val="20"/>
          <w:szCs w:val="20"/>
          <w:color w:val="auto"/>
        </w:rPr>
      </w:pPr>
      <w:r>
        <w:rPr>
          <w:rFonts w:ascii="Times New Roman" w:cs="Times New Roman" w:eastAsia="Times New Roman" w:hAnsi="Times New Roman"/>
          <w:sz w:val="14"/>
          <w:szCs w:val="14"/>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Indenture Provisions — Ranking</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Notes will be designated as Senior Securities and, therefore, Senior Indebtedness under the Indenture. Senior Indebtedness is defined in the Indenture as the principal of (and premium, if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unpaid interest on:</w:t>
      </w:r>
    </w:p>
    <w:p>
      <w:pPr>
        <w:spacing w:after="0" w:line="101" w:lineRule="exact"/>
        <w:rPr>
          <w:sz w:val="20"/>
          <w:szCs w:val="20"/>
          <w:color w:val="auto"/>
        </w:rPr>
      </w:pPr>
    </w:p>
    <w:p>
      <w:pPr>
        <w:ind w:left="840" w:right="260" w:hanging="439"/>
        <w:spacing w:after="0" w:line="239" w:lineRule="auto"/>
        <w:tabs>
          <w:tab w:leader="none" w:pos="8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unsecured obligations of the Company designated as Senior Indebtedness under the Indenture, the Notes will rank:</w:t>
      </w:r>
    </w:p>
    <w:p>
      <w:pPr>
        <w:spacing w:after="0" w:line="115" w:lineRule="exact"/>
        <w:rPr>
          <w:sz w:val="20"/>
          <w:szCs w:val="20"/>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23"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or equal, with any of our existing and future unsecured indebtedness;</w:t>
      </w:r>
    </w:p>
    <w:p>
      <w:pPr>
        <w:spacing w:after="0" w:line="392"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any of our future indebtedness that expressly provides it is subordinated to the Notes;</w:t>
      </w:r>
    </w:p>
    <w:p>
      <w:pPr>
        <w:spacing w:after="0" w:line="114" w:lineRule="exact"/>
        <w:rPr>
          <w:rFonts w:ascii="Times New Roman" w:cs="Times New Roman" w:eastAsia="Times New Roman" w:hAnsi="Times New Roman"/>
          <w:sz w:val="14"/>
          <w:szCs w:val="14"/>
          <w:color w:val="auto"/>
        </w:rPr>
      </w:pPr>
    </w:p>
    <w:p>
      <w:pPr>
        <w:ind w:left="840" w:right="60" w:hanging="439"/>
        <w:spacing w:after="0" w:line="239" w:lineRule="auto"/>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subordinated, or junior, to all of our existing and future secured indebtedness (including indebtedness that is initially unsecured to which we subsequently grant security), to the extent of the value of the assets securing such indebtedness; and</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or junior, to all existing and future indebtedness and other obligations of any of our subsidiaries or financing vehicles, if 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2028 Notes:</w:t>
      </w:r>
    </w:p>
    <w:p>
      <w:pPr>
        <w:spacing w:after="0" w:line="265" w:lineRule="exact"/>
        <w:rPr>
          <w:sz w:val="20"/>
          <w:szCs w:val="20"/>
          <w:color w:val="auto"/>
        </w:rPr>
      </w:pPr>
    </w:p>
    <w:p>
      <w:pPr>
        <w:jc w:val="both"/>
        <w:ind w:right="40" w:firstLine="509"/>
        <w:spacing w:after="0" w:line="238"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2028 Notes bear interest at a rate of 8.00% per year payable quarterly on March 1, June 1, September 1 and December 1 of each year, commencing on December 1, 2023. The 2028 Notes will mature on September 1, 2028. The 2028 Notes trade on the Nasdaq Global Market under the trading symbol “NEWTI.” At December 31, 2023, the Company was in compliance with all covenants related to the 2028 Notes. The 2028 Notes were be issued under an Indenture, dated as of August 31, 2023 (the “2028 Notes Base Indenture”), between the Company and U.S.</w:t>
      </w:r>
    </w:p>
    <w:p>
      <w:pPr>
        <w:spacing w:after="0" w:line="3"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4"/>
          <w:szCs w:val="14"/>
          <w:color w:val="auto"/>
        </w:rPr>
        <w:t>Bank Trust Company, National Association, as Trustee (the “Trustee”), as supplemented by a supplemental indenture dated as of August 31, 2023 (the “First Supplemental Indenture” and together with the 2028 Notes Base Indenture, the “2028 Notes Indenture.”)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Set forth below is a summary of the material terms of the 2028 Notes. All references to the “Notes” are to the 2028 Notes and all references to the “Indenture” are to the 2028 Notes Indenture.</w:t>
      </w:r>
    </w:p>
    <w:p>
      <w:pPr>
        <w:sectPr>
          <w:pgSz w:w="11900" w:h="16838" w:orient="portrait"/>
          <w:cols w:equalWidth="0" w:num="1">
            <w:col w:w="11260"/>
          </w:cols>
          <w:pgMar w:left="300" w:top="1143" w:right="339" w:bottom="1440" w:gutter="0" w:footer="0" w:header="0"/>
        </w:sectPr>
      </w:pPr>
    </w:p>
    <w:bookmarkStart w:id="204" w:name="page205"/>
    <w:bookmarkEnd w:id="204"/>
    <w:p>
      <w:pPr>
        <w:ind w:right="180" w:firstLine="347"/>
        <w:spacing w:after="0" w:line="271" w:lineRule="auto"/>
        <w:rPr>
          <w:sz w:val="20"/>
          <w:szCs w:val="20"/>
          <w:color w:val="auto"/>
        </w:rPr>
      </w:pPr>
      <w:r>
        <w:rPr>
          <w:rFonts w:ascii="Times New Roman" w:cs="Times New Roman" w:eastAsia="Times New Roman" w:hAnsi="Times New Roman"/>
          <w:sz w:val="14"/>
          <w:szCs w:val="14"/>
          <w:color w:val="auto"/>
        </w:rPr>
        <w:t>The Notes are the senior unsecured obligations of NewtekOne. There is no sinking fund for the Notes. No recourse will be had for the payment of principal of or interest on any Note, for any claim based thereon, or otherwise in respect thereof, against any shareholder, employee, agent, officer or director as such, past, present or future, of NewtekOne or of any successor person.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Redemption of the Notes</w:t>
      </w:r>
    </w:p>
    <w:p>
      <w:pPr>
        <w:spacing w:after="0" w:line="191" w:lineRule="exact"/>
        <w:rPr>
          <w:sz w:val="20"/>
          <w:szCs w:val="20"/>
          <w:color w:val="auto"/>
        </w:rPr>
      </w:pPr>
    </w:p>
    <w:p>
      <w:pPr>
        <w:ind w:firstLine="347"/>
        <w:spacing w:after="0" w:line="248" w:lineRule="auto"/>
        <w:rPr>
          <w:sz w:val="20"/>
          <w:szCs w:val="20"/>
          <w:color w:val="auto"/>
        </w:rPr>
      </w:pPr>
      <w:r>
        <w:rPr>
          <w:rFonts w:ascii="Times New Roman" w:cs="Times New Roman" w:eastAsia="Times New Roman" w:hAnsi="Times New Roman"/>
          <w:sz w:val="14"/>
          <w:szCs w:val="14"/>
          <w:color w:val="auto"/>
        </w:rPr>
        <w:t>The Notes will be redeemable at the Company’s option, in whole or in part, at any time and from time to time, on or after September 1, 2025, upon not less than 15 days nor more than 60 days written notice to holders prior to the date fixed for redemption thereof, at a redemption price of 100% of the outstanding principal amount of the Notes to be redeemed plus accrued and unpaid interest payments otherwise payable thereon for the then-current quarterly interest period accrued to, but excluding, the date fixed for redemption. The Company must provide notice to the Trustee of any redemption no later than 5 days prior to when notice is sent to holders, unless some shorter period is reasonably agreed to by the Company and the Trustee.</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the Notes are held in book-entry form through DTC, the Company may provide notice in any manner permitted or required by DTC.</w:t>
      </w:r>
    </w:p>
    <w:p>
      <w:pPr>
        <w:spacing w:after="0" w:line="189" w:lineRule="exact"/>
        <w:rPr>
          <w:sz w:val="20"/>
          <w:szCs w:val="20"/>
          <w:color w:val="auto"/>
        </w:rPr>
      </w:pPr>
    </w:p>
    <w:p>
      <w:pPr>
        <w:ind w:firstLine="347"/>
        <w:spacing w:after="0" w:line="271" w:lineRule="auto"/>
        <w:rPr>
          <w:sz w:val="20"/>
          <w:szCs w:val="20"/>
          <w:color w:val="auto"/>
        </w:rPr>
      </w:pPr>
      <w:r>
        <w:rPr>
          <w:rFonts w:ascii="Times New Roman" w:cs="Times New Roman" w:eastAsia="Times New Roman" w:hAnsi="Times New Roman"/>
          <w:sz w:val="14"/>
          <w:szCs w:val="14"/>
          <w:color w:val="auto"/>
        </w:rPr>
        <w:t>Prior to any redemption date, the Company will deposit with the Trustee or a paying agent an amount of money sufficient to pay the redemption price of, and (except if the redemption date is an interest payment date) accrued interest on, the Notes which are to be redeemed on such date.</w:t>
      </w:r>
    </w:p>
    <w:p>
      <w:pPr>
        <w:spacing w:after="0" w:line="146" w:lineRule="exact"/>
        <w:rPr>
          <w:sz w:val="20"/>
          <w:szCs w:val="20"/>
          <w:color w:val="auto"/>
        </w:rPr>
      </w:pPr>
    </w:p>
    <w:p>
      <w:pPr>
        <w:ind w:firstLine="347"/>
        <w:spacing w:after="0" w:line="253" w:lineRule="auto"/>
        <w:rPr>
          <w:sz w:val="20"/>
          <w:szCs w:val="20"/>
          <w:color w:val="auto"/>
        </w:rPr>
      </w:pPr>
      <w:r>
        <w:rPr>
          <w:rFonts w:ascii="Times New Roman" w:cs="Times New Roman" w:eastAsia="Times New Roman" w:hAnsi="Times New Roman"/>
          <w:sz w:val="14"/>
          <w:szCs w:val="14"/>
          <w:color w:val="auto"/>
        </w:rPr>
        <w:t xml:space="preserve">Unless the Company defaults in payment of the redemption price, on and after the redemption date, interest will cease to accrue on the Notes called for redemption. If fewer than all of the Notes of any series are to be redeemed, the particular Notes to be redeemed will be selected by the Company, not more than 60 days prior to the redemption date, from the outstanding Notes not previously called for redemption, in compliance with the policies and procedures of the Trustee and the requirements of the DTC, as 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that the unredeemed portion of the principal amount of any Note will be in an authorized denomination (which will not be less than the minimum authorized denomination) for such Note.</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addition, the Company may at any time purchase Notes by tender, in the open market or by private agreement, subject to applicable law.</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Notes are not subject to repayment at the option of the holder at any time prior to the maturity date and not entitled to any sinking fund.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Ranking of the Notes</w:t>
      </w:r>
    </w:p>
    <w:p>
      <w:pPr>
        <w:spacing w:after="0" w:line="191" w:lineRule="exact"/>
        <w:rPr>
          <w:sz w:val="20"/>
          <w:szCs w:val="20"/>
          <w:color w:val="auto"/>
        </w:rPr>
      </w:pPr>
    </w:p>
    <w:p>
      <w:pPr>
        <w:jc w:val="both"/>
        <w:ind w:right="180" w:firstLine="347"/>
        <w:spacing w:after="0" w:line="254" w:lineRule="auto"/>
        <w:rPr>
          <w:sz w:val="20"/>
          <w:szCs w:val="20"/>
          <w:color w:val="auto"/>
        </w:rPr>
      </w:pPr>
      <w:r>
        <w:rPr>
          <w:rFonts w:ascii="Times New Roman" w:cs="Times New Roman" w:eastAsia="Times New Roman" w:hAnsi="Times New Roman"/>
          <w:sz w:val="14"/>
          <w:szCs w:val="14"/>
          <w:color w:val="auto"/>
        </w:rPr>
        <w:t>The Notes are the senior unsecured obligations of the Company and rank equally in right of payment with any other existing or future senior unsecured obligations (including the 2024 Notes and the 2026 Notes). The Notes are effectively subordinated to all of the Company’s future secured indebtedness to the extent of the value of the Company’s assets securing such indebtedness. The Notes are senior in right of payment to any unsecured and subordinated indebtedness of the Company that is subordinated in right of payment to the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Waivers</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events are “Events of Default” with respect to the Notes:</w:t>
      </w:r>
    </w:p>
    <w:p>
      <w:pPr>
        <w:ind w:left="500" w:hanging="240"/>
        <w:spacing w:after="0" w:line="237" w:lineRule="auto"/>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any interest payment in respect of the Notes;</w:t>
      </w:r>
    </w:p>
    <w:p>
      <w:pPr>
        <w:ind w:left="520" w:hanging="260"/>
        <w:spacing w:after="0" w:line="237" w:lineRule="auto"/>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any principal or premium payment at maturity of the Notes;</w:t>
      </w:r>
    </w:p>
    <w:p>
      <w:pPr>
        <w:ind w:left="500" w:hanging="240"/>
        <w:spacing w:after="0" w:line="237" w:lineRule="auto"/>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deposit of any sinking fund when and as due by the terms of the Notes;</w:t>
      </w:r>
    </w:p>
    <w:p>
      <w:pPr>
        <w:ind w:left="520" w:hanging="260"/>
        <w:spacing w:after="0" w:line="237" w:lineRule="auto"/>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the Indenture for 90 days after the receipt of a notice of default;</w:t>
      </w:r>
    </w:p>
    <w:p>
      <w:pPr>
        <w:ind w:left="520" w:right="160" w:hanging="260"/>
        <w:spacing w:after="0" w:line="242" w:lineRule="auto"/>
        <w:tabs>
          <w:tab w:leader="none" w:pos="51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by the Company under any bond, debenture, note or other evidence of indebtedness for money borrowed by the Company having an aggregate principal amount outstanding of at least $8,000,000, whether such indebtedness now exists or is created or incurred in the future, which default (i) constitutes a failure to pay any portion of the principal of such indebtedness when due and payable after the expiration of</w:t>
      </w:r>
    </w:p>
    <w:p>
      <w:pPr>
        <w:sectPr>
          <w:pgSz w:w="11900" w:h="16838" w:orient="portrait"/>
          <w:cols w:equalWidth="0" w:num="1">
            <w:col w:w="11280"/>
          </w:cols>
          <w:pgMar w:left="300" w:top="1132" w:right="319" w:bottom="1440" w:gutter="0" w:footer="0" w:header="0"/>
        </w:sectPr>
      </w:pPr>
    </w:p>
    <w:bookmarkStart w:id="205" w:name="page206"/>
    <w:bookmarkEnd w:id="205"/>
    <w:p>
      <w:pPr>
        <w:ind w:left="520"/>
        <w:spacing w:after="0" w:line="243" w:lineRule="auto"/>
        <w:rPr>
          <w:sz w:val="20"/>
          <w:szCs w:val="20"/>
          <w:color w:val="auto"/>
        </w:rPr>
      </w:pPr>
      <w:r>
        <w:rPr>
          <w:rFonts w:ascii="Times New Roman" w:cs="Times New Roman" w:eastAsia="Times New Roman" w:hAnsi="Times New Roman"/>
          <w:sz w:val="14"/>
          <w:szCs w:val="14"/>
          <w:color w:val="auto"/>
        </w:rPr>
        <w:t>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such indebtedness having been discharged or such acceleration having been rescinded or annulled; provided, that for purposes of the Indenture, the term “indebtedness” shall not include any indebtedness or obligations of subsidiaries of the Company that is guaranteed by the Company; and</w:t>
      </w:r>
    </w:p>
    <w:p>
      <w:pPr>
        <w:spacing w:after="0" w:line="1" w:lineRule="exact"/>
        <w:rPr>
          <w:sz w:val="20"/>
          <w:szCs w:val="20"/>
          <w:color w:val="auto"/>
        </w:rPr>
      </w:pPr>
    </w:p>
    <w:p>
      <w:pPr>
        <w:ind w:left="520" w:hanging="260"/>
        <w:spacing w:after="0"/>
        <w:tabs>
          <w:tab w:leader="none" w:pos="5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Bankruptcy, insolvency or reorganization of the Company.</w:t>
      </w:r>
    </w:p>
    <w:p>
      <w:pPr>
        <w:spacing w:after="0" w:line="173" w:lineRule="exact"/>
        <w:rPr>
          <w:sz w:val="20"/>
          <w:szCs w:val="20"/>
          <w:color w:val="auto"/>
        </w:rPr>
      </w:pPr>
    </w:p>
    <w:p>
      <w:pPr>
        <w:ind w:right="40" w:firstLine="347"/>
        <w:spacing w:after="0"/>
        <w:rPr>
          <w:sz w:val="20"/>
          <w:szCs w:val="20"/>
          <w:color w:val="auto"/>
        </w:rPr>
      </w:pPr>
      <w:r>
        <w:rPr>
          <w:rFonts w:ascii="Times New Roman" w:cs="Times New Roman" w:eastAsia="Times New Roman" w:hAnsi="Times New Roman"/>
          <w:sz w:val="14"/>
          <w:szCs w:val="14"/>
          <w:color w:val="auto"/>
        </w:rPr>
        <w:t>If an Event of Default relating to the Notes has occurred and is continuing, either the Trustee or the holders of at least 25% in aggregate principal amount of the outstanding Notes of such series may declare the principal amount of the Notes to be due and payable immediately. No such declaration is required, however, with respect to an Event of Default triggered by bankruptcy, insolvency or reorganization. Subject to certain conditions, this declaration may be annulled by the holders of a majority in principal amount of the Notes. In addition, the holders of a majority in principal amount of Notes of all affected series (voting as one class except in the case of Events of Default regarding a default in any principal, premium or interest payment or deposit of any sinking fund, as to which each series so affected will vote as a separate class) may waive any past default with respect to the Notes of such series. The Trustee shall not be deemed to have knowledge or notice of the occurrence of any default or event of default, unless a responsible trust officer of the Trustee shall have received written notice from the Company or a holder describing such default or event of default and stating that such notice is a notice of default or event of default.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91" w:lineRule="exact"/>
        <w:rPr>
          <w:sz w:val="20"/>
          <w:szCs w:val="20"/>
          <w:color w:val="auto"/>
        </w:rPr>
      </w:pPr>
    </w:p>
    <w:p>
      <w:pPr>
        <w:ind w:right="620" w:firstLine="347"/>
        <w:spacing w:after="0" w:line="249" w:lineRule="auto"/>
        <w:rPr>
          <w:sz w:val="20"/>
          <w:szCs w:val="20"/>
          <w:color w:val="auto"/>
        </w:rPr>
      </w:pPr>
      <w:r>
        <w:rPr>
          <w:rFonts w:ascii="Times New Roman" w:cs="Times New Roman" w:eastAsia="Times New Roman" w:hAnsi="Times New Roman"/>
          <w:sz w:val="14"/>
          <w:szCs w:val="14"/>
          <w:color w:val="auto"/>
        </w:rPr>
        <w:t>Without the consent of any holders of any Notes, the Company, when authorized by a board resolution, and the Trustee, at any time and from time to time, may enter into one or more supplemental indentures, in form satisfactory to the Trustee, for any of the following purposes:</w:t>
      </w:r>
    </w:p>
    <w:p>
      <w:pPr>
        <w:ind w:left="500" w:hanging="240"/>
        <w:spacing w:after="0" w:line="237" w:lineRule="auto"/>
        <w:tabs>
          <w:tab w:leader="none" w:pos="5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the Company and the assumption by any such successor of the covenants of the Company in the Indenture and in the Notes; or</w:t>
      </w:r>
    </w:p>
    <w:p>
      <w:pPr>
        <w:ind w:left="520" w:right="80" w:hanging="260"/>
        <w:spacing w:after="0" w:line="237" w:lineRule="auto"/>
        <w:tabs>
          <w:tab w:leader="none" w:pos="5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debt securities, including the Notes (and if such covenants are to be for the benefit of less than all series of debt securities, stating that such covenants are expressly being included solely for the benefit of such series), or to surrender any right or power conferred upon the Company</w:t>
      </w:r>
    </w:p>
    <w:p>
      <w:pPr>
        <w:ind w:left="520"/>
        <w:spacing w:after="0" w:line="237" w:lineRule="auto"/>
        <w:rPr>
          <w:sz w:val="20"/>
          <w:szCs w:val="20"/>
          <w:color w:val="auto"/>
        </w:rPr>
      </w:pPr>
      <w:r>
        <w:rPr>
          <w:rFonts w:ascii="Times New Roman" w:cs="Times New Roman" w:eastAsia="Times New Roman" w:hAnsi="Times New Roman"/>
          <w:sz w:val="14"/>
          <w:szCs w:val="14"/>
          <w:color w:val="auto"/>
        </w:rPr>
        <w:t>pursuant to the Indenture; or</w:t>
      </w:r>
    </w:p>
    <w:p>
      <w:pPr>
        <w:spacing w:after="0" w:line="1" w:lineRule="exact"/>
        <w:rPr>
          <w:sz w:val="20"/>
          <w:szCs w:val="20"/>
          <w:color w:val="auto"/>
        </w:rPr>
      </w:pPr>
    </w:p>
    <w:p>
      <w:pPr>
        <w:ind w:left="520" w:right="260" w:hanging="260"/>
        <w:spacing w:after="0" w:line="229" w:lineRule="auto"/>
        <w:tabs>
          <w:tab w:leader="none" w:pos="51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for the benefit of the holders of all or any series of debt securities (and if such additional Events of Default are to be for the benefit of less than all series of debt securities, stating that such additional Events of Default are expressly being included solely for the benefit of such series); or</w:t>
      </w:r>
    </w:p>
    <w:p>
      <w:pPr>
        <w:ind w:left="520" w:right="360" w:hanging="260"/>
        <w:spacing w:after="0" w:line="237" w:lineRule="auto"/>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any of the provisions of the Indenture to such extent as will be necessary to permit or facilitate the issuance of debt securities, including the Notes, registrable or not registrable as to principal, and with or without interest coupons, or to permit or facilitate the issuance of Notes in uncertificated form; or</w:t>
      </w:r>
    </w:p>
    <w:p>
      <w:pPr>
        <w:ind w:left="520" w:right="240" w:hanging="260"/>
        <w:spacing w:after="0" w:line="237" w:lineRule="auto"/>
        <w:tabs>
          <w:tab w:leader="none" w:pos="51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change or eliminate any of the provisions of the Indenture in respect of one or more series of debt securities under the Indenture, provided that any such addition, change or elimination (i) will neither (A) apply to any such securities of any series created prior to the execution of such supplemental indenture and entitled to the benefit of such provision nor (B) modify the rights of the holder of any such securities with respect to such provision or (ii) will become effective only when there is no such securities outstanding; or</w:t>
      </w:r>
    </w:p>
    <w:p>
      <w:pPr>
        <w:ind w:left="520" w:hanging="260"/>
        <w:spacing w:after="0" w:line="237" w:lineRule="auto"/>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Notes or provide for guarantees of the Notes; or</w:t>
      </w:r>
    </w:p>
    <w:p>
      <w:pPr>
        <w:ind w:left="500" w:hanging="240"/>
        <w:spacing w:after="0" w:line="237" w:lineRule="auto"/>
        <w:tabs>
          <w:tab w:leader="none" w:pos="5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 under the Indenture as permitted pursuant thereto; or</w:t>
      </w:r>
    </w:p>
    <w:p>
      <w:pPr>
        <w:ind w:left="520" w:right="20" w:hanging="260"/>
        <w:spacing w:after="0" w:line="237" w:lineRule="auto"/>
        <w:tabs>
          <w:tab w:leader="none" w:pos="51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Indenture by a successor Trustee with respect to the debt securities of one or more series, including the Notes, and to add to or change any of the provisions of the Indenture as will be necessary to provide for or facilitate the administration of the trusts thereunder by more than one Trustee; or</w:t>
      </w:r>
    </w:p>
    <w:p>
      <w:pPr>
        <w:ind w:left="520" w:hanging="260"/>
        <w:spacing w:after="0" w:line="237" w:lineRule="auto"/>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qualifying the Indenture under the Trust Indenture Act; or</w:t>
      </w:r>
    </w:p>
    <w:p>
      <w:pPr>
        <w:ind w:left="520" w:hanging="260"/>
        <w:spacing w:after="0" w:line="237" w:lineRule="auto"/>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in the Indenture which may be defective or inconsistent with any other provision therein; or</w:t>
      </w:r>
    </w:p>
    <w:p>
      <w:pPr>
        <w:ind w:left="520" w:right="340" w:hanging="260"/>
        <w:spacing w:after="0" w:line="235" w:lineRule="auto"/>
        <w:tabs>
          <w:tab w:leader="none" w:pos="51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to the extent necessary to permit or facilitate the defeasance and discharge of any series of debt securities pursuant to the Indenture; provided that any such</w:t>
      </w:r>
    </w:p>
    <w:p>
      <w:pPr>
        <w:sectPr>
          <w:pgSz w:w="11900" w:h="16838" w:orient="portrait"/>
          <w:cols w:equalWidth="0" w:num="1">
            <w:col w:w="11280"/>
          </w:cols>
          <w:pgMar w:left="300" w:top="1133" w:right="319" w:bottom="1440" w:gutter="0" w:footer="0" w:header="0"/>
        </w:sectPr>
      </w:pPr>
    </w:p>
    <w:bookmarkStart w:id="206" w:name="page207"/>
    <w:bookmarkEnd w:id="206"/>
    <w:p>
      <w:pPr>
        <w:ind w:left="520"/>
        <w:spacing w:after="0"/>
        <w:rPr>
          <w:sz w:val="20"/>
          <w:szCs w:val="20"/>
          <w:color w:val="auto"/>
        </w:rPr>
      </w:pPr>
      <w:r>
        <w:rPr>
          <w:rFonts w:ascii="Times New Roman" w:cs="Times New Roman" w:eastAsia="Times New Roman" w:hAnsi="Times New Roman"/>
          <w:sz w:val="14"/>
          <w:szCs w:val="14"/>
          <w:color w:val="auto"/>
        </w:rPr>
        <w:t>action will not adversely affect the interests of the holders of securities of any series issued under the Indenture in any material respect; or</w:t>
      </w:r>
    </w:p>
    <w:p>
      <w:pPr>
        <w:spacing w:after="0" w:line="12" w:lineRule="exact"/>
        <w:rPr>
          <w:sz w:val="20"/>
          <w:szCs w:val="20"/>
          <w:color w:val="auto"/>
        </w:rPr>
      </w:pPr>
    </w:p>
    <w:p>
      <w:pPr>
        <w:ind w:left="500" w:hanging="240"/>
        <w:spacing w:after="0"/>
        <w:tabs>
          <w:tab w:leader="none" w:pos="5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provisions with respect to conversion or exchange rights of holders of securities of any series; or</w:t>
      </w:r>
    </w:p>
    <w:p>
      <w:pPr>
        <w:ind w:left="520" w:hanging="260"/>
        <w:spacing w:after="0" w:line="237" w:lineRule="auto"/>
        <w:tabs>
          <w:tab w:leader="none" w:pos="5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delete from or revise the conditions, limitations or restrictions on issue, authentication and delivery of securities; or</w:t>
      </w:r>
    </w:p>
    <w:p>
      <w:pPr>
        <w:ind w:left="500" w:hanging="240"/>
        <w:spacing w:after="0" w:line="237" w:lineRule="auto"/>
        <w:tabs>
          <w:tab w:leader="none" w:pos="5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terms of the Notes or the Indenture with the description set forth in this prospectus supplement or with the requirements of the Trust Indenture Act; or</w:t>
      </w:r>
    </w:p>
    <w:p>
      <w:pPr>
        <w:ind w:left="520" w:right="260" w:hanging="260"/>
        <w:spacing w:after="0" w:line="247" w:lineRule="auto"/>
        <w:tabs>
          <w:tab w:leader="none" w:pos="51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provisions with respect to matters or questions arising under the Indenture, provided that such action pursuant to this clause will not adversely affect the interests of the holders of debt securities of any series, including the Notes, in any material respect.</w:t>
      </w:r>
    </w:p>
    <w:p>
      <w:pPr>
        <w:spacing w:after="0" w:line="162" w:lineRule="exact"/>
        <w:rPr>
          <w:sz w:val="20"/>
          <w:szCs w:val="20"/>
          <w:color w:val="auto"/>
        </w:rPr>
      </w:pPr>
    </w:p>
    <w:p>
      <w:pPr>
        <w:ind w:right="20" w:firstLine="347"/>
        <w:spacing w:after="0" w:line="243" w:lineRule="auto"/>
        <w:rPr>
          <w:sz w:val="20"/>
          <w:szCs w:val="20"/>
          <w:color w:val="auto"/>
        </w:rPr>
      </w:pPr>
      <w:r>
        <w:rPr>
          <w:rFonts w:ascii="Times New Roman" w:cs="Times New Roman" w:eastAsia="Times New Roman" w:hAnsi="Times New Roman"/>
          <w:sz w:val="14"/>
          <w:szCs w:val="14"/>
          <w:color w:val="auto"/>
        </w:rPr>
        <w:t>With the consent of the holders of not less than a majority in principal amount of the outstanding Notes of each series affected by such supplemental indenture, by act of such holders delivered to the Company and the Trustee, the Company, when authorized by a board resolution, and the Trustee may enter into one or more supplemental indentures for the purpose of adding any provisions to or changing in any manner or eliminating any of the provisions of the Indenture or of modifying in any manner the rights of the holders of Notes of such series under the Indenture; provided, however, that no such supplemental indenture will, without the consent of the holder of each outstanding Note affected thereby:</w:t>
      </w:r>
    </w:p>
    <w:p>
      <w:pPr>
        <w:spacing w:after="0" w:line="165" w:lineRule="exact"/>
        <w:rPr>
          <w:sz w:val="20"/>
          <w:szCs w:val="20"/>
          <w:color w:val="auto"/>
        </w:rPr>
      </w:pPr>
    </w:p>
    <w:p>
      <w:pPr>
        <w:ind w:left="520" w:hanging="260"/>
        <w:spacing w:after="0" w:line="242" w:lineRule="auto"/>
        <w:tabs>
          <w:tab w:leader="none" w:pos="51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Note, or reduce the principal amount thereof or the rate of interest thereon or any premium payable upon the redemption thereof, or reduce the amount of the principal of any Note which would be due and payable upon a declaration of acceleration of the maturity thereof pursuant to the terms of the Indenture, adversely affect any right of repayment at the option of the holder of any security issued under the Indenture, or change any place of payment where any Note or any premium or interest thereon is payable, or impair the right to institute suit for the enforcement of any such payment on or after the stated maturity thereof (or, in the case of redemption, on or after the redemption date), or</w:t>
      </w:r>
    </w:p>
    <w:p>
      <w:pPr>
        <w:ind w:left="520" w:right="340" w:hanging="260"/>
        <w:spacing w:after="0" w:line="237" w:lineRule="auto"/>
        <w:tabs>
          <w:tab w:leader="none" w:pos="5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Notes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 or</w:t>
      </w:r>
    </w:p>
    <w:p>
      <w:pPr>
        <w:ind w:left="520" w:right="100" w:hanging="260"/>
        <w:spacing w:after="0" w:line="236" w:lineRule="auto"/>
        <w:tabs>
          <w:tab w:leader="none" w:pos="51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this paragraph or certain provisions of the Indenture relating to waivers of past defaults and waivers of certain covenants, except to increase any such percentage or to provide that certain other provisions of the Indenture cannot be modified or waived without the consent of the holder of each outstanding Note affected thereby; provided, however, that this clause will not be deemed to require the consent of any holder with respect to changes in the references to “the Trustee” and concomitant changes in this paragraph, or the deletion of this proviso, in certain circumstances.</w:t>
      </w:r>
    </w:p>
    <w:p>
      <w:pPr>
        <w:spacing w:after="0" w:line="168" w:lineRule="exact"/>
        <w:rPr>
          <w:sz w:val="20"/>
          <w:szCs w:val="20"/>
          <w:color w:val="auto"/>
        </w:rPr>
      </w:pPr>
    </w:p>
    <w:p>
      <w:pPr>
        <w:ind w:right="40" w:firstLine="347"/>
        <w:spacing w:after="0" w:line="254"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will be deemed not to affect the rights under the Indenture of the holders of debt securities of any other series.</w:t>
      </w:r>
    </w:p>
    <w:p>
      <w:pPr>
        <w:spacing w:after="0" w:line="157" w:lineRule="exact"/>
        <w:rPr>
          <w:sz w:val="20"/>
          <w:szCs w:val="20"/>
          <w:color w:val="auto"/>
        </w:rPr>
      </w:pPr>
    </w:p>
    <w:p>
      <w:pPr>
        <w:jc w:val="both"/>
        <w:ind w:firstLine="347"/>
        <w:spacing w:after="0" w:line="254" w:lineRule="auto"/>
        <w:rPr>
          <w:sz w:val="20"/>
          <w:szCs w:val="20"/>
          <w:color w:val="auto"/>
        </w:rPr>
      </w:pPr>
      <w:r>
        <w:rPr>
          <w:rFonts w:ascii="Times New Roman" w:cs="Times New Roman" w:eastAsia="Times New Roman" w:hAnsi="Times New Roman"/>
          <w:sz w:val="14"/>
          <w:szCs w:val="14"/>
          <w:color w:val="auto"/>
        </w:rPr>
        <w:t>In connection with any modification, amendment, supplement or waiver in respect of the indenture or the notes, we must deliver to the Trustee an officers’ certificate and an opinion of counsel, each stating (i) that such modification, amendment, supplement or waiver is authorized or permitted pursuant to the terms of the indenture and the notes, and (ii) that all related conditions precedent to such modification, amendment, supplement or waiver have been complied with; and (iii) that such supplemental indenture will be valid and binding upon the Company in accordance with its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91" w:lineRule="exact"/>
        <w:rPr>
          <w:sz w:val="20"/>
          <w:szCs w:val="20"/>
          <w:color w:val="auto"/>
        </w:rPr>
      </w:pPr>
    </w:p>
    <w:p>
      <w:pPr>
        <w:jc w:val="both"/>
        <w:ind w:right="340" w:firstLine="347"/>
        <w:spacing w:after="0" w:line="254" w:lineRule="auto"/>
        <w:rPr>
          <w:sz w:val="20"/>
          <w:szCs w:val="20"/>
          <w:color w:val="auto"/>
        </w:rPr>
      </w:pPr>
      <w:r>
        <w:rPr>
          <w:rFonts w:ascii="Times New Roman" w:cs="Times New Roman" w:eastAsia="Times New Roman" w:hAnsi="Times New Roman"/>
          <w:sz w:val="14"/>
          <w:szCs w:val="14"/>
          <w:color w:val="auto"/>
        </w:rPr>
        <w:t>The Indenture provides that the Company may not consolidate with or merge into another person or convey, transfer or lease its properties and assets substantially as an entirety to another person or permit any person to consolidate with or merge into the Company or convey, transfer or lease its properties and assets substantially as an entirety to the Company unless: (i) in case the Company will consolidate with or merge into another person or convey, transfer or lease its properties and assets substantially as an entirety to another person, the person formed by</w:t>
      </w:r>
    </w:p>
    <w:p>
      <w:pPr>
        <w:sectPr>
          <w:pgSz w:w="11900" w:h="16838" w:orient="portrait"/>
          <w:cols w:equalWidth="0" w:num="1">
            <w:col w:w="11280"/>
          </w:cols>
          <w:pgMar w:left="300" w:top="1133" w:right="3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color w:val="auto"/>
        </w:rPr>
        <w:t>the consolidation or into which the Company is merged or the person which acquires by conveyance or transfer, or which leases the properties and assets of the Company substantially as an entirety,</w:t>
      </w:r>
    </w:p>
    <w:p>
      <w:pPr>
        <w:spacing w:after="0" w:line="14" w:lineRule="exact"/>
        <w:rPr>
          <w:sz w:val="20"/>
          <w:szCs w:val="20"/>
          <w:color w:val="auto"/>
        </w:rPr>
      </w:pPr>
    </w:p>
    <w:p>
      <w:pPr>
        <w:ind w:right="80" w:firstLine="5"/>
        <w:spacing w:after="0" w:line="239" w:lineRule="auto"/>
        <w:tabs>
          <w:tab w:leader="none" w:pos="192"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corporation organized and validly existing under the laws of the United States of America, any State thereof or the District of Columbia and (b) expressly assumes by supplemental indenture, executed and delivered to the Trustee, the due and punctual payment of the principal of and any premium and interest on all the Notes and the performance or observance of every covenant of the Indenture on the part of the Company to be performed or observed; and (ii) immediately after giving effect to the transaction, no Event of Default and no event which, after notice or lapse of time or both, would become an Event of Default will have occurred and be continuing under the Indenture, and the Company has delivered to the Trustee an officers’ certificate and an opinion of counsel as required by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Restrictive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or Issuance of Voting Stock of the Bank</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the Company may not effect a “Sale of the Bank.”. For purposes of the Indenture:</w:t>
      </w:r>
    </w:p>
    <w:p>
      <w:pPr>
        <w:spacing w:after="0" w:line="200" w:lineRule="exact"/>
        <w:rPr>
          <w:sz w:val="20"/>
          <w:szCs w:val="20"/>
          <w:color w:val="auto"/>
        </w:rPr>
      </w:pPr>
    </w:p>
    <w:p>
      <w:pPr>
        <w:ind w:firstLine="347"/>
        <w:spacing w:after="0" w:line="247" w:lineRule="auto"/>
        <w:rPr>
          <w:sz w:val="20"/>
          <w:szCs w:val="20"/>
          <w:color w:val="auto"/>
        </w:rPr>
      </w:pPr>
      <w:r>
        <w:rPr>
          <w:rFonts w:ascii="Times New Roman" w:cs="Times New Roman" w:eastAsia="Times New Roman" w:hAnsi="Times New Roman"/>
          <w:sz w:val="14"/>
          <w:szCs w:val="14"/>
          <w:color w:val="auto"/>
        </w:rPr>
        <w:t xml:space="preserve">“Sale of the Bank” means (i) the sale, transfer, lease or conveyance by the Company, or an issuance of stock by the Material Bank Subsidiary, in either case resulting in ownership by the Company of securities that provides it with less than 80% of the Material Bank Subsidiary’s outstanding voting equity securities, calculated on the basis of voting power;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4"/>
          <w:szCs w:val="14"/>
          <w:color w:val="auto"/>
        </w:rPr>
        <w:t>, a merger of the Company or the conveyance, transfer or lease of all or substantially all of the Company’s properties and assets will not constitute a Sale of the Bank so long as the Company satisfies the</w:t>
      </w:r>
    </w:p>
    <w:p>
      <w:pPr>
        <w:spacing w:after="0" w:line="1"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4"/>
          <w:szCs w:val="14"/>
          <w:color w:val="auto"/>
        </w:rPr>
        <w:t>conditions described under the heading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4"/>
          <w:szCs w:val="14"/>
          <w:i w:val="1"/>
          <w:iCs w:val="1"/>
          <w:color w:val="auto"/>
        </w:rPr>
        <w:t>Consolidation, Merger and Sale of Assets</w:t>
      </w:r>
      <w:r>
        <w:rPr>
          <w:rFonts w:ascii="Times New Roman" w:cs="Times New Roman" w:eastAsia="Times New Roman" w:hAnsi="Times New Roman"/>
          <w:sz w:val="14"/>
          <w:szCs w:val="14"/>
          <w:color w:val="auto"/>
        </w:rPr>
        <w:t>” or (ii) the lease, sale, assignment or transfer of all or substantially all of the Material Bank Subsidiary’ properties and assets to any person (other than the Company) in a single transaction or series of related transactions, unless, upon such lease, sale, assignment or transfer, the Company will own, directly or indirectly, at least 80% of the issued and outstanding Voting Stock of that person.</w:t>
      </w:r>
    </w:p>
    <w:p>
      <w:pPr>
        <w:spacing w:after="0" w:line="165" w:lineRule="exact"/>
        <w:rPr>
          <w:sz w:val="20"/>
          <w:szCs w:val="20"/>
          <w:color w:val="auto"/>
        </w:rPr>
      </w:pPr>
    </w:p>
    <w:p>
      <w:pPr>
        <w:ind w:right="360" w:firstLine="347"/>
        <w:spacing w:after="0" w:line="271" w:lineRule="auto"/>
        <w:rPr>
          <w:sz w:val="20"/>
          <w:szCs w:val="20"/>
          <w:color w:val="auto"/>
        </w:rPr>
      </w:pPr>
      <w:r>
        <w:rPr>
          <w:rFonts w:ascii="Times New Roman" w:cs="Times New Roman" w:eastAsia="Times New Roman" w:hAnsi="Times New Roman"/>
          <w:sz w:val="14"/>
          <w:szCs w:val="14"/>
          <w:color w:val="auto"/>
        </w:rPr>
        <w:t>“Voting Stock” means stock which ordinarily has voting power for the election of directors, managers, trustees or equivalent of such corporation, whether at all times or only so long as no senior class of stock has such voting power by reason of any contingency.</w:t>
      </w:r>
    </w:p>
    <w:p>
      <w:pPr>
        <w:spacing w:after="0" w:line="146" w:lineRule="exact"/>
        <w:rPr>
          <w:sz w:val="20"/>
          <w:szCs w:val="20"/>
          <w:color w:val="auto"/>
        </w:rPr>
      </w:pPr>
    </w:p>
    <w:p>
      <w:pPr>
        <w:ind w:right="160" w:firstLine="347"/>
        <w:spacing w:after="0" w:line="271" w:lineRule="auto"/>
        <w:rPr>
          <w:sz w:val="20"/>
          <w:szCs w:val="20"/>
          <w:color w:val="auto"/>
        </w:rPr>
      </w:pPr>
      <w:r>
        <w:rPr>
          <w:rFonts w:ascii="Times New Roman" w:cs="Times New Roman" w:eastAsia="Times New Roman" w:hAnsi="Times New Roman"/>
          <w:sz w:val="14"/>
          <w:szCs w:val="14"/>
          <w:color w:val="auto"/>
        </w:rPr>
        <w:t>“Material Bank Subsidiary” for purposes of the Indenture means Newtek Bank, National Association or any successor thereof and any other subsidiary of the Company that (x) is a “bank” as defined in Section 3 of the Federal Deposit Insurance Act and (y) that has consolidated assets equal to 30% or more of the Company’s consolidated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Upon Liens on Certain Capital Stock</w:t>
      </w:r>
    </w:p>
    <w:p>
      <w:pPr>
        <w:spacing w:after="0" w:line="191" w:lineRule="exact"/>
        <w:rPr>
          <w:sz w:val="20"/>
          <w:szCs w:val="20"/>
          <w:color w:val="auto"/>
        </w:rPr>
      </w:pPr>
    </w:p>
    <w:p>
      <w:pPr>
        <w:ind w:firstLine="347"/>
        <w:spacing w:after="0" w:line="246" w:lineRule="auto"/>
        <w:rPr>
          <w:sz w:val="20"/>
          <w:szCs w:val="20"/>
          <w:color w:val="auto"/>
        </w:rPr>
      </w:pPr>
      <w:r>
        <w:rPr>
          <w:rFonts w:ascii="Times New Roman" w:cs="Times New Roman" w:eastAsia="Times New Roman" w:hAnsi="Times New Roman"/>
          <w:sz w:val="14"/>
          <w:szCs w:val="14"/>
          <w:color w:val="auto"/>
        </w:rPr>
        <w:t xml:space="preserve">The Indenture provides that the Company will not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for or purchase shares of such Voting Stock), directly or indirectly (except for directors’ qualifying shares), without making effective provision whereby the Notes will be equally and ratably secured with any and all such indebtedness if, treating such pledge, encumbrance or lien as a transfer of the shares of, or securities convertible into or options, warrants or rights to subscribe for or purchase shares of, Voting Stock of a Material Bank Subsidiary subject thereto to the secured party and after giving effect to the issuance of the maximum number of shares of Voting Stock of a Material Bank Subsidiary issuable upon the exercise of all such convertible securities, options, warrants or rights, the Company would not continue to own at least 80% of the issued and outstanding Voting Stock of a Material Bank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4"/>
          <w:szCs w:val="14"/>
          <w:color w:val="auto"/>
        </w:rPr>
        <w:t>, that, notwithstanding the foregoing, the Company may incur or suffer to be incurred or to exist upon such capital stock:</w:t>
      </w:r>
    </w:p>
    <w:p>
      <w:pPr>
        <w:spacing w:after="0" w:line="156" w:lineRule="exact"/>
        <w:rPr>
          <w:sz w:val="20"/>
          <w:szCs w:val="20"/>
          <w:color w:val="auto"/>
        </w:rPr>
      </w:pPr>
    </w:p>
    <w:p>
      <w:pPr>
        <w:ind w:right="60" w:firstLine="514"/>
        <w:spacing w:after="0" w:line="271" w:lineRule="auto"/>
        <w:tabs>
          <w:tab w:leader="none" w:pos="709"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any such shares of Voting Stock to secure indebtedness of the Company or a Material Bank Subsidiary as part of the purchase price of such shares of Voting Stock, or incurred prior to, at the time of or within 120 days after acquisition thereof for the purpose of financing all or any part of the purchase price thereof;</w:t>
      </w:r>
    </w:p>
    <w:p>
      <w:pPr>
        <w:sectPr>
          <w:pgSz w:w="11900" w:h="16838" w:orient="portrait"/>
          <w:cols w:equalWidth="0" w:num="1">
            <w:col w:w="11280"/>
          </w:cols>
          <w:pgMar w:left="300" w:top="1133" w:right="319" w:bottom="1440" w:gutter="0" w:footer="0" w:header="0"/>
        </w:sectPr>
      </w:pPr>
    </w:p>
    <w:bookmarkStart w:id="208" w:name="page209"/>
    <w:bookmarkEnd w:id="208"/>
    <w:p>
      <w:pPr>
        <w:ind w:firstLine="514"/>
        <w:spacing w:after="0" w:line="254" w:lineRule="auto"/>
        <w:tabs>
          <w:tab w:leader="none" w:pos="709"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 charges or levies (A) which are not yet due or payable without penalty, (B) which the Company is contesting in good faith by appropriate proceedings so long as the Company has set aside on its books such reserves as shall be required in respect thereof in accordance with generally accepted accounting principles or (C) which secure obligations of less than $1,000,000 in amount;</w:t>
      </w:r>
    </w:p>
    <w:p>
      <w:pPr>
        <w:spacing w:after="0" w:line="157" w:lineRule="exact"/>
        <w:rPr>
          <w:rFonts w:ascii="Times New Roman" w:cs="Times New Roman" w:eastAsia="Times New Roman" w:hAnsi="Times New Roman"/>
          <w:sz w:val="14"/>
          <w:szCs w:val="14"/>
          <w:color w:val="auto"/>
        </w:rPr>
      </w:pPr>
    </w:p>
    <w:p>
      <w:pPr>
        <w:jc w:val="both"/>
        <w:ind w:right="240" w:firstLine="514"/>
        <w:spacing w:after="0" w:line="254" w:lineRule="auto"/>
        <w:tabs>
          <w:tab w:leader="none" w:pos="709"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 of any judgment, if that judgment (A) is discharged, or stayed on appeal or otherwise, within 60 days, (B) is currently being contested in good faith by appropriate proceedings so long as the Company has set aside on its books such reserves as shall be required in respect thereof in conformity with generally accepted accounting principles or (C) involves claims of less than $1,000,000; or</w:t>
      </w:r>
    </w:p>
    <w:p>
      <w:pPr>
        <w:spacing w:after="0" w:line="157"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pledge or lien on the Voting Stock of a Material Bank Subsidiary to secure a loan or other extension of credit by a Material Bank Subsidiary.</w:t>
      </w:r>
    </w:p>
    <w:p>
      <w:pPr>
        <w:spacing w:after="0" w:line="179" w:lineRule="exact"/>
        <w:rPr>
          <w:sz w:val="20"/>
          <w:szCs w:val="20"/>
          <w:color w:val="auto"/>
        </w:rPr>
      </w:pPr>
    </w:p>
    <w:p>
      <w:pPr>
        <w:ind w:right="20" w:firstLine="347"/>
        <w:spacing w:after="0" w:line="242" w:lineRule="auto"/>
        <w:rPr>
          <w:sz w:val="20"/>
          <w:szCs w:val="20"/>
          <w:color w:val="auto"/>
        </w:rPr>
      </w:pPr>
      <w:r>
        <w:rPr>
          <w:rFonts w:ascii="Times New Roman" w:cs="Times New Roman" w:eastAsia="Times New Roman" w:hAnsi="Times New Roman"/>
          <w:sz w:val="14"/>
          <w:szCs w:val="14"/>
          <w:color w:val="auto"/>
        </w:rPr>
        <w:t>In case the Company proposes to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or purchase shares of such Voting Stock), directly or indirectly, other than as permitted by the Indenture, the Company will give prior written notice to the Trustee, and will prior to or simultaneously with such pledge, encumbrance or lien, by a future supplemental indenture delivered to the Trustee, in form satisfactory to it, effectively secure all the Notes equally and ratably with such indebtedness, by pledge, encumbrance or lien of such Voting Stock. Such supplemental indenture must contain the provisions, concerning the possession, control, release and substitution of encumbered and pledge property and securities and other appropriate matters which are required or permitted by the Trust Indenture Act (as in effect at the date of execution of such supplemental indenture) to be included in a secured indenture qualified under the Trust Indenture Act and may also contain such additional and mandatory provisions permitted by the Trust Indenture Act as the Company will deem advisable or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Waiver of Covenants</w:t>
      </w:r>
    </w:p>
    <w:p>
      <w:pPr>
        <w:spacing w:after="0" w:line="191" w:lineRule="exact"/>
        <w:rPr>
          <w:sz w:val="20"/>
          <w:szCs w:val="20"/>
          <w:color w:val="auto"/>
        </w:rPr>
      </w:pPr>
    </w:p>
    <w:p>
      <w:pPr>
        <w:ind w:right="120" w:firstLine="347"/>
        <w:spacing w:after="0" w:line="245" w:lineRule="auto"/>
        <w:rPr>
          <w:sz w:val="20"/>
          <w:szCs w:val="20"/>
          <w:color w:val="auto"/>
        </w:rPr>
      </w:pPr>
      <w:r>
        <w:rPr>
          <w:rFonts w:ascii="Times New Roman" w:cs="Times New Roman" w:eastAsia="Times New Roman" w:hAnsi="Times New Roman"/>
          <w:sz w:val="14"/>
          <w:szCs w:val="14"/>
          <w:color w:val="auto"/>
        </w:rPr>
        <w:t>The Company may omit in any particular instance to comply with any term, provision or condition described under headings “—Sale or Issuance of Voting Stock of the Bank” and “— Limitation Upon Liens on Certain Capital Stock” with respect to the Notes if before the time for such compliance, the Holders of at least a majority in principal amount of the Notes outstanding, by act of such Holders, either waive such compliance in such instance or generally waive compliance with such term, provision or condition, but no such waiver will extend to or affect such term, provision or condition except to the extent so expressly waived, and, until such waiver becomes effective, the obligations of the Company and the rights and protections of the Trustee in respect of any such term, provision or condition will remain in full force and effect.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Defeasance and Discharge</w:t>
      </w:r>
    </w:p>
    <w:p>
      <w:pPr>
        <w:spacing w:after="0" w:line="191" w:lineRule="exact"/>
        <w:rPr>
          <w:sz w:val="20"/>
          <w:szCs w:val="20"/>
          <w:color w:val="auto"/>
        </w:rPr>
      </w:pPr>
    </w:p>
    <w:p>
      <w:pPr>
        <w:jc w:val="both"/>
        <w:ind w:right="20" w:firstLine="347"/>
        <w:spacing w:after="0" w:line="248" w:lineRule="auto"/>
        <w:rPr>
          <w:sz w:val="20"/>
          <w:szCs w:val="20"/>
          <w:color w:val="auto"/>
        </w:rPr>
      </w:pPr>
      <w:r>
        <w:rPr>
          <w:rFonts w:ascii="Times New Roman" w:cs="Times New Roman" w:eastAsia="Times New Roman" w:hAnsi="Times New Roman"/>
          <w:sz w:val="14"/>
          <w:szCs w:val="14"/>
          <w:color w:val="auto"/>
        </w:rPr>
        <w:t>The defeasance provisions of the Indenture apply to the Notes. The “defeasance” provisions of the Indenture provide that the Company may terminate some of the Company’s obligations with respect to any series of Notes by depositing with the Trustee as trust funds a combination of money and U.S. government obligations sufficient to pay the principal of or premium, if any, and interest on, the securities of such series as they come due. Defeasance is permitted only if, among other things, the Company delivers to the Trustee an officers’ certificate and opinion of counsel on the terms described in the Indenture.</w:t>
      </w:r>
    </w:p>
    <w:p>
      <w:pPr>
        <w:spacing w:after="0" w:line="162" w:lineRule="exact"/>
        <w:rPr>
          <w:sz w:val="20"/>
          <w:szCs w:val="20"/>
          <w:color w:val="auto"/>
        </w:rPr>
      </w:pPr>
    </w:p>
    <w:p>
      <w:pPr>
        <w:ind w:firstLine="347"/>
        <w:spacing w:after="0" w:line="244" w:lineRule="auto"/>
        <w:rPr>
          <w:sz w:val="20"/>
          <w:szCs w:val="20"/>
          <w:color w:val="auto"/>
        </w:rPr>
      </w:pPr>
      <w:r>
        <w:rPr>
          <w:rFonts w:ascii="Times New Roman" w:cs="Times New Roman" w:eastAsia="Times New Roman" w:hAnsi="Times New Roman"/>
          <w:sz w:val="14"/>
          <w:szCs w:val="14"/>
          <w:color w:val="auto"/>
        </w:rPr>
        <w:t>The Indenture also provides that the Company is entitled to cause the Indenture to cease to be of further effect (a “satisfaction and discharge”), with certain limited exceptions, if (i) either (a) all securities under the Indenture, with certain exceptions, have been delivered to the Trustee for cancellation or (b) all such securities not delivered to the Trustee for cancellation (x) have become due and payable or (y) will become due and payable at their stated maturity within one year or (z) are to be called for redemption within one year under arrangements satisfactory to the Trustee and the Company (in the case of (x), (y), or (z) above) has deposited or caused to be deposited with the Trustee as trust funds money sufficient to pay the principal of or premium, if any, and interest on, such securities as they come due or are to be redeemed, (ii) the Company has paid or caused to be paid all other sums payable under the Indenture by the Company and (iii) the Company has delivered the Trustee an officers’ certificate and opinion of</w:t>
      </w:r>
    </w:p>
    <w:p>
      <w:pPr>
        <w:sectPr>
          <w:pgSz w:w="11900" w:h="16838" w:orient="portrait"/>
          <w:cols w:equalWidth="0" w:num="1">
            <w:col w:w="11260"/>
          </w:cols>
          <w:pgMar w:left="300" w:top="132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color w:val="auto"/>
        </w:rPr>
        <w:t>counsel stating that all conditions precedent provided for in the Indenture relating to the satisfaction and discharge of the Indenture have been complied with.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191" w:lineRule="exact"/>
        <w:rPr>
          <w:sz w:val="20"/>
          <w:szCs w:val="20"/>
          <w:color w:val="auto"/>
        </w:rPr>
      </w:pPr>
    </w:p>
    <w:p>
      <w:pPr>
        <w:ind w:right="20" w:firstLine="347"/>
        <w:spacing w:after="0" w:line="253" w:lineRule="auto"/>
        <w:rPr>
          <w:sz w:val="20"/>
          <w:szCs w:val="20"/>
          <w:color w:val="auto"/>
        </w:rPr>
      </w:pPr>
      <w:r>
        <w:rPr>
          <w:rFonts w:ascii="Times New Roman" w:cs="Times New Roman" w:eastAsia="Times New Roman" w:hAnsi="Times New Roman"/>
          <w:sz w:val="14"/>
          <w:szCs w:val="14"/>
          <w:color w:val="auto"/>
        </w:rPr>
        <w:t xml:space="preserve">The amount of notes the Company can issue under the Indenture is unlimited. The Company issued the Notes in the initial aggregate principal amount of $35,000,000. However, the Company may, without the consent of holders, create and issue further notes, which notes may be consolidated and form a single series with the Notes and may have the same terms as to interest rate, maturity, covenants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that if any such additional notes are not fungible with the Notes for U.S. federal income tax purposes, such additional notes will have a separate CUSIP or other identifying number.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81" w:lineRule="exact"/>
        <w:rPr>
          <w:sz w:val="20"/>
          <w:szCs w:val="20"/>
          <w:color w:val="auto"/>
        </w:rPr>
      </w:pPr>
    </w:p>
    <w:p>
      <w:pPr>
        <w:ind w:firstLine="347"/>
        <w:spacing w:after="0" w:line="271" w:lineRule="auto"/>
        <w:rPr>
          <w:sz w:val="20"/>
          <w:szCs w:val="20"/>
          <w:color w:val="auto"/>
        </w:rPr>
      </w:pPr>
      <w:r>
        <w:rPr>
          <w:rFonts w:ascii="Times New Roman" w:cs="Times New Roman" w:eastAsia="Times New Roman" w:hAnsi="Times New Roman"/>
          <w:sz w:val="14"/>
          <w:szCs w:val="14"/>
          <w:color w:val="auto"/>
        </w:rPr>
        <w:t>Notices to holders of Notes will be given by first-class mail to the addresses of such holders as they appear in the note register. Where notices are to be provided to a holder of a global security, the notice will be deemed sufficiently given if provided to the depositary for such security pursuant to its applicable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Notes and the Indenture are governed by and construed in accordance with the laws of the State of New York.</w:t>
      </w:r>
    </w:p>
    <w:p>
      <w:pPr>
        <w:sectPr>
          <w:pgSz w:w="11900" w:h="16838" w:orient="portrait"/>
          <w:cols w:equalWidth="0" w:num="1">
            <w:col w:w="11220"/>
          </w:cols>
          <w:pgMar w:left="300" w:top="1132" w:right="379" w:bottom="1440"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ind w:left="1160"/>
        <w:spacing w:after="0"/>
        <w:rPr>
          <w:sz w:val="20"/>
          <w:szCs w:val="20"/>
          <w:color w:val="auto"/>
        </w:rPr>
      </w:pPr>
      <w:r>
        <w:rPr>
          <w:rFonts w:ascii="Times New Roman" w:cs="Times New Roman" w:eastAsia="Times New Roman" w:hAnsi="Times New Roman"/>
          <w:sz w:val="14"/>
          <w:szCs w:val="14"/>
          <w:color w:val="auto"/>
        </w:rPr>
        <w:t>NEWTEKONE, INC.</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SUBSIDIARIES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360" w:type="dxa"/>
            <w:vAlign w:val="bottom"/>
          </w:tcPr>
          <w:p>
            <w:pPr>
              <w:spacing w:after="0"/>
              <w:rPr>
                <w:sz w:val="16"/>
                <w:szCs w:val="16"/>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Incorporation/Organization</w:t>
            </w:r>
          </w:p>
        </w:tc>
      </w:tr>
      <w:tr>
        <w:trPr>
          <w:trHeight w:val="3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CCC Real Estate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CDS Business Services, Inc. dba Newtek Business Credit</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 Money,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NBSH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Asset Backed Securities,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Insurance Agency,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9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PMTWorks Payroll, LLC dba Newtek Payroll and Benefits</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Kentucky</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Small Business Lending,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DC Partners,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Bidco,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New York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bl>
    <w:p>
      <w:pPr>
        <w:sectPr>
          <w:pgSz w:w="11900" w:h="16838" w:orient="portrait"/>
          <w:cols w:equalWidth="0" w:num="1">
            <w:col w:w="9019"/>
          </w:cols>
          <w:pgMar w:left="1440" w:top="857" w:right="1440" w:bottom="1440"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 Scott Price, certify that:</w:t>
      </w:r>
    </w:p>
    <w:p>
      <w:pPr>
        <w:spacing w:after="0" w:line="179" w:lineRule="exact"/>
        <w:rPr>
          <w:sz w:val="20"/>
          <w:szCs w:val="20"/>
          <w:color w:val="auto"/>
        </w:rPr>
      </w:pPr>
    </w:p>
    <w:p>
      <w:pPr>
        <w:ind w:left="500" w:hanging="145"/>
        <w:spacing w:after="0"/>
        <w:tabs>
          <w:tab w:leader="none" w:pos="5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660" w:val="left"/>
          <w:tab w:leader="none" w:pos="796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8"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2023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8" w:right="3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2023 (the “Report”) of NewtekOne, Inc. (the “Company”), as filed with the Securities and Exchange Commission on the date hereof, I, M. Scott Price,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700" w:val="left"/>
          <w:tab w:leader="none" w:pos="8000" w:val="left"/>
        </w:tabs>
        <w:rPr>
          <w:sz w:val="20"/>
          <w:szCs w:val="20"/>
          <w:color w:val="auto"/>
        </w:rPr>
      </w:pPr>
      <w:r>
        <w:rPr>
          <w:rFonts w:ascii="Times New Roman" w:cs="Times New Roman" w:eastAsia="Times New Roman" w:hAnsi="Times New Roman"/>
          <w:sz w:val="14"/>
          <w:szCs w:val="14"/>
          <w:color w:val="auto"/>
        </w:rPr>
        <w:t>Date: April 1,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14605</wp:posOffset>
            </wp:positionV>
            <wp:extent cx="355727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7" w:right="319" w:bottom="1440"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upperLetter"/>
      <w:start w:val="35"/>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lvl w:ilvl="1">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1)"/>
      <w:numFmt w:val="lowerRoman"/>
      <w:start w:val="6"/>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1)"/>
      <w:numFmt w:val="lowerRoman"/>
      <w:start w:val="2"/>
    </w:lvl>
  </w:abstractNum>
  <w:abstractNum w:abstractNumId="39">
    <w:nsid w:val="1A32234B"/>
    <w:multiLevelType w:val="hybridMultilevel"/>
    <w:lvl w:ilvl="0">
      <w:lvlJc w:val="left"/>
      <w:lvlText w:val="1"/>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1"/>
      <w:numFmt w:val="upperLetter"/>
      <w:start w:val="68"/>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1)"/>
      <w:numFmt w:val="lowerLetter"/>
      <w:start w:val="2"/>
    </w:lvl>
    <w:lvl w:ilvl="1">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lvl w:ilvl="1">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bullet"/>
      <w:start w:val="1"/>
    </w:lvl>
  </w:abstractNum>
  <w:abstractNum w:abstractNumId="60">
    <w:nsid w:val="74DE0EE3"/>
    <w:multiLevelType w:val="hybridMultilevel"/>
    <w:lvl w:ilvl="0">
      <w:lvlJc w:val="left"/>
      <w:lvlText w:val="1"/>
      <w:numFmt w:val="bullet"/>
      <w:start w:val="1"/>
    </w:lvl>
  </w:abstractNum>
  <w:abstractNum w:abstractNumId="61">
    <w:nsid w:val="68EBC550"/>
    <w:multiLevelType w:val="hybridMultilevel"/>
    <w:lvl w:ilvl="0">
      <w:lvlJc w:val="left"/>
      <w:lvlText w:val="2"/>
      <w:numFmt w:val="bullet"/>
      <w:start w:val="1"/>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bullet"/>
      <w:start w:val="1"/>
    </w:lvl>
  </w:abstractNum>
  <w:abstractNum w:abstractNumId="70">
    <w:nsid w:val="26F324BA"/>
    <w:multiLevelType w:val="hybridMultilevel"/>
    <w:lvl w:ilvl="0">
      <w:lvlJc w:val="left"/>
      <w:lvlText w:val="(%1)"/>
      <w:numFmt w:val="decimal"/>
      <w:start w:val="1"/>
    </w:lvl>
    <w:lvl w:ilvl="1">
      <w:lvlJc w:val="left"/>
      <w:lvlText w:val="%2"/>
      <w:numFmt w:val="decimal"/>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endash "/>
      <w:numFmt w:val="bullet"/>
      <w:start w:val="1"/>
    </w:lvl>
  </w:abstractNum>
  <w:abstractNum w:abstractNumId="79">
    <w:nsid w:val="7672BD23"/>
    <w:multiLevelType w:val="hybridMultilevel"/>
    <w:lvl w:ilvl="0">
      <w:lvlJc w:val="left"/>
      <w:lvlText w:val="%1."/>
      <w:numFmt w:val="decimal"/>
      <w:start w:val="1"/>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4"/>
    </w:lvl>
  </w:abstractNum>
  <w:abstractNum w:abstractNumId="82">
    <w:nsid w:val="7D5E18F8"/>
    <w:multiLevelType w:val="hybridMultilevel"/>
    <w:lvl w:ilvl="0">
      <w:lvlJc w:val="left"/>
      <w:lvlText w:val="%1."/>
      <w:numFmt w:val="lowerLetter"/>
      <w:start w:val="6"/>
    </w:lvl>
  </w:abstractNum>
  <w:abstractNum w:abstractNumId="83">
    <w:nsid w:val="5F3534A4"/>
    <w:multiLevelType w:val="hybridMultilevel"/>
    <w:lvl w:ilvl="0">
      <w:lvlJc w:val="left"/>
      <w:lvlText w:val="%1."/>
      <w:numFmt w:val="upperLetter"/>
      <w:start w:val="2"/>
    </w:lvl>
    <w:lvl w:ilvl="1">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6"/>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10"/>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decimal"/>
      <w:start w:val="2"/>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7"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132" Type="http://schemas.openxmlformats.org/officeDocument/2006/relationships/hyperlink" Target="https://www.sec.gov/Archives/edgar/data/1587987/000119312514394101/d804521dex99a.htm" TargetMode="External"/><Relationship Id="rId133" Type="http://schemas.openxmlformats.org/officeDocument/2006/relationships/hyperlink" Target="https://www.sec.gov/ix?doc=/Archives/edgar/data/0001587987/000158798723000021/newt-20230124.htm" TargetMode="External"/><Relationship Id="rId134" Type="http://schemas.openxmlformats.org/officeDocument/2006/relationships/hyperlink" Target="https://www.sec.gov/Archives/edgar/data/1587987/000158798721000063/newtekconventionallendin.htm" TargetMode="External"/><Relationship Id="rId135" Type="http://schemas.openxmlformats.org/officeDocument/2006/relationships/hyperlink" Target="https://www.sec.gov/Archives/edgar/data/1587987/000119312514350298/d714199dex995.htm" TargetMode="External"/><Relationship Id="rId136" Type="http://schemas.openxmlformats.org/officeDocument/2006/relationships/hyperlink" Target="https://www.sec.gov/Archives/edgar/data/1587987/000114420415056050/v420021_ex99-d2.htm" TargetMode="External"/><Relationship Id="rId137" Type="http://schemas.openxmlformats.org/officeDocument/2006/relationships/hyperlink" Target="https://www.sec.gov/Archives/edgar/data/1587987/000121390019013870/posex2019a7ex99d8_newtek.htm" TargetMode="External"/><Relationship Id="rId138" Type="http://schemas.openxmlformats.org/officeDocument/2006/relationships/hyperlink" Target="https://www.sec.gov/Archives/edgar/data/1587987/000158798720000071/newtek-fifthsupplemental.htm" TargetMode="External"/><Relationship Id="rId139" Type="http://schemas.openxmlformats.org/officeDocument/2006/relationships/hyperlink" Target="https://www.sec.gov/Archives/edgar/data/1587987/000158798721000003/newtek-sixthsupplemental.htm" TargetMode="External"/><Relationship Id="rId140" Type="http://schemas.openxmlformats.org/officeDocument/2006/relationships/hyperlink" Target="https://www.sec.gov/Archives/edgar/data/1587987/000158798721000011/exhibit41seventhsuppleme.htm" TargetMode="External"/><Relationship Id="rId141" Type="http://schemas.openxmlformats.org/officeDocument/2006/relationships/hyperlink" Target="https://www.sec.gov/Archives/edgar/data/1587987/000158798721000033/newtek-eighthsupplementa.htm" TargetMode="External"/><Relationship Id="rId142" Type="http://schemas.openxmlformats.org/officeDocument/2006/relationships/hyperlink" Target="https://www.sec.gov/Archives/edgar/data/1587987/000158798722000022/redemptionissuanceof2025no.htm" TargetMode="External"/><Relationship Id="rId143" Type="http://schemas.openxmlformats.org/officeDocument/2006/relationships/hyperlink" Target="https://www.sec.gov/Archives/edgar/data/1587987/000119312514394101/d804521dex99e.htm" TargetMode="External"/><Relationship Id="rId144" Type="http://schemas.openxmlformats.org/officeDocument/2006/relationships/hyperlink" Target="https://www.sec.gov/Archives/edgar/data/1094019/000119312511054525/dex10102.htm" TargetMode="External"/><Relationship Id="rId145" Type="http://schemas.openxmlformats.org/officeDocument/2006/relationships/hyperlink" Target="https://www.sec.gov/Archives/edgar/data/1587987/000158798717000038/capitalonensbffourthamen.htm" TargetMode="External"/><Relationship Id="rId146" Type="http://schemas.openxmlformats.org/officeDocument/2006/relationships/hyperlink" Target="https://www.sec.gov/Archives/edgar/data/1587987/000158798717000038/caponenbscguarantyex102.htm" TargetMode="External"/><Relationship Id="rId148" Type="http://schemas.openxmlformats.org/officeDocument/2006/relationships/hyperlink" Target="https://www.sec.gov/Archives/edgar/data/1587987/000114420418047606/tv502016_ex-k4.htm" TargetMode="External"/><Relationship Id="rId149" Type="http://schemas.openxmlformats.org/officeDocument/2006/relationships/hyperlink" Target="https://www.sec.gov/Archives/edgar/data/1587987/000114420418047606/tv502016_ex-k5.htm" TargetMode="External"/><Relationship Id="rId150" Type="http://schemas.openxmlformats.org/officeDocument/2006/relationships/hyperlink" Target="https://www.sec.gov/Archives/edgar/data/1587987/000158798719000038/ex101capitaloneamendment.htm" TargetMode="External"/><Relationship Id="rId151" Type="http://schemas.openxmlformats.org/officeDocument/2006/relationships/hyperlink" Target="https://www.sec.gov/Archives/edgar/data/1587987/000158798715000031/ex991newtek-usbankamendeda.htm" TargetMode="External"/><Relationship Id="rId152" Type="http://schemas.openxmlformats.org/officeDocument/2006/relationships/hyperlink" Target="https://www.sec.gov/Archives/edgar/data/1587987/000119312515267881/d95084dex101.htm" TargetMode="External"/><Relationship Id="rId153" Type="http://schemas.openxmlformats.org/officeDocument/2006/relationships/hyperlink" Target="https://www.sec.gov/Archives/edgar/data/1587987/000121390018017388/posex2018ex99-k6_newtek.htm" TargetMode="External"/><Relationship Id="rId154" Type="http://schemas.openxmlformats.org/officeDocument/2006/relationships/hyperlink" Target="https://www.sec.gov/Archives/edgar/data/1587987/000121390018017388/posex2018ex99-k7_newtek.htm" TargetMode="External"/><Relationship Id="rId155" Type="http://schemas.openxmlformats.org/officeDocument/2006/relationships/hyperlink" Target="https://www.sec.gov/Archives/edgar/data/1587987/000158798718000074/newtform8knov292018ex101.htm" TargetMode="External"/><Relationship Id="rId156" Type="http://schemas.openxmlformats.org/officeDocument/2006/relationships/hyperlink" Target="https://www.sec.gov/Archives/edgar/data/1587987/000158798720000019/omnibusamendmentno4toloa.htm" TargetMode="External"/><Relationship Id="rId157" Type="http://schemas.openxmlformats.org/officeDocument/2006/relationships/hyperlink" Target="https://www.sec.gov/Archives/edgar/data/1587987/000158798721000099/a2021stockpurchaseagreement.htm" TargetMode="External"/><Relationship Id="rId158" Type="http://schemas.openxmlformats.org/officeDocument/2006/relationships/hyperlink" Target="https://www.sec.gov/Archives/edgar/data/1587987/000158798721000144/nblspviiionefloridabank-.htm" TargetMode="External"/><Relationship Id="rId159" Type="http://schemas.openxmlformats.org/officeDocument/2006/relationships/hyperlink" Target="https://www.sec.gov/Archives/edgar/data/1587987/000158798721000144/db-newtekxmasterrepurcha.htm" TargetMode="External"/><Relationship Id="rId160" Type="http://schemas.openxmlformats.org/officeDocument/2006/relationships/hyperlink" Target="https://www.sec.gov/Archives/edgar/data/1587987/000114420416114417/v444876_ex4-4.htm" TargetMode="External"/><Relationship Id="rId161" Type="http://schemas.openxmlformats.org/officeDocument/2006/relationships/hyperlink" Target="https://www.sec.gov/ix?doc=/Archives/edgar/data/0001587987/000158798723000171/newt-20230630.htm" TargetMode="External"/><Relationship Id="rId162" Type="http://schemas.openxmlformats.org/officeDocument/2006/relationships/hyperlink" Target="https://www.sec.gov/ix?doc=/Archives/edgar/data/0001587987/000158798723000225/newt-20230930.htmhttps://www.sec.gov/ix?doc=/Archives/edgar/data/0001587987/000158798723000225/newt-20230930.htm" TargetMode="External"/><Relationship Id="rId163" Type="http://schemas.openxmlformats.org/officeDocument/2006/relationships/hyperlink" Target="https://www.sec.gov/ix?doc=/Archives/edgar/data/0001587987/000158798723000225/newt-20230930.htm" TargetMode="External"/><Relationship Id="rId166" Type="http://schemas.openxmlformats.org/officeDocument/2006/relationships/hyperlink" Target="https://www.sec.gov/Archives/edgar/data/1587987/000119312514394101/d80452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2024-04-01T09:08:31Z</dcterms:created>
  <dcterms:modified xsi:type="dcterms:W3CDTF">2024-04-01T09:08:31Z</dcterms:modified>
</cp:coreProperties>
</file>