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QUARTERLY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quarterly period ended March 31, 2026</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2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2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31"/>
        </w:trPr>
        <w:tc>
          <w:tcPr>
            <w:tcW w:w="5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02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100" w:type="dxa"/>
            <w:vAlign w:val="bottom"/>
          </w:tcPr>
          <w:p>
            <w:pPr>
              <w:spacing w:after="0"/>
              <w:rPr>
                <w:sz w:val="14"/>
                <w:szCs w:val="14"/>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NEWT</w:t>
            </w:r>
          </w:p>
        </w:tc>
        <w:tc>
          <w:tcPr>
            <w:tcW w:w="100" w:type="dxa"/>
            <w:vAlign w:val="bottom"/>
          </w:tcPr>
          <w:p>
            <w:pPr>
              <w:spacing w:after="0"/>
              <w:rPr>
                <w:sz w:val="14"/>
                <w:szCs w:val="14"/>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NEWTI</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NEWTG</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NEWTH</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2031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NEWTO</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42"/>
        </w:trPr>
        <w:tc>
          <w:tcPr>
            <w:tcW w:w="50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Depositary Shares, each representing a 1/40th interest in a share of 8.500% Fixed-</w:t>
            </w:r>
          </w:p>
        </w:tc>
        <w:tc>
          <w:tcPr>
            <w:tcW w:w="20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NEWTP</w:t>
            </w:r>
          </w:p>
        </w:tc>
        <w:tc>
          <w:tcPr>
            <w:tcW w:w="4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Reset Non-Cumulative Perpetual Preferred Stock, Series B</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spacing w:after="0"/>
              <w:rPr>
                <w:sz w:val="16"/>
                <w:szCs w:val="16"/>
                <w:color w:val="auto"/>
              </w:rPr>
            </w:pPr>
          </w:p>
        </w:tc>
      </w:tr>
    </w:tbl>
    <w:p>
      <w:pPr>
        <w:spacing w:after="0" w:line="247" w:lineRule="exact"/>
        <w:rPr>
          <w:sz w:val="24"/>
          <w:szCs w:val="24"/>
          <w:color w:val="auto"/>
        </w:rPr>
      </w:pPr>
    </w:p>
    <w:p>
      <w:pPr>
        <w:jc w:val="both"/>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4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 w:name="page2"/>
    <w:bookmarkEnd w:id="1"/>
    <w:p>
      <w:pPr>
        <w:ind w:right="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28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7, 2026, there were 28,858,921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99" w:right="39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40" w:type="dxa"/>
            <w:vAlign w:val="bottom"/>
            <w:gridSpan w:val="2"/>
          </w:tcPr>
          <w:p>
            <w:pPr>
              <w:jc w:val="right"/>
              <w:ind w:right="1149"/>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13"/>
        </w:trPr>
        <w:tc>
          <w:tcPr>
            <w:tcW w:w="130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Defined Terms</w:t>
            </w:r>
          </w:p>
        </w:tc>
        <w:tc>
          <w:tcPr>
            <w:tcW w:w="220" w:type="dxa"/>
            <w:vAlign w:val="bottom"/>
            <w:tcBorders>
              <w:top w:val="single" w:sz="8" w:color="auto"/>
            </w:tcBorders>
          </w:tcPr>
          <w:p>
            <w:pPr>
              <w:spacing w:after="0"/>
              <w:rPr>
                <w:sz w:val="18"/>
                <w:szCs w:val="18"/>
                <w:color w:val="auto"/>
              </w:rPr>
            </w:pPr>
          </w:p>
        </w:tc>
        <w:tc>
          <w:tcPr>
            <w:tcW w:w="122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0000FF"/>
              </w:rPr>
              <w:t>4</w:t>
            </w:r>
          </w:p>
        </w:tc>
      </w:tr>
      <w:tr>
        <w:trPr>
          <w:trHeight w:val="160"/>
        </w:trPr>
        <w:tc>
          <w:tcPr>
            <w:tcW w:w="130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980" w:type="dxa"/>
            <w:vAlign w:val="bottom"/>
            <w:gridSpan w:val="19"/>
          </w:tcPr>
          <w:p>
            <w:pPr>
              <w:jc w:val="center"/>
              <w:ind w:right="3520"/>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1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Financial Statements:</w:t>
            </w:r>
          </w:p>
        </w:tc>
        <w:tc>
          <w:tcPr>
            <w:tcW w:w="1340" w:type="dxa"/>
            <w:vAlign w:val="bottom"/>
            <w:gridSpan w:val="3"/>
          </w:tcPr>
          <w:p>
            <w:pPr>
              <w:spacing w:after="0"/>
              <w:rPr>
                <w:sz w:val="17"/>
                <w:szCs w:val="17"/>
                <w:color w:val="auto"/>
              </w:rPr>
            </w:pPr>
          </w:p>
        </w:tc>
        <w:tc>
          <w:tcPr>
            <w:tcW w:w="2460" w:type="dxa"/>
            <w:vAlign w:val="bottom"/>
            <w:tcBorders>
              <w:top w:val="single" w:sz="8" w:color="0000FF"/>
            </w:tcBorders>
            <w:gridSpan w:val="6"/>
          </w:tcPr>
          <w:p>
            <w:pPr>
              <w:spacing w:after="0"/>
              <w:rPr>
                <w:sz w:val="17"/>
                <w:szCs w:val="17"/>
                <w:color w:val="auto"/>
              </w:rPr>
            </w:pPr>
          </w:p>
        </w:tc>
        <w:tc>
          <w:tcPr>
            <w:tcW w:w="352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60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Financial Condition as of March 31, 2026 (Unaudited) and December 31, 2025</w:t>
            </w:r>
          </w:p>
        </w:tc>
        <w:tc>
          <w:tcPr>
            <w:tcW w:w="2480" w:type="dxa"/>
            <w:vAlign w:val="bottom"/>
            <w:gridSpan w:val="5"/>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7</w:t>
            </w:r>
          </w:p>
        </w:tc>
      </w:tr>
      <w:tr>
        <w:trPr>
          <w:trHeight w:val="203"/>
        </w:trPr>
        <w:tc>
          <w:tcPr>
            <w:tcW w:w="1300" w:type="dxa"/>
            <w:vAlign w:val="bottom"/>
          </w:tcPr>
          <w:p>
            <w:pPr>
              <w:spacing w:after="0"/>
              <w:rPr>
                <w:sz w:val="17"/>
                <w:szCs w:val="17"/>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Consolidated Statements of Income for the three months ended March 31, 2026 and 2025 (Unaudited)</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67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three months ended March 31, 2026 and 2025 (Unaudited)</w:t>
            </w:r>
          </w:p>
        </w:tc>
        <w:tc>
          <w:tcPr>
            <w:tcW w:w="1840" w:type="dxa"/>
            <w:vAlign w:val="bottom"/>
            <w:gridSpan w:val="2"/>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10</w:t>
            </w:r>
          </w:p>
        </w:tc>
      </w:tr>
      <w:tr>
        <w:trPr>
          <w:trHeight w:val="203"/>
        </w:trPr>
        <w:tc>
          <w:tcPr>
            <w:tcW w:w="1300" w:type="dxa"/>
            <w:vAlign w:val="bottom"/>
          </w:tcPr>
          <w:p>
            <w:pPr>
              <w:spacing w:after="0"/>
              <w:rPr>
                <w:sz w:val="17"/>
                <w:szCs w:val="17"/>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Changes in Shareholders’ Equity for the three months ended March 31, 2026 and 2025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11</w:t>
            </w:r>
          </w:p>
        </w:tc>
      </w:tr>
      <w:tr>
        <w:trPr>
          <w:trHeight w:val="203"/>
        </w:trPr>
        <w:tc>
          <w:tcPr>
            <w:tcW w:w="1300" w:type="dxa"/>
            <w:vAlign w:val="bottom"/>
          </w:tcPr>
          <w:p>
            <w:pPr>
              <w:spacing w:after="0"/>
              <w:rPr>
                <w:sz w:val="17"/>
                <w:szCs w:val="17"/>
                <w:color w:val="auto"/>
              </w:rPr>
            </w:pPr>
          </w:p>
        </w:tc>
        <w:tc>
          <w:tcPr>
            <w:tcW w:w="65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March 31, 2026 and 2025 (Unaudited)</w:t>
            </w:r>
          </w:p>
        </w:tc>
        <w:tc>
          <w:tcPr>
            <w:tcW w:w="80" w:type="dxa"/>
            <w:vAlign w:val="bottom"/>
          </w:tcPr>
          <w:p>
            <w:pPr>
              <w:spacing w:after="0"/>
              <w:rPr>
                <w:sz w:val="17"/>
                <w:szCs w:val="17"/>
                <w:color w:val="auto"/>
              </w:rPr>
            </w:pPr>
          </w:p>
        </w:tc>
        <w:tc>
          <w:tcPr>
            <w:tcW w:w="680" w:type="dxa"/>
            <w:vAlign w:val="bottom"/>
            <w:tcBorders>
              <w:top w:val="single" w:sz="8" w:color="0000FF"/>
            </w:tcBorders>
            <w:gridSpan w:val="2"/>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13</w:t>
            </w:r>
          </w:p>
        </w:tc>
      </w:tr>
      <w:tr>
        <w:trPr>
          <w:trHeight w:val="203"/>
        </w:trPr>
        <w:tc>
          <w:tcPr>
            <w:tcW w:w="1300" w:type="dxa"/>
            <w:vAlign w:val="bottom"/>
          </w:tcPr>
          <w:p>
            <w:pPr>
              <w:spacing w:after="0"/>
              <w:rPr>
                <w:sz w:val="17"/>
                <w:szCs w:val="17"/>
                <w:color w:val="auto"/>
              </w:rPr>
            </w:pPr>
          </w:p>
        </w:tc>
        <w:tc>
          <w:tcPr>
            <w:tcW w:w="53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20" w:type="dxa"/>
            <w:vAlign w:val="bottom"/>
          </w:tcPr>
          <w:p>
            <w:pPr>
              <w:spacing w:after="0"/>
              <w:rPr>
                <w:sz w:val="17"/>
                <w:szCs w:val="17"/>
                <w:color w:val="auto"/>
              </w:rPr>
            </w:pPr>
          </w:p>
        </w:tc>
        <w:tc>
          <w:tcPr>
            <w:tcW w:w="680" w:type="dxa"/>
            <w:vAlign w:val="bottom"/>
            <w:tcBorders>
              <w:top w:val="single" w:sz="8" w:color="0000FF"/>
            </w:tcBorders>
            <w:gridSpan w:val="2"/>
          </w:tcPr>
          <w:p>
            <w:pPr>
              <w:spacing w:after="0"/>
              <w:rPr>
                <w:sz w:val="17"/>
                <w:szCs w:val="17"/>
                <w:color w:val="auto"/>
              </w:rPr>
            </w:pPr>
          </w:p>
        </w:tc>
        <w:tc>
          <w:tcPr>
            <w:tcW w:w="2540" w:type="dxa"/>
            <w:vAlign w:val="bottom"/>
            <w:gridSpan w:val="6"/>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15</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61</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4"/>
          </w:tcPr>
          <w:p>
            <w:pPr>
              <w:spacing w:after="0"/>
              <w:rPr>
                <w:sz w:val="17"/>
                <w:szCs w:val="17"/>
                <w:color w:val="auto"/>
              </w:rPr>
            </w:pPr>
          </w:p>
        </w:tc>
        <w:tc>
          <w:tcPr>
            <w:tcW w:w="3480" w:type="dxa"/>
            <w:vAlign w:val="bottom"/>
            <w:gridSpan w:val="11"/>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89</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30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gridSpan w:val="18"/>
          </w:tcPr>
          <w:p>
            <w:pPr>
              <w:jc w:val="center"/>
              <w:ind w:right="3640"/>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26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220" w:type="dxa"/>
            <w:vAlign w:val="bottom"/>
            <w:tcBorders>
              <w:top w:val="single" w:sz="8" w:color="0000FF"/>
            </w:tcBorders>
            <w:gridSpan w:val="4"/>
          </w:tcPr>
          <w:p>
            <w:pPr>
              <w:spacing w:after="0"/>
              <w:rPr>
                <w:sz w:val="17"/>
                <w:szCs w:val="17"/>
                <w:color w:val="auto"/>
              </w:rPr>
            </w:pPr>
          </w:p>
        </w:tc>
        <w:tc>
          <w:tcPr>
            <w:tcW w:w="3640" w:type="dxa"/>
            <w:vAlign w:val="bottom"/>
            <w:gridSpan w:val="14"/>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93</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10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7500" w:type="dxa"/>
            <w:vAlign w:val="bottom"/>
            <w:gridSpan w:val="23"/>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93</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140" w:type="dxa"/>
            <w:vAlign w:val="bottom"/>
            <w:gridSpan w:val="1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93</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4"/>
          </w:tcPr>
          <w:p>
            <w:pPr>
              <w:spacing w:after="0"/>
              <w:rPr>
                <w:sz w:val="17"/>
                <w:szCs w:val="17"/>
                <w:color w:val="auto"/>
              </w:rPr>
            </w:pPr>
          </w:p>
        </w:tc>
        <w:tc>
          <w:tcPr>
            <w:tcW w:w="5140" w:type="dxa"/>
            <w:vAlign w:val="bottom"/>
            <w:gridSpan w:val="16"/>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93</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93</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160" w:type="dxa"/>
            <w:vAlign w:val="bottom"/>
            <w:gridSpan w:val="21"/>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93</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Exhibits</w:t>
            </w:r>
          </w:p>
        </w:tc>
        <w:tc>
          <w:tcPr>
            <w:tcW w:w="7520" w:type="dxa"/>
            <w:vAlign w:val="bottom"/>
            <w:gridSpan w:val="24"/>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94</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60" w:type="dxa"/>
            <w:vAlign w:val="bottom"/>
            <w:gridSpan w:val="27"/>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95</w:t>
            </w:r>
          </w:p>
        </w:tc>
      </w:tr>
      <w:tr>
        <w:trPr>
          <w:trHeight w:val="777"/>
        </w:trPr>
        <w:tc>
          <w:tcPr>
            <w:tcW w:w="130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1940</w:t>
            </w:r>
          </w:p>
        </w:tc>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w:t>
            </w:r>
          </w:p>
        </w:tc>
        <w:tc>
          <w:tcPr>
            <w:tcW w:w="8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2025-1 Trust</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NALP Business Loan Trust, Series 2025-1</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2026-1 Trust</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NALP Business Loan Trust, Series 2026-1</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Trusts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Collectively, the 2025-1 Trust and 2026-1 Trust</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5.75% Notes due 2024, matured August 1, 2024</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5.00% Notes due 2025, matured March 31, 2025</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8.125% Notes due 2025, exchanged for 2027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Collectively, the 2025 5.00% Notes and 2025 8.125% Notes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5.50% Notes due 2026, matured February 1, 2026</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8.125% Notes due 2027</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Notes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8.50% Notes due 2029</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8.625% 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8.625% Notes due 2029</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Collectively, the 2029 8.50% Notes and 2029 8.625% Notes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2030</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8.375% Notes due 2030</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2031</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8.50% Notes due 2031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2033</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8.375% Notes due 2033</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ABL</w:t>
            </w:r>
          </w:p>
        </w:tc>
        <w:tc>
          <w:tcPr>
            <w:tcW w:w="2420" w:type="dxa"/>
            <w:vAlign w:val="bottom"/>
            <w:shd w:val="clear" w:color="auto" w:fill="CCEEFF"/>
          </w:tcPr>
          <w:p>
            <w:pPr>
              <w:spacing w:after="0"/>
              <w:rPr>
                <w:sz w:val="15"/>
                <w:szCs w:val="15"/>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ACL</w:t>
            </w:r>
          </w:p>
        </w:tc>
        <w:tc>
          <w:tcPr>
            <w:tcW w:w="2420" w:type="dxa"/>
            <w:vAlign w:val="bottom"/>
          </w:tcPr>
          <w:p>
            <w:pPr>
              <w:spacing w:after="0"/>
              <w:rPr>
                <w:sz w:val="15"/>
                <w:szCs w:val="15"/>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27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Acquisition</w:t>
            </w:r>
          </w:p>
        </w:tc>
        <w:tc>
          <w:tcPr>
            <w:tcW w:w="85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 outstanding</w:t>
            </w:r>
          </w:p>
        </w:tc>
      </w:tr>
      <w:tr>
        <w:trPr>
          <w:trHeight w:val="191"/>
        </w:trPr>
        <w:tc>
          <w:tcPr>
            <w:tcW w:w="3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of NBNYC</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420" w:type="dxa"/>
            <w:vAlign w:val="bottom"/>
          </w:tcPr>
          <w:p>
            <w:pPr>
              <w:spacing w:after="0"/>
              <w:rPr>
                <w:sz w:val="15"/>
                <w:szCs w:val="15"/>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Alternative Lending Program</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420" w:type="dxa"/>
            <w:vAlign w:val="bottom"/>
            <w:shd w:val="clear" w:color="auto" w:fill="CCEEFF"/>
          </w:tcPr>
          <w:p>
            <w:pPr>
              <w:spacing w:after="0"/>
              <w:rPr>
                <w:sz w:val="15"/>
                <w:szCs w:val="15"/>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2420" w:type="dxa"/>
            <w:vAlign w:val="bottom"/>
          </w:tcPr>
          <w:p>
            <w:pPr>
              <w:spacing w:after="0"/>
              <w:rPr>
                <w:sz w:val="15"/>
                <w:szCs w:val="15"/>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Original ATM Equity Distribution Agreement</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 Original ATM Equity Distribution Agreement, dated November 17, 2023, by and among the Company and the placement agents</w:t>
            </w:r>
          </w:p>
        </w:tc>
      </w:tr>
      <w:tr>
        <w:trPr>
          <w:trHeight w:val="138"/>
        </w:trPr>
        <w:tc>
          <w:tcPr>
            <w:tcW w:w="27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Amended and Restated Equity Distribution</w:t>
            </w:r>
          </w:p>
        </w:tc>
        <w:tc>
          <w:tcPr>
            <w:tcW w:w="8540" w:type="dxa"/>
            <w:vAlign w:val="bottom"/>
          </w:tcPr>
          <w:p>
            <w:pPr>
              <w:spacing w:after="0"/>
              <w:rPr>
                <w:sz w:val="11"/>
                <w:szCs w:val="11"/>
                <w:color w:val="auto"/>
              </w:rPr>
            </w:pPr>
          </w:p>
        </w:tc>
      </w:tr>
      <w:tr>
        <w:trPr>
          <w:trHeight w:val="19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Amended and Restated Equity Distribution Agreement, dated June 6, 2025, by and among the Company and the placement agents</w:t>
            </w:r>
          </w:p>
        </w:tc>
      </w:tr>
      <w:tr>
        <w:trPr>
          <w:trHeight w:val="18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BDC</w:t>
            </w:r>
          </w:p>
        </w:tc>
        <w:tc>
          <w:tcPr>
            <w:tcW w:w="2420" w:type="dxa"/>
            <w:vAlign w:val="bottom"/>
            <w:shd w:val="clear" w:color="auto" w:fill="CCEEFF"/>
          </w:tcPr>
          <w:p>
            <w:pPr>
              <w:spacing w:after="0"/>
              <w:rPr>
                <w:sz w:val="15"/>
                <w:szCs w:val="15"/>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BHCA</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Bank Holding Company Act of 1956</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420" w:type="dxa"/>
            <w:vAlign w:val="bottom"/>
            <w:shd w:val="clear" w:color="auto" w:fill="CCEEFF"/>
          </w:tcPr>
          <w:p>
            <w:pPr>
              <w:spacing w:after="0"/>
              <w:rPr>
                <w:sz w:val="15"/>
                <w:szCs w:val="15"/>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C&amp;I LA</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 amortizing C&amp;I loans, also known as ALP loans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Code</w:t>
            </w:r>
          </w:p>
        </w:tc>
        <w:tc>
          <w:tcPr>
            <w:tcW w:w="2420" w:type="dxa"/>
            <w:vAlign w:val="bottom"/>
            <w:shd w:val="clear" w:color="auto" w:fill="CCEEFF"/>
          </w:tcPr>
          <w:p>
            <w:pPr>
              <w:spacing w:after="0"/>
              <w:rPr>
                <w:sz w:val="15"/>
                <w:szCs w:val="15"/>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420" w:type="dxa"/>
            <w:vAlign w:val="bottom"/>
            <w:shd w:val="clear" w:color="auto" w:fill="CCEEFF"/>
          </w:tcPr>
          <w:p>
            <w:pPr>
              <w:spacing w:after="0"/>
              <w:rPr>
                <w:sz w:val="15"/>
                <w:szCs w:val="15"/>
                <w:color w:val="auto"/>
              </w:rPr>
            </w:pP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Commercial real estate</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Employee Stock Purchase Plan</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488"/>
        </w:trPr>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5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4</w:t>
            </w:r>
          </w:p>
        </w:tc>
      </w:tr>
      <w:tr>
        <w:trPr>
          <w:trHeight w:val="278"/>
        </w:trPr>
        <w:tc>
          <w:tcPr>
            <w:tcW w:w="3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Fair Value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LCM</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Loan-to-Value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National Bank of New York City, renamed Newtek Bank, National Association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NOO</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Non-owner occupied</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Small-and-medium sized businesses; revenue from $1.0 million to $100.0 million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180"/>
        </w:trPr>
        <w:tc>
          <w:tcPr>
            <w:tcW w:w="2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Bank borrowings</w:t>
            </w:r>
          </w:p>
        </w:tc>
        <w:tc>
          <w:tcPr>
            <w:tcW w:w="88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Collectively, the below facilities:</w:t>
            </w:r>
          </w:p>
        </w:tc>
      </w:tr>
      <w:tr>
        <w:trPr>
          <w:trHeight w:val="129"/>
        </w:trPr>
        <w:tc>
          <w:tcPr>
            <w:tcW w:w="24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NMS Goldman Facility</w:t>
            </w:r>
          </w:p>
        </w:tc>
        <w:tc>
          <w:tcPr>
            <w:tcW w:w="8880" w:type="dxa"/>
            <w:vAlign w:val="bottom"/>
          </w:tcPr>
          <w:p>
            <w:pPr>
              <w:ind w:left="440"/>
              <w:spacing w:after="0" w:line="129" w:lineRule="exact"/>
              <w:rPr>
                <w:sz w:val="20"/>
                <w:szCs w:val="20"/>
                <w:color w:val="auto"/>
              </w:rPr>
            </w:pPr>
            <w:r>
              <w:rPr>
                <w:rFonts w:ascii="Times New Roman" w:cs="Times New Roman" w:eastAsia="Times New Roman" w:hAnsi="Times New Roman"/>
                <w:sz w:val="14"/>
                <w:szCs w:val="14"/>
                <w:color w:val="auto"/>
              </w:rPr>
              <w:t>Revolving Credit and Guaranty Agreement between NMS and its wholly-owned subsidiary, Mobil Money, LLC, together with NBSH Holding,</w:t>
            </w:r>
          </w:p>
        </w:tc>
      </w:tr>
      <w:tr>
        <w:trPr>
          <w:trHeight w:val="187"/>
        </w:trPr>
        <w:tc>
          <w:tcPr>
            <w:tcW w:w="2400" w:type="dxa"/>
            <w:vAlign w:val="bottom"/>
          </w:tcPr>
          <w:p>
            <w:pPr>
              <w:spacing w:after="0"/>
              <w:rPr>
                <w:sz w:val="16"/>
                <w:szCs w:val="16"/>
                <w:color w:val="auto"/>
              </w:rPr>
            </w:pP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LLC, the direct sole member of NMS</w:t>
            </w:r>
          </w:p>
        </w:tc>
      </w:tr>
      <w:tr>
        <w:trPr>
          <w:trHeight w:val="141"/>
        </w:trPr>
        <w:tc>
          <w:tcPr>
            <w:tcW w:w="24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SPV I Capital One Facility</w:t>
            </w:r>
          </w:p>
        </w:tc>
        <w:tc>
          <w:tcPr>
            <w:tcW w:w="8880" w:type="dxa"/>
            <w:vAlign w:val="bottom"/>
            <w:shd w:val="clear" w:color="auto" w:fill="CCEEFF"/>
          </w:tcPr>
          <w:p>
            <w:pPr>
              <w:ind w:left="440"/>
              <w:spacing w:after="0" w:line="141" w:lineRule="exact"/>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NALH, and Capital One (terminated March 25,</w:t>
            </w:r>
          </w:p>
        </w:tc>
      </w:tr>
      <w:tr>
        <w:trPr>
          <w:trHeight w:val="191"/>
        </w:trPr>
        <w:tc>
          <w:tcPr>
            <w:tcW w:w="2400" w:type="dxa"/>
            <w:vAlign w:val="bottom"/>
            <w:shd w:val="clear" w:color="auto" w:fill="CCEEFF"/>
          </w:tcPr>
          <w:p>
            <w:pPr>
              <w:spacing w:after="0"/>
              <w:rPr>
                <w:sz w:val="16"/>
                <w:szCs w:val="16"/>
                <w:color w:val="auto"/>
              </w:rPr>
            </w:pP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2026)</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NALH, and Deutsche Bank</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NALH, and One Florida Bank</w:t>
            </w:r>
          </w:p>
        </w:tc>
      </w:tr>
      <w:tr>
        <w:trPr>
          <w:trHeight w:val="180"/>
        </w:trPr>
        <w:tc>
          <w:tcPr>
            <w:tcW w:w="1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Subsidiaries, Joint Ventures and Other Investments</w:t>
            </w:r>
          </w:p>
        </w:tc>
      </w:tr>
      <w:tr>
        <w:trPr>
          <w:trHeight w:val="17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Small Business Finance,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Newtek Commercial Lending, Inc., a former wholly-owned subsidiary of NewtekOne Inc., merged into NALH on May 13, 2025</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Bank, National Association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NALH or Newtek ALP Holdings</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Newtek Business Services Holdco 6, Inc.</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Merchant Solutions, LLC, a wholly-owned subsidiary of NBC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Mobil Money, LLC, a wholly-owned subsidiary of NMS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Technology Solutions, Inc., a former wholly-owned subsidiary of the Company, sold to IPM on January 2, 2025</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Small Business Lending, LLC, a wholly-owned subsidiary of Newtek Bank</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Insurance Agency,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Titanium Asset Management, LLC</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POS on Cloud, LLC, dba Newtek Payment Systems, a 95.49% owned consolidated subsidiary</w:t>
            </w: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NCL JV</w:t>
            </w:r>
          </w:p>
        </w:tc>
        <w:tc>
          <w:tcPr>
            <w:tcW w:w="8880" w:type="dxa"/>
            <w:vAlign w:val="bottom"/>
          </w:tcPr>
          <w:p>
            <w:pPr>
              <w:ind w:left="440"/>
              <w:spacing w:after="0" w:line="138" w:lineRule="exact"/>
              <w:rPr>
                <w:sz w:val="20"/>
                <w:szCs w:val="20"/>
                <w:color w:val="auto"/>
              </w:rPr>
            </w:pPr>
            <w:r>
              <w:rPr>
                <w:rFonts w:ascii="Times New Roman" w:cs="Times New Roman" w:eastAsia="Times New Roman" w:hAnsi="Times New Roman"/>
                <w:sz w:val="14"/>
                <w:szCs w:val="14"/>
                <w:color w:val="auto"/>
              </w:rPr>
              <w:t>Newtek Conventional Lending, LLC, a former 50% owned joint venture, 100% Company owned as of August 27, 2025 and dissolved on September</w:t>
            </w:r>
          </w:p>
        </w:tc>
      </w:tr>
      <w:tr>
        <w:trPr>
          <w:trHeight w:val="184"/>
        </w:trPr>
        <w:tc>
          <w:tcPr>
            <w:tcW w:w="2400" w:type="dxa"/>
            <w:vAlign w:val="bottom"/>
          </w:tcPr>
          <w:p>
            <w:pPr>
              <w:spacing w:after="0"/>
              <w:rPr>
                <w:sz w:val="16"/>
                <w:szCs w:val="16"/>
                <w:color w:val="auto"/>
              </w:rPr>
            </w:pP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30, 2025</w:t>
            </w:r>
          </w:p>
        </w:tc>
      </w:tr>
      <w:tr>
        <w:trPr>
          <w:trHeight w:val="495"/>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24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9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18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IPM</w:t>
            </w:r>
          </w:p>
        </w:tc>
        <w:tc>
          <w:tcPr>
            <w:tcW w:w="9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Intelligent Protection Management Corp., formerly Paltalk, Inc.</w:t>
            </w: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IPM Preferred Stock</w:t>
            </w:r>
          </w:p>
        </w:tc>
        <w:tc>
          <w:tcPr>
            <w:tcW w:w="9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4.0 million shares of IPM Series A Non-Voting Common Equivalent Stock</w:t>
            </w:r>
          </w:p>
        </w:tc>
      </w:tr>
      <w:tr>
        <w:trPr>
          <w:trHeight w:val="488"/>
        </w:trPr>
        <w:tc>
          <w:tcPr>
            <w:tcW w:w="2020" w:type="dxa"/>
            <w:vAlign w:val="bottom"/>
          </w:tcPr>
          <w:p>
            <w:pPr>
              <w:spacing w:after="0"/>
              <w:rPr>
                <w:sz w:val="24"/>
                <w:szCs w:val="24"/>
                <w:color w:val="auto"/>
              </w:rPr>
            </w:pPr>
          </w:p>
        </w:tc>
        <w:tc>
          <w:tcPr>
            <w:tcW w:w="9260" w:type="dxa"/>
            <w:vAlign w:val="bottom"/>
          </w:tcPr>
          <w:p>
            <w:pPr>
              <w:jc w:val="right"/>
              <w:ind w:right="5529"/>
              <w:spacing w:after="0"/>
              <w:rPr>
                <w:sz w:val="20"/>
                <w:szCs w:val="20"/>
                <w:color w:val="auto"/>
              </w:rPr>
            </w:pPr>
            <w:r>
              <w:rPr>
                <w:rFonts w:ascii="Times New Roman" w:cs="Times New Roman" w:eastAsia="Times New Roman" w:hAnsi="Times New Roman"/>
                <w:sz w:val="14"/>
                <w:szCs w:val="14"/>
                <w:color w:val="auto"/>
              </w:rPr>
              <w:t>6</w:t>
            </w:r>
          </w:p>
        </w:tc>
      </w:tr>
      <w:tr>
        <w:trPr>
          <w:trHeight w:val="278"/>
        </w:trPr>
        <w:tc>
          <w:tcPr>
            <w:tcW w:w="202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76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 (amounts related to VIEs of $6.3 million and $6.3 million, respectively)</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375,599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769,225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 (amounts related to VIEs of $187.0 million and $198.4 million, respectively)</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851,463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Residuals in securitizations, at fair value</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and other investments, at fair value (cost of $36,294 and $36,692), respectively</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asset, net</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assets, at LCM</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2,886,767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2,744,819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4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color w:val="auto"/>
              </w:rPr>
              <w:t>F-7</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640" w:type="dxa"/>
            <w:vAlign w:val="bottom"/>
          </w:tcPr>
          <w:p>
            <w:pPr>
              <w:ind w:left="37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60" w:type="dxa"/>
            <w:vAlign w:val="bottom"/>
            <w:tcBorders>
              <w:bottom w:val="single" w:sz="8" w:color="9A9A9A"/>
            </w:tcBorders>
          </w:tcPr>
          <w:p>
            <w:pPr>
              <w:spacing w:after="0"/>
              <w:rPr>
                <w:sz w:val="7"/>
                <w:szCs w:val="7"/>
                <w:color w:val="auto"/>
              </w:rPr>
            </w:pPr>
          </w:p>
        </w:tc>
        <w:tc>
          <w:tcPr>
            <w:tcW w:w="76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4"/>
        </w:trPr>
        <w:tc>
          <w:tcPr>
            <w:tcW w:w="1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0" w:type="dxa"/>
            <w:vAlign w:val="bottom"/>
          </w:tcPr>
          <w:p>
            <w:pPr>
              <w:spacing w:after="0"/>
              <w:rPr>
                <w:sz w:val="12"/>
                <w:szCs w:val="12"/>
                <w:color w:val="auto"/>
              </w:rPr>
            </w:pPr>
          </w:p>
        </w:tc>
        <w:tc>
          <w:tcPr>
            <w:tcW w:w="7640" w:type="dxa"/>
            <w:vAlign w:val="bottom"/>
            <w:shd w:val="clear" w:color="auto" w:fill="CCEEFF"/>
          </w:tcPr>
          <w:p>
            <w:pPr>
              <w:ind w:left="228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1,787,244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1,364,535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deposits</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1,858,873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1,418,408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 (including borrowings of VIEs of $113.9 million and $127.1 million, respectively)</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Liabilities directly associated with assets held for sale</w:t>
            </w:r>
          </w:p>
        </w:tc>
        <w:tc>
          <w:tcPr>
            <w:tcW w:w="26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2,482,076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2,347,249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 and contingencies (Note 13)</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Series B Preferred stock (par value $0.02 per share; 54 authorized, 50 issued and outstanding)</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(par value $0.02 per share; 199,980 authorized, 28,846 and 28,658 issued and outstanding, respectively)</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404,691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397,570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6"/>
                <w:szCs w:val="16"/>
                <w:color w:val="auto"/>
              </w:rPr>
            </w:pPr>
          </w:p>
        </w:tc>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2,886,767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ind w:left="5380"/>
              <w:spacing w:after="0"/>
              <w:rPr>
                <w:sz w:val="20"/>
                <w:szCs w:val="20"/>
                <w:color w:val="auto"/>
              </w:rPr>
            </w:pPr>
            <w:r>
              <w:rPr>
                <w:rFonts w:ascii="Times New Roman" w:cs="Times New Roman" w:eastAsia="Times New Roman" w:hAnsi="Times New Roman"/>
                <w:sz w:val="14"/>
                <w:szCs w:val="14"/>
                <w:color w:val="auto"/>
              </w:rPr>
              <w:t>F-8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6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640" w:type="dxa"/>
            <w:vAlign w:val="bottom"/>
          </w:tcPr>
          <w:p>
            <w:pPr>
              <w:ind w:left="37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60" w:type="dxa"/>
            <w:vAlign w:val="bottom"/>
            <w:tcBorders>
              <w:bottom w:val="single" w:sz="8" w:color="9A9A9A"/>
            </w:tcBorders>
          </w:tcPr>
          <w:p>
            <w:pPr>
              <w:spacing w:after="0"/>
              <w:rPr>
                <w:sz w:val="7"/>
                <w:szCs w:val="7"/>
                <w:color w:val="auto"/>
              </w:rPr>
            </w:pPr>
          </w:p>
        </w:tc>
        <w:tc>
          <w:tcPr>
            <w:tcW w:w="76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46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46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564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34,483</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46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0" w:type="dxa"/>
            <w:vAlign w:val="bottom"/>
          </w:tcPr>
          <w:p>
            <w:pPr>
              <w:spacing w:after="0"/>
              <w:rPr>
                <w:sz w:val="1"/>
                <w:szCs w:val="1"/>
                <w:color w:val="auto"/>
              </w:rPr>
            </w:pPr>
          </w:p>
        </w:tc>
      </w:tr>
      <w:tr>
        <w:trPr>
          <w:trHeight w:val="171"/>
        </w:trPr>
        <w:tc>
          <w:tcPr>
            <w:tcW w:w="3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4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46,241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15,270</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46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46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0" w:type="dxa"/>
            <w:vAlign w:val="bottom"/>
          </w:tcPr>
          <w:p>
            <w:pPr>
              <w:spacing w:after="0"/>
              <w:rPr>
                <w:sz w:val="1"/>
                <w:szCs w:val="1"/>
                <w:color w:val="auto"/>
              </w:rPr>
            </w:pPr>
          </w:p>
        </w:tc>
      </w:tr>
      <w:tr>
        <w:trPr>
          <w:trHeight w:val="171"/>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4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0" w:type="dxa"/>
            <w:vAlign w:val="bottom"/>
          </w:tcPr>
          <w:p>
            <w:pPr>
              <w:spacing w:after="0"/>
              <w:rPr>
                <w:sz w:val="1"/>
                <w:szCs w:val="1"/>
                <w:color w:val="auto"/>
              </w:rPr>
            </w:pPr>
          </w:p>
        </w:tc>
      </w:tr>
      <w:tr>
        <w:trPr>
          <w:trHeight w:val="171"/>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4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12,961</w:t>
            </w: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 on residuals in securitizations</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gain on loans under the fair value option</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46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46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53,731</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4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21,316</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4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Technology expense</w:t>
            </w:r>
          </w:p>
        </w:tc>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46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46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44,263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4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6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46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46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81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460" w:type="dxa"/>
            <w:vAlign w:val="bottom"/>
          </w:tcPr>
          <w:p>
            <w:pPr>
              <w:spacing w:after="0"/>
              <w:rPr>
                <w:sz w:val="24"/>
                <w:szCs w:val="24"/>
                <w:color w:val="auto"/>
              </w:rPr>
            </w:pPr>
          </w:p>
        </w:tc>
        <w:tc>
          <w:tcPr>
            <w:tcW w:w="5640" w:type="dxa"/>
            <w:vAlign w:val="bottom"/>
            <w:gridSpan w:val="2"/>
          </w:tcPr>
          <w:p>
            <w:pPr>
              <w:jc w:val="right"/>
              <w:ind w:right="3292"/>
              <w:spacing w:after="0"/>
              <w:rPr>
                <w:sz w:val="20"/>
                <w:szCs w:val="20"/>
                <w:color w:val="auto"/>
              </w:rPr>
            </w:pPr>
            <w:r>
              <w:rPr>
                <w:rFonts w:ascii="Times New Roman" w:cs="Times New Roman" w:eastAsia="Times New Roman" w:hAnsi="Times New Roman"/>
                <w:sz w:val="14"/>
                <w:szCs w:val="14"/>
                <w:color w:val="auto"/>
              </w:rPr>
              <w:t>F-9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5640" w:type="dxa"/>
            <w:vAlign w:val="bottom"/>
            <w:gridSpan w:val="2"/>
          </w:tcPr>
          <w:p>
            <w:pPr>
              <w:jc w:val="right"/>
              <w:ind w:right="1652"/>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460" w:type="dxa"/>
            <w:vAlign w:val="bottom"/>
            <w:tcBorders>
              <w:bottom w:val="single" w:sz="8" w:color="9A9A9A"/>
            </w:tcBorders>
          </w:tcPr>
          <w:p>
            <w:pPr>
              <w:spacing w:after="0"/>
              <w:rPr>
                <w:sz w:val="7"/>
                <w:szCs w:val="7"/>
                <w:color w:val="auto"/>
              </w:rPr>
            </w:pPr>
          </w:p>
        </w:tc>
        <w:tc>
          <w:tcPr>
            <w:tcW w:w="46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00" w:type="dxa"/>
            <w:vAlign w:val="bottom"/>
            <w:tcBorders>
              <w:bottom w:val="single" w:sz="8" w:color="auto"/>
            </w:tcBorders>
          </w:tcPr>
          <w:p>
            <w:pPr>
              <w:spacing w:after="0"/>
              <w:rPr>
                <w:sz w:val="13"/>
                <w:szCs w:val="13"/>
                <w:color w:val="auto"/>
              </w:rPr>
            </w:pPr>
          </w:p>
        </w:tc>
      </w:tr>
      <w:tr>
        <w:trPr>
          <w:trHeight w:val="180"/>
        </w:trPr>
        <w:tc>
          <w:tcPr>
            <w:tcW w:w="8140" w:type="dxa"/>
            <w:vAlign w:val="bottom"/>
          </w:tcPr>
          <w:p>
            <w:pPr>
              <w:spacing w:after="0"/>
              <w:rPr>
                <w:sz w:val="15"/>
                <w:szCs w:val="15"/>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r>
      <w:tr>
        <w:trPr>
          <w:trHeight w:val="182"/>
        </w:trPr>
        <w:tc>
          <w:tcPr>
            <w:tcW w:w="8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(loss) gain on debt securities available-for-sale during the period</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13,399</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740" w:type="dxa"/>
            <w:vAlign w:val="bottom"/>
            <w:gridSpan w:val="6"/>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60" w:type="dxa"/>
            <w:vAlign w:val="bottom"/>
          </w:tcPr>
          <w:p>
            <w:pPr>
              <w:spacing w:after="0"/>
              <w:rPr>
                <w:sz w:val="6"/>
                <w:szCs w:val="6"/>
                <w:color w:val="auto"/>
              </w:rPr>
            </w:pPr>
          </w:p>
        </w:tc>
        <w:tc>
          <w:tcPr>
            <w:tcW w:w="1740" w:type="dxa"/>
            <w:vAlign w:val="bottom"/>
            <w:gridSpan w:val="6"/>
            <w:vMerge w:val="continue"/>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6"/>
                <w:szCs w:val="6"/>
                <w:color w:val="auto"/>
              </w:rPr>
            </w:pPr>
          </w:p>
        </w:tc>
        <w:tc>
          <w:tcPr>
            <w:tcW w:w="1000" w:type="dxa"/>
            <w:vAlign w:val="bottom"/>
            <w:vMerge w:val="restart"/>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3360" w:type="dxa"/>
            <w:vAlign w:val="bottom"/>
          </w:tcPr>
          <w:p>
            <w:pPr>
              <w:spacing w:after="0"/>
              <w:rPr>
                <w:sz w:val="5"/>
                <w:szCs w:val="5"/>
                <w:color w:val="auto"/>
              </w:rPr>
            </w:pPr>
          </w:p>
        </w:tc>
        <w:tc>
          <w:tcPr>
            <w:tcW w:w="1680" w:type="dxa"/>
            <w:vAlign w:val="bottom"/>
            <w:gridSpan w:val="5"/>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vMerge w:val="restart"/>
          </w:tcPr>
          <w:p>
            <w:pPr>
              <w:spacing w:after="0"/>
              <w:rPr>
                <w:sz w:val="5"/>
                <w:szCs w:val="5"/>
                <w:color w:val="auto"/>
              </w:rPr>
            </w:pPr>
          </w:p>
        </w:tc>
        <w:tc>
          <w:tcPr>
            <w:tcW w:w="17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1680" w:type="dxa"/>
            <w:vAlign w:val="bottom"/>
            <w:tcBorders>
              <w:bottom w:val="single" w:sz="8" w:color="auto"/>
            </w:tcBorders>
            <w:gridSpan w:val="5"/>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income (loss), net</w:t>
            </w:r>
          </w:p>
        </w:tc>
        <w:tc>
          <w:tcPr>
            <w:tcW w:w="140" w:type="dxa"/>
            <w:vAlign w:val="bottom"/>
          </w:tcPr>
          <w:p>
            <w:pPr>
              <w:spacing w:after="0"/>
              <w:rPr>
                <w:sz w:val="11"/>
                <w:szCs w:val="11"/>
                <w:color w:val="auto"/>
              </w:rPr>
            </w:pPr>
          </w:p>
        </w:tc>
        <w:tc>
          <w:tcPr>
            <w:tcW w:w="1000" w:type="dxa"/>
            <w:vAlign w:val="bottom"/>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1"/>
        </w:trPr>
        <w:tc>
          <w:tcPr>
            <w:tcW w:w="3360" w:type="dxa"/>
            <w:vAlign w:val="bottom"/>
          </w:tcPr>
          <w:p>
            <w:pPr>
              <w:spacing w:after="0"/>
              <w:rPr>
                <w:sz w:val="15"/>
                <w:szCs w:val="15"/>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income taxes</w:t>
            </w:r>
          </w:p>
        </w:tc>
        <w:tc>
          <w:tcPr>
            <w:tcW w:w="14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28,658</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253,830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(4)</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397,570</w:t>
            </w:r>
          </w:p>
        </w:tc>
        <w:tc>
          <w:tcPr>
            <w:tcW w:w="0" w:type="dxa"/>
            <w:vAlign w:val="bottom"/>
          </w:tcPr>
          <w:p>
            <w:pPr>
              <w:spacing w:after="0"/>
              <w:rPr>
                <w:sz w:val="1"/>
                <w:szCs w:val="1"/>
                <w:color w:val="auto"/>
              </w:rPr>
            </w:pPr>
          </w:p>
        </w:tc>
      </w:tr>
      <w:tr>
        <w:trPr>
          <w:trHeight w:val="180"/>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96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($0.19/share)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0" w:type="dxa"/>
            <w:vAlign w:val="bottom"/>
          </w:tcPr>
          <w:p>
            <w:pPr>
              <w:spacing w:after="0"/>
              <w:rPr>
                <w:sz w:val="1"/>
                <w:szCs w:val="1"/>
                <w:color w:val="auto"/>
              </w:rPr>
            </w:pPr>
          </w:p>
        </w:tc>
      </w:tr>
      <w:tr>
        <w:trPr>
          <w:trHeight w:val="180"/>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($21.25/share)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101,838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404,691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F-11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4540" w:type="dxa"/>
            <w:vAlign w:val="bottom"/>
            <w:gridSpan w:val="14"/>
          </w:tcPr>
          <w:p>
            <w:pPr>
              <w:ind w:left="5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740" w:type="dxa"/>
            <w:vAlign w:val="bottom"/>
            <w:gridSpan w:val="6"/>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60" w:type="dxa"/>
            <w:vAlign w:val="bottom"/>
          </w:tcPr>
          <w:p>
            <w:pPr>
              <w:spacing w:after="0"/>
              <w:rPr>
                <w:sz w:val="6"/>
                <w:szCs w:val="6"/>
                <w:color w:val="auto"/>
              </w:rPr>
            </w:pPr>
          </w:p>
        </w:tc>
        <w:tc>
          <w:tcPr>
            <w:tcW w:w="1740" w:type="dxa"/>
            <w:vAlign w:val="bottom"/>
            <w:gridSpan w:val="6"/>
            <w:vMerge w:val="continue"/>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6"/>
                <w:szCs w:val="6"/>
                <w:color w:val="auto"/>
              </w:rPr>
            </w:pPr>
          </w:p>
        </w:tc>
        <w:tc>
          <w:tcPr>
            <w:tcW w:w="1000" w:type="dxa"/>
            <w:vAlign w:val="bottom"/>
            <w:vMerge w:val="restart"/>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3360" w:type="dxa"/>
            <w:vAlign w:val="bottom"/>
          </w:tcPr>
          <w:p>
            <w:pPr>
              <w:spacing w:after="0"/>
              <w:rPr>
                <w:sz w:val="5"/>
                <w:szCs w:val="5"/>
                <w:color w:val="auto"/>
              </w:rPr>
            </w:pPr>
          </w:p>
        </w:tc>
        <w:tc>
          <w:tcPr>
            <w:tcW w:w="1680" w:type="dxa"/>
            <w:vAlign w:val="bottom"/>
            <w:gridSpan w:val="5"/>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vMerge w:val="restart"/>
          </w:tcPr>
          <w:p>
            <w:pPr>
              <w:spacing w:after="0"/>
              <w:rPr>
                <w:sz w:val="5"/>
                <w:szCs w:val="5"/>
                <w:color w:val="auto"/>
              </w:rPr>
            </w:pPr>
          </w:p>
        </w:tc>
        <w:tc>
          <w:tcPr>
            <w:tcW w:w="17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1680" w:type="dxa"/>
            <w:vAlign w:val="bottom"/>
            <w:tcBorders>
              <w:bottom w:val="single" w:sz="8" w:color="auto"/>
            </w:tcBorders>
            <w:gridSpan w:val="5"/>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income (loss), net</w:t>
            </w:r>
          </w:p>
        </w:tc>
        <w:tc>
          <w:tcPr>
            <w:tcW w:w="140" w:type="dxa"/>
            <w:vAlign w:val="bottom"/>
          </w:tcPr>
          <w:p>
            <w:pPr>
              <w:spacing w:after="0"/>
              <w:rPr>
                <w:sz w:val="11"/>
                <w:szCs w:val="11"/>
                <w:color w:val="auto"/>
              </w:rPr>
            </w:pPr>
          </w:p>
        </w:tc>
        <w:tc>
          <w:tcPr>
            <w:tcW w:w="1000" w:type="dxa"/>
            <w:vAlign w:val="bottom"/>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1"/>
        </w:trPr>
        <w:tc>
          <w:tcPr>
            <w:tcW w:w="3360" w:type="dxa"/>
            <w:vAlign w:val="bottom"/>
          </w:tcPr>
          <w:p>
            <w:pPr>
              <w:spacing w:after="0"/>
              <w:rPr>
                <w:sz w:val="15"/>
                <w:szCs w:val="15"/>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income taxes</w:t>
            </w:r>
          </w:p>
        </w:tc>
        <w:tc>
          <w:tcPr>
            <w:tcW w:w="14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0" w:type="dxa"/>
            <w:vAlign w:val="bottom"/>
          </w:tcPr>
          <w:p>
            <w:pPr>
              <w:spacing w:after="0"/>
              <w:rPr>
                <w:sz w:val="1"/>
                <w:szCs w:val="1"/>
                <w:color w:val="auto"/>
              </w:rPr>
            </w:pPr>
          </w:p>
        </w:tc>
      </w:tr>
      <w:tr>
        <w:trPr>
          <w:trHeight w:val="180"/>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96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($0.19/share)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80"/>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($20.00/share)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1"/>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220,468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302,280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F-12</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4540" w:type="dxa"/>
            <w:vAlign w:val="bottom"/>
            <w:gridSpan w:val="14"/>
          </w:tcPr>
          <w:p>
            <w:pPr>
              <w:ind w:left="5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4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4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depreciation (appreciation) on joint ventures and other investments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residuals in securitizations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depreciation on warrants and derivative transactions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(12,961)</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 on debt securities available-for-sale and loans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 and deferred loan fees and costs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Lower of cost or market adjustment on loans held for sale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Bad debt expense, net of recoveries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142,933</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Purchase of loans held for sale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(267,951)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(247,439)</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80"/>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46,376</w:t>
            </w:r>
          </w:p>
        </w:tc>
        <w:tc>
          <w:tcPr>
            <w:tcW w:w="0" w:type="dxa"/>
            <w:vAlign w:val="bottom"/>
          </w:tcPr>
          <w:p>
            <w:pPr>
              <w:spacing w:after="0"/>
              <w:rPr>
                <w:sz w:val="1"/>
                <w:szCs w:val="1"/>
                <w:color w:val="auto"/>
              </w:rPr>
            </w:pPr>
          </w:p>
        </w:tc>
      </w:tr>
      <w:tr>
        <w:trPr>
          <w:trHeight w:val="180"/>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(257,460)</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(60,704)</w:t>
            </w:r>
          </w:p>
        </w:tc>
        <w:tc>
          <w:tcPr>
            <w:tcW w:w="0" w:type="dxa"/>
            <w:vAlign w:val="bottom"/>
          </w:tcPr>
          <w:p>
            <w:pPr>
              <w:spacing w:after="0"/>
              <w:rPr>
                <w:sz w:val="1"/>
                <w:szCs w:val="1"/>
                <w:color w:val="auto"/>
              </w:rPr>
            </w:pPr>
          </w:p>
        </w:tc>
      </w:tr>
      <w:tr>
        <w:trPr>
          <w:trHeight w:val="182"/>
        </w:trPr>
        <w:tc>
          <w:tcPr>
            <w:tcW w:w="8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received on loans held for investment, at fair value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loans held for investment, at fair value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loans held for investment, at cost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(100,083)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(110,671)</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Biller Genie and Newtek Technology Solutions, Inc.</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of capital from joint ventures and other investments</w:t>
            </w:r>
          </w:p>
        </w:tc>
        <w:tc>
          <w:tcPr>
            <w:tcW w:w="9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of Federal Home Loan Bank and Federal Reserve Bank stock</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Federal Home Loan Bank and Federal Reserve Bank stock</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Maturities of available-for-sale securities</w:t>
            </w:r>
          </w:p>
        </w:tc>
        <w:tc>
          <w:tcPr>
            <w:tcW w:w="9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(85,262)</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(79,245)</w:t>
            </w:r>
          </w:p>
        </w:tc>
        <w:tc>
          <w:tcPr>
            <w:tcW w:w="0" w:type="dxa"/>
            <w:vAlign w:val="bottom"/>
          </w:tcPr>
          <w:p>
            <w:pPr>
              <w:spacing w:after="0"/>
              <w:rPr>
                <w:sz w:val="1"/>
                <w:szCs w:val="1"/>
                <w:color w:val="auto"/>
              </w:rPr>
            </w:pPr>
          </w:p>
        </w:tc>
      </w:tr>
      <w:tr>
        <w:trPr>
          <w:trHeight w:val="182"/>
        </w:trPr>
        <w:tc>
          <w:tcPr>
            <w:tcW w:w="8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5"/>
        </w:trPr>
        <w:tc>
          <w:tcPr>
            <w:tcW w:w="814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F-13</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4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4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4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Borrowing on bank notes payable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129,000</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on bank notes payable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(193,973)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(43,822)</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439,462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2033 8.375% Notes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Maturity of 2026 5.50% Notes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(87,123)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Maturity of 2025 5.00% Notes</w:t>
            </w:r>
          </w:p>
        </w:tc>
        <w:tc>
          <w:tcPr>
            <w:tcW w:w="9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2030 Notes</w:t>
            </w:r>
          </w:p>
        </w:tc>
        <w:tc>
          <w:tcPr>
            <w:tcW w:w="9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(16,027)</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related to residuals in securitizations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273,074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0" w:type="dxa"/>
            <w:vAlign w:val="bottom"/>
          </w:tcPr>
          <w:p>
            <w:pPr>
              <w:spacing w:after="0"/>
              <w:rPr>
                <w:sz w:val="1"/>
                <w:szCs w:val="1"/>
                <w:color w:val="auto"/>
              </w:rPr>
            </w:pPr>
          </w:p>
        </w:tc>
      </w:tr>
      <w:tr>
        <w:trPr>
          <w:trHeight w:val="180"/>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ESPP, net of discount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435,447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restricted cash</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(87,240)</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9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9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403,016</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0" w:type="dxa"/>
            <w:vAlign w:val="bottom"/>
          </w:tcPr>
          <w:p>
            <w:pPr>
              <w:spacing w:after="0"/>
              <w:rPr>
                <w:sz w:val="1"/>
                <w:szCs w:val="1"/>
                <w:color w:val="auto"/>
              </w:rPr>
            </w:pPr>
          </w:p>
        </w:tc>
      </w:tr>
      <w:tr>
        <w:trPr>
          <w:trHeight w:val="150"/>
        </w:trPr>
        <w:tc>
          <w:tcPr>
            <w:tcW w:w="8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IPM stock acquired</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IPM earn-out</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0" w:type="dxa"/>
            <w:vAlign w:val="bottom"/>
          </w:tcPr>
          <w:p>
            <w:pPr>
              <w:spacing w:after="0"/>
              <w:rPr>
                <w:sz w:val="1"/>
                <w:szCs w:val="1"/>
                <w:color w:val="auto"/>
              </w:rPr>
            </w:pPr>
          </w:p>
        </w:tc>
      </w:tr>
      <w:tr>
        <w:trPr>
          <w:trHeight w:val="159"/>
        </w:trPr>
        <w:tc>
          <w:tcPr>
            <w:tcW w:w="8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24,788</w:t>
            </w:r>
          </w:p>
        </w:tc>
        <w:tc>
          <w:tcPr>
            <w:tcW w:w="0" w:type="dxa"/>
            <w:vAlign w:val="bottom"/>
          </w:tcPr>
          <w:p>
            <w:pPr>
              <w:spacing w:after="0"/>
              <w:rPr>
                <w:sz w:val="1"/>
                <w:szCs w:val="1"/>
                <w:color w:val="auto"/>
              </w:rPr>
            </w:pPr>
          </w:p>
        </w:tc>
      </w:tr>
      <w:tr>
        <w:trPr>
          <w:trHeight w:val="18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91"/>
        </w:trPr>
        <w:tc>
          <w:tcPr>
            <w:tcW w:w="814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F-14</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4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independent business owners (SMBs) and provides SMBs with the following Newtek® branded business and financial solutions: Newtek Banking, Newtek Lending, Newtek Payments, Newtek Insurance and Newtek Payroll.</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NewtekOne reports on a consolidated basis the financial condition and results of operations for the following consolidated subsidiaries: Newtek Bank; NSBF; NMS (and its subsidiary Mobil Money); NBC; PMT; NIA; TAM; POS; and NALH.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The accompanying notes to the consolidated financial statements should be read in conjunction with the Company’s Annual Report on Form 10-K for the year ended December 31, 2025, filed on March 10, 2026 (the “2025 Form 10-K”).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annualized results of operations for the three months ended March 31, 2026, are not necessarily indicative of the results of operations that may be expected for the entire fiscal year. The December 31, 2025 consolidated statements of financial condition has been derived from the audited financial statements as of that date.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consolidates a subsidiary if the Company has a controlling financial interest in the entity as a result of holding a majority of the voting rights.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3—SECURITIZATIONS AND VARIABLE INTEREST ENTITIES.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which are normal and reoccurring in nature, to the extent comparable, have been reclassified to conform to the current period presentation.</w:t>
      </w:r>
    </w:p>
    <w:p>
      <w:pPr>
        <w:spacing w:after="0" w:line="20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previous net presentation of cash flows from investing and financing activities within the consolidated statements of cash flows has been revised to reflect a gross presentation of repayments and borrowings, principal received on and repurchases of loans held for investment, purchases and redemptions of Federal Home Loan Bank stock and Federal Reserve Bank stock, contributions and return of capital on joint venture investments, as well as purchases, sales and maturities of available-for-sale securities for all comparative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reclassifications did not result in any changes to previously reported net income, shareholder’s equity or net cash used in investing or financing activities.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A more detailed description of our accounting policies is included in the Company’s 2025 Form 10-K, which accounting policies remain significantly unchanged. There have been no other significant changes to our accounting policies, or the estimates made pursuant to those policies as described in our 2025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due from banks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March 31, 2026, cash deposits in excess of insured amounts totaled $119.5 million. The Company has not experienced any losses with respect to cash balances in excess of insured amounts and management does not believe there was a significant concentration of risk with respect to cash balances as of March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remittances to third parties, cash reserves established as part of agreements with the SBA, cash reserves associated with consolidated securitization transactions, and cash margin as collateral for derivative instruments.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restricted cash, and interest bearing deposits in banks as of March 31, 2026 and 2025 and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40" w:type="dxa"/>
            <w:vAlign w:val="bottom"/>
          </w:tcPr>
          <w:p>
            <w:pPr>
              <w:spacing w:after="0"/>
              <w:rPr>
                <w:sz w:val="13"/>
                <w:szCs w:val="13"/>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20" w:type="dxa"/>
            <w:vAlign w:val="bottom"/>
          </w:tcPr>
          <w:p>
            <w:pPr>
              <w:spacing w:after="0"/>
              <w:rPr>
                <w:sz w:val="13"/>
                <w:szCs w:val="13"/>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r>
      <w:tr>
        <w:trPr>
          <w:trHeight w:val="18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r>
      <w:tr>
        <w:trPr>
          <w:trHeight w:val="18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375,599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259,782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r>
      <w:tr>
        <w:trPr>
          <w:trHeight w:val="171"/>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403,016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310,291</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9"/>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4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20" w:type="dxa"/>
            <w:vAlign w:val="bottom"/>
          </w:tcPr>
          <w:p>
            <w:pPr>
              <w:spacing w:after="0"/>
              <w:rPr>
                <w:sz w:val="24"/>
                <w:szCs w:val="24"/>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630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Cash held at Federal Reserve Bank</w:t>
            </w:r>
            <w:r>
              <w:rPr>
                <w:rFonts w:ascii="Times New Roman" w:cs="Times New Roman" w:eastAsia="Times New Roman" w:hAnsi="Times New Roman"/>
                <w:sz w:val="18"/>
                <w:szCs w:val="18"/>
                <w:color w:val="auto"/>
                <w:vertAlign w:val="superscript"/>
              </w:rPr>
              <w:t>1</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374,400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259,343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277,828</w:t>
            </w:r>
          </w:p>
        </w:tc>
      </w:tr>
      <w:tr>
        <w:trPr>
          <w:trHeight w:val="18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held at other financial institutions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32,463</w:t>
            </w: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310,291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Subject to changes in the Federal Funds rate set by the Federal Open Market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 HFI at amortized cost</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loans.</w:t>
      </w:r>
    </w:p>
    <w:p>
      <w:pPr>
        <w:spacing w:after="0" w:line="14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8"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143" w:lineRule="exact"/>
        <w:rPr>
          <w:sz w:val="20"/>
          <w:szCs w:val="20"/>
          <w:color w:val="auto"/>
        </w:rPr>
      </w:pPr>
    </w:p>
    <w:p>
      <w:pPr>
        <w:ind w:left="500" w:right="20" w:hanging="636"/>
        <w:spacing w:after="0" w:line="270" w:lineRule="auto"/>
        <w:tabs>
          <w:tab w:leader="none" w:pos="480" w:val="left"/>
        </w:tabs>
        <w:rPr>
          <w:sz w:val="20"/>
          <w:szCs w:val="20"/>
          <w:color w:val="auto"/>
        </w:rPr>
      </w:pPr>
      <w:r>
        <w:rPr>
          <w:rFonts w:ascii="Times New Roman" w:cs="Times New Roman" w:eastAsia="Times New Roman" w:hAnsi="Times New Roman"/>
          <w:sz w:val="14"/>
          <w:szCs w:val="14"/>
          <w:i w:val="1"/>
          <w:iCs w:val="1"/>
          <w:color w:val="auto"/>
        </w:rPr>
        <w:t>CRE:</w:t>
      </w:r>
      <w:r>
        <w:rPr>
          <w:sz w:val="20"/>
          <w:szCs w:val="20"/>
          <w:color w:val="auto"/>
        </w:rPr>
        <w:tab/>
      </w:r>
      <w:r>
        <w:rPr>
          <w:rFonts w:ascii="Times New Roman" w:cs="Times New Roman" w:eastAsia="Times New Roman" w:hAnsi="Times New Roman"/>
          <w:sz w:val="14"/>
          <w:szCs w:val="14"/>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i w:val="1"/>
          <w:iCs w:val="1"/>
          <w:color w:val="auto"/>
        </w:rPr>
        <w:t>C&amp;I:</w:t>
      </w:r>
      <w:r>
        <w:rPr>
          <w:sz w:val="20"/>
          <w:szCs w:val="20"/>
          <w:color w:val="auto"/>
        </w:rPr>
        <w:tab/>
      </w:r>
      <w:r>
        <w:rPr>
          <w:rFonts w:ascii="Times New Roman" w:cs="Times New Roman" w:eastAsia="Times New Roman" w:hAnsi="Times New Roman"/>
          <w:sz w:val="14"/>
          <w:szCs w:val="14"/>
          <w:color w:val="auto"/>
        </w:rPr>
        <w:t>The C&amp;I portfolio consists of loans made for general business purposes consisting of short-term working capital loans, equipment loans and unsecured business lines.</w:t>
      </w:r>
    </w:p>
    <w:p>
      <w:pPr>
        <w:spacing w:after="0" w:line="200" w:lineRule="exact"/>
        <w:rPr>
          <w:sz w:val="20"/>
          <w:szCs w:val="20"/>
          <w:color w:val="auto"/>
        </w:rPr>
      </w:pPr>
    </w:p>
    <w:p>
      <w:pPr>
        <w:ind w:left="640" w:hanging="636"/>
        <w:spacing w:after="0" w:line="259" w:lineRule="auto"/>
        <w:tabs>
          <w:tab w:leader="none" w:pos="620" w:val="left"/>
        </w:tabs>
        <w:rPr>
          <w:sz w:val="20"/>
          <w:szCs w:val="20"/>
          <w:color w:val="auto"/>
        </w:rPr>
      </w:pPr>
      <w:r>
        <w:rPr>
          <w:rFonts w:ascii="Times New Roman" w:cs="Times New Roman" w:eastAsia="Times New Roman" w:hAnsi="Times New Roman"/>
          <w:sz w:val="14"/>
          <w:szCs w:val="14"/>
          <w:i w:val="1"/>
          <w:iCs w:val="1"/>
          <w:color w:val="auto"/>
        </w:rPr>
        <w:t>SBA 7(a):</w:t>
      </w:r>
      <w:r>
        <w:rPr>
          <w:sz w:val="20"/>
          <w:szCs w:val="20"/>
          <w:color w:val="auto"/>
        </w:rPr>
        <w:tab/>
      </w:r>
      <w:r>
        <w:rPr>
          <w:rFonts w:ascii="Times New Roman" w:cs="Times New Roman" w:eastAsia="Times New Roman" w:hAnsi="Times New Roman"/>
          <w:sz w:val="14"/>
          <w:szCs w:val="14"/>
          <w:color w:val="auto"/>
        </w:rPr>
        <w:t>The SBA 7(a) portfolio includes loans originated under the federal Section 7(a) loan program (the “SBA 7(a)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 7(a) Program, a bank or other lender licensed by the SBA may underwrite loans between $5.0 thousand and $5.0 million for a variety of general business purposes based on the SBA 7(a) Program requirements. The Company applies the zero loss expectation exemption under CECL to the guaranteed portion of the SBA 7(a) loans. The unguaranteed portion of the SBA 7(a) loans that are held on balance sheet at amortized cost are subject to an ACL. In the context of CECL, these SBA 7(a) loans are held at Newtek Bank.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Individually Evaluated Loans. </w:t>
      </w:r>
      <w:r>
        <w:rPr>
          <w:rFonts w:ascii="Times New Roman" w:cs="Times New Roman" w:eastAsia="Times New Roman" w:hAnsi="Times New Roman"/>
          <w:sz w:val="14"/>
          <w:szCs w:val="14"/>
          <w:color w:val="auto"/>
        </w:rPr>
        <w:t>Loans that do not share risk characteristics with existing pools are evaluated on an individual basis. Management defines these loans as nonaccrual loans with exposure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$100 thousand. In the first quarter of 2025, management began evaluating the remaining PCD loans individually, regardless of accrual status.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6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Generally, accrued interest is reversed when a loan is placed on non-accrual or is written-off. Current year accrued interest is reversed through interest income while accrued interest from prior years is written-off through the ACL. Historically, the Company has not experienced uncollectible accrued interest receivable on investment securities.</w:t>
      </w:r>
    </w:p>
    <w:p>
      <w:pPr>
        <w:spacing w:after="0" w:line="16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off-balance sheet credit exposures. </w:t>
      </w:r>
      <w:r>
        <w:rPr>
          <w:rFonts w:ascii="Times New Roman" w:cs="Times New Roman" w:eastAsia="Times New Roman" w:hAnsi="Times New Roman"/>
          <w:sz w:val="14"/>
          <w:szCs w:val="14"/>
          <w:color w:val="auto"/>
        </w:rPr>
        <w:t>The exposure is a component of other liabilities in the consolidated balance sheet and represents the estimate for probable credit losses inherent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March 31, 2026 and 2025, the Company determined that the unrealized loss positions in the AFS securities were not the result of credit losses, and therefore, an allowance for credit losses was not recorded.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period-end but have not yet settled. The guaranteed portion of SBA 7(a) loan principal balances that have been sold but not yet settled as of March 31, 2026 and December 31, 2025, was $46.8 million and $0.4 million, respectively. The settlement receivable also includes $4.7 million and $41.0 thousand of premiums, which have been recognized in Net Gains on Sales of Loans as of March 31, 2026 and December 31,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 variable interest entity (“VIE”) is an entity in which equity investors lack the characteristics of a controlling financial interest, do not have sufficient equity at risk for the entity to finance its activities without additional subordinated financial support, or substantially all of the activities of the entity are conducted on behalf of an investor with disproportionally few voting rights. VIEs are consolidated by the primary beneficiary, which is the party who has the power to direct the activities of a VIE that most significantly impact the VIE’s economic performance and who has an obligation to absorb losses of the VIE or a right to receive benefits from the VIE that could potentially be significant to the VIE. The Company determines whether it is the primary beneficiary of a VIE upon initial involvement with a VIE and reassesses whether it is the primary beneficiary of a VIE on an ongoing basis. The determination of whether an entity is a VIE and whether the Company is the primary beneficiary of a VIE is based upon the facts and circumstances for the VIE and requires significant judgments such as whether the Company’s interest in a VIE is a variable interest, whether the Company controls the activities that most significantly impact the economic performance of the VIE, and whether the Company has the obligation to absorb losses or the right to receive benefits of the VIE that could be significant to the VIE. A VIE is consolidated if management determines the Company, is the primary beneficiary.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Residuals in Securitizations, at Fair Value</w:t>
      </w:r>
    </w:p>
    <w:p>
      <w:pPr>
        <w:spacing w:after="0" w:line="20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residuals in securitizations, at fair value, arise from the NALP Business Loan Trust 2025-1 and 2026-1 ALP securitizations that the Company closed on April 23, 2025 and January 21, 2026, respectively. Residuals in securitizations were $197.5 million and $76.7 million as of March 31, 2026 and December 31, 2025, respectively. Both the 2025-1 and 2026-1 Trusts (collectively “the Unconsolidated Trusts”) meet the definition of a VIE. The Company holds a variable interest in the VIE, however, the Company is not considered the primary beneficiary of the VIE, because the power over the activities that have the most significant impact on the economic performance of the Unconsolidated Trusts is held by the owners of the Class C Notes issued by the respective Unconsolidated Trust, and therefore, the Company is not required to consolidate the Unconsolidated Trusts. The Company’s beneficial interest in the Unconsolidated Trusts is evidenced by NALH’s sole ownership of the Ownership Certificates and its beneficial interest in the credit risk of the securitized ALP Loans. As the Sponsor (NALH) is a wholly owned subsidiary of the Company, the Company effectively owns 100% of the equity interest in the Unconsolidated Trusts. Refer to NOTE 3—SECURITIZATIONS AND VARIABLE INTEREST ENTITIES in the accompanying notes to the consolidated financial statements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spacing w:after="0" w:line="1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17—INCOME TAXES</w:t>
      </w:r>
      <w:r>
        <w:rPr>
          <w:rFonts w:ascii="Times New Roman" w:cs="Times New Roman" w:eastAsia="Times New Roman" w:hAnsi="Times New Roman"/>
          <w:sz w:val="14"/>
          <w:szCs w:val="14"/>
          <w:b w:val="1"/>
          <w:bCs w:val="1"/>
          <w:color w:val="auto"/>
        </w:rPr>
        <w:t>.</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2022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statements of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Debt—Debt with Conversion and Other Options (Subtopic 470-20) Induced Conversions of Convertible Debt Instruments (ASU 2024-04): </w:t>
      </w:r>
      <w:r>
        <w:rPr>
          <w:rFonts w:ascii="Times New Roman" w:cs="Times New Roman" w:eastAsia="Times New Roman" w:hAnsi="Times New Roman"/>
          <w:sz w:val="14"/>
          <w:szCs w:val="14"/>
          <w:color w:val="auto"/>
        </w:rPr>
        <w:t>In November 2024, the FASB issued ASU 2024-04,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this guidance as of January 1, 2026 and the adoption of the standard did not have a material impact on its consolidated financial statements.</w:t>
      </w:r>
    </w:p>
    <w:p>
      <w:pPr>
        <w:spacing w:after="0" w:line="1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4"/>
          <w:szCs w:val="14"/>
          <w:color w:val="auto"/>
        </w:rPr>
        <w:t>In July 2025, the FASB issued ASU No. 2025-05, which provides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practical expedient when estimating expected credit losses on current accounts receivable and/or current contract assets arising from Transactions under Topic 606, including those assets acquired in a transaction accounted for under Topic 805, Business Combinations. The amendments require that an entity may elect a practical expedient that assumes that current conditions as of the balance sheet date do not change for the remaining life of the asset. ASU 2025-05 is effective for the Company’s annual reporting periods beginning after December 15, 2025, and interim reporting periods within those annual reporting periods, with early adoption permitted. ASU 2025-05 is required to be applied prospectively. The Company adopted this guidance as of January 1, 2026 and the adoption of the standard did not have a material impact on its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Income Statement-Reporting Comprehensive Income-Expense Disaggregation Disclosures (ASU 2024-03): </w:t>
      </w:r>
      <w:r>
        <w:rPr>
          <w:rFonts w:ascii="Times New Roman" w:cs="Times New Roman" w:eastAsia="Times New Roman" w:hAnsi="Times New Roman"/>
          <w:sz w:val="14"/>
          <w:szCs w:val="14"/>
          <w:color w:val="auto"/>
        </w:rPr>
        <w:t>In November 2024, the FASB issued ASU 2024-03, and in January 2025, the FASB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ASU 2025-01, </w:t>
      </w:r>
      <w:r>
        <w:rPr>
          <w:rFonts w:ascii="Times New Roman" w:cs="Times New Roman" w:eastAsia="Times New Roman" w:hAnsi="Times New Roman"/>
          <w:sz w:val="14"/>
          <w:szCs w:val="14"/>
          <w:i w:val="1"/>
          <w:iCs w:val="1"/>
          <w:color w:val="auto"/>
        </w:rPr>
        <w:t>Income Statement-Reporting Comprehensive Income-Expense Disaggregation Disclosures: Clarifying the Effective Date (ASU 2025-01).</w:t>
      </w:r>
      <w:r>
        <w:rPr>
          <w:rFonts w:ascii="Times New Roman" w:cs="Times New Roman" w:eastAsia="Times New Roman" w:hAnsi="Times New Roman"/>
          <w:sz w:val="14"/>
          <w:szCs w:val="14"/>
          <w:color w:val="auto"/>
        </w:rPr>
        <w:t xml:space="preserve"> ASU 2024-03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ASU 2024-03, as clarified by ASU 2025-01, is effective for fiscal years beginning after December 15, 2026, and interim periods within fiscal years beginning after December 15, 2027, with early adoption permitted. The Company is in the process of evaluating the impact of adopting this standard and, at this time, does not anticipate it will have a material impact on its consolidated financial statements.</w:t>
      </w:r>
    </w:p>
    <w:p>
      <w:pPr>
        <w:spacing w:after="0" w:line="16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Business Combinations (Topic 805) and Consolidation (Topic 810)—Determining the Accounting Acquirer in the Acquisition of a Variable Interest Entity (ASU 2025-03): </w:t>
      </w:r>
      <w:r>
        <w:rPr>
          <w:rFonts w:ascii="Times New Roman" w:cs="Times New Roman" w:eastAsia="Times New Roman" w:hAnsi="Times New Roman"/>
          <w:sz w:val="14"/>
          <w:szCs w:val="14"/>
          <w:color w:val="auto"/>
        </w:rPr>
        <w:t>In May 2025, the FASB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ASU No. 2025-03,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is evaluating adoption timing and the impact ASU 2025-03 will have on its financial statements and related disclosures.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Compensation—Stock Compensation (Topic 718) and Revenue from Contracts with Customers (Topic 606)—Clarifications to Share-Based Consideration Payable to a Customer(ASU 2025-04): </w:t>
      </w:r>
      <w:r>
        <w:rPr>
          <w:rFonts w:ascii="Times New Roman" w:cs="Times New Roman" w:eastAsia="Times New Roman" w:hAnsi="Times New Roman"/>
          <w:sz w:val="14"/>
          <w:szCs w:val="14"/>
          <w:color w:val="auto"/>
        </w:rPr>
        <w:t>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2025, the FASB issued ASU 2025-04, to reduce diversity in practice and improve the decision usefulness and operability of the guidance for share-based consideration payable to a customer in conjunction with selling goods or services. This update is effective for annual reporting periods (including interim reporting periods within annual reporting periods) beginning after December 15, 2026, though early adoption is permitted. The Company has not engaged in providing share-based compensation to a customer and does not presently anticipate doing so.</w:t>
      </w:r>
    </w:p>
    <w:p>
      <w:pPr>
        <w:spacing w:after="0" w:line="15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Intangibles—Goodwill and Other—Internal-Use Software (Subtopic 350-40): Targeted Improvements to the Accounting for Internal-Use Software. </w:t>
      </w:r>
      <w:r>
        <w:rPr>
          <w:rFonts w:ascii="Times New Roman" w:cs="Times New Roman" w:eastAsia="Times New Roman" w:hAnsi="Times New Roman"/>
          <w:sz w:val="14"/>
          <w:szCs w:val="14"/>
          <w:color w:val="auto"/>
        </w:rPr>
        <w:t>In September 2025, the FASB issued ASU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2025-06, which modernizes the accounting for internal-use software costs under ASC 350-40 by aligning it with current development practices, especially agile and iterative methods. It clarifies when to begin capitalizing costs, improves operability across different development approaches, and enhances disclosure requirements. ASU 2025-06 is effective for fiscal years beginning after December 15, 2027, and for interim periods within those annual reporting periods, with early adoption permitted. The Company is evaluating adoption timing and the impact ASU 2025-06 will have on its consolidated financial statements and, at this time, does not anticipate it will have a material impact.</w:t>
      </w:r>
    </w:p>
    <w:p>
      <w:pPr>
        <w:spacing w:after="0" w:line="1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 w:cs="Times New Roman" w:eastAsia="Times New Roman" w:hAnsi="Times New Roman"/>
          <w:sz w:val="14"/>
          <w:szCs w:val="14"/>
          <w:color w:val="auto"/>
        </w:rPr>
        <w:t>In September 2025, the FASB issued ASU No. 2025-07, which refines the scope of derivative accounting under Topic 815 and clarifies the treatment of share-based noncash consideration under ASC 606. This update is effective for annual periods beginning after December 15, 2025, including interim periods within those annual periods, with early adoption permitted. Entities may apply the amendments prospectively to new contracts or retrospectively with a cumulative-effect adjustment. The Company is evaluating adoption timing and the impact ASU 2025-07 will have on its consolidated financial statements and, at this time, does not anticipate it will have a material impact.</w:t>
      </w:r>
    </w:p>
    <w:p>
      <w:pPr>
        <w:spacing w:after="0" w:line="16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Financial Instruments—Credit Losses (Topic 326): Purchased Loans. </w:t>
      </w:r>
      <w:r>
        <w:rPr>
          <w:rFonts w:ascii="Times New Roman" w:cs="Times New Roman" w:eastAsia="Times New Roman" w:hAnsi="Times New Roman"/>
          <w:sz w:val="14"/>
          <w:szCs w:val="14"/>
          <w:color w:val="auto"/>
        </w:rPr>
        <w:t>In November 2025, the FASB issued ASU 2025-08 which amended guidance related to the accounting for purchased loans.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this new guidance, loans acquired without credit deterioration and deemed “seasoned” will be considered purchased seasoned loans and accounted for using the gross-up approach at acquisition (i.e., record the loan at its purchase price and separately record an allowance for expected credit losses). Seasoned loans include all loans acquired in a business combination, that do not have “more-than-insignificant” deterioration of credit quality since origination, as well as loans purchased at least 90 days after origination, where the purchaser was not involved in the origination of the loans. This new guidance is effective for annual and interim periods beginning after December 15, 2026 with early adoption permitted. This guidance will be applied using a prospective transition approach. The Company is in the process of analyzing the impact of the ASU on its consolidated financial statements and related disclosures.</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Derivatives and Hedging (Topic 815): Hedge Accounting Improvements. </w:t>
      </w:r>
      <w:r>
        <w:rPr>
          <w:rFonts w:ascii="Times New Roman" w:cs="Times New Roman" w:eastAsia="Times New Roman" w:hAnsi="Times New Roman"/>
          <w:sz w:val="14"/>
          <w:szCs w:val="14"/>
          <w:color w:val="auto"/>
        </w:rPr>
        <w:t>In November 2025, the FASB issues ASU 2025-09, which includes amendments to more closely align hedge accounting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economics of an entities risk management activities. This new guidance is effective for fiscal years beginning after December 15, 2026 and interim periods within those fiscal years, with early adoption permitted, and should be applied prospectively. The Company is currently evaluating the ASU to determine its impact on the Company’s consolidated financial statements and related disclosures.</w:t>
      </w:r>
    </w:p>
    <w:p>
      <w:pPr>
        <w:spacing w:after="0" w:line="15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Interim Reporting (Topic 270): Narrow-Scope Improvements. </w:t>
      </w:r>
      <w:r>
        <w:rPr>
          <w:rFonts w:ascii="Times New Roman" w:cs="Times New Roman" w:eastAsia="Times New Roman" w:hAnsi="Times New Roman"/>
          <w:sz w:val="14"/>
          <w:szCs w:val="14"/>
          <w:color w:val="auto"/>
        </w:rPr>
        <w:t>In December 2025, the FASB issued ASU 2025-11, relating to interim disclosure requirements. The amendments in this update clarify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interim disclosure requirements and provide a comprehensive list of required interim disclosures. The ASU also incorporates a disclosure principle that requires entities to disclose events that occur after the end of the last annual reporting period. The ASU is effective for interim periods within annual periods beginning after December 15, 2027, though early adoption is permitted. The Company is in the process of analyzing the impact of the ASU on its consolidated financial statements and related disclosures.</w:t>
      </w:r>
    </w:p>
    <w:p>
      <w:pPr>
        <w:spacing w:after="0" w:line="15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Codification Improvements: </w:t>
      </w:r>
      <w:r>
        <w:rPr>
          <w:rFonts w:ascii="Times New Roman" w:cs="Times New Roman" w:eastAsia="Times New Roman" w:hAnsi="Times New Roman"/>
          <w:sz w:val="14"/>
          <w:szCs w:val="14"/>
          <w:color w:val="auto"/>
        </w:rPr>
        <w:t>In December 2025, the FASB issued ASU 2025-12, to address suggestions received from stakeholders on the Accounting Standards Codification and to make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incremental improvements to U.S. GAAP. The updates represents changes to the Codification that (1) clarity, (2) correct errors, or (3) make minor improvements. The amendments make the Codification easier to understand and apply. The guidance is effective for fiscal years beginning after December 15, 2026, including interim periods within those fiscal years. The Company will adopt this guidance in fiscal 2027 and does not expect the adoption to have a material impact on its consolidated financial statements and related disclosures.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3—SECURITIZATIONS AND VARIABLE INTEREST ENTITIES: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7(a) Loan Securitizations</w:t>
      </w:r>
    </w:p>
    <w:p>
      <w:pPr>
        <w:spacing w:after="0" w:line="181"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each of these SBA 7(a) loan securitizations, the unguaranteed portions of the SBA 7(a) loans were transferred to a special purpose vehicle (a “Trust”), which in turn issued notes against the Trust’s assets in private placements. The Trust’s primary source of income for repaying the securitization notes is the cash flows generated from the unguaranteed portion of SBA 7(a) loans owned by the Trust. A Trust is considered to be a VIE.</w:t>
      </w:r>
    </w:p>
    <w:p>
      <w:pPr>
        <w:spacing w:after="0" w:line="1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Assets owned by the securitization Trusts, which are VIEs, have been included in the Company’s consolidated financial statements as a result of the Company concluding that it is (or was) the primary beneficiary of the Trust. The Company therefore consolidated the entities using the carrying amounts of the Trusts’ assets and liabilities and reflects the assets in Restricted cash and Loans held for investment, at fair value and reflects the associated financing in Borrowings on the Consolidated Statements of Financial Condition. The creditors or other beneficial interest holders of Trusts for which the Company is the primary beneficiary generally have recourse only to the assets and cash flows of the Trust and do not have recourse to the Company.</w:t>
      </w:r>
    </w:p>
    <w:p>
      <w:pPr>
        <w:spacing w:after="0" w:line="1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Three (3) of these NSBF 7(a) loan securitizations remain consolidated as of March 31, 2026. Risks associated with the Company’s involvement with the consolidated Trusts includes potential losses of residual interests in the Trusts.</w:t>
      </w:r>
    </w:p>
    <w:p>
      <w:pPr>
        <w:spacing w:after="0" w:line="124"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total assets and total liabilities associated with the Company’s variable interests in consolidated Trusts, as classified in the consolidated statements of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60" w:type="dxa"/>
            <w:vAlign w:val="bottom"/>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r>
      <w:tr>
        <w:trPr>
          <w:trHeight w:val="18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186,965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198,434</w:t>
            </w: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60" w:type="dxa"/>
            <w:vAlign w:val="bottom"/>
            <w:tcBorders>
              <w:bottom w:val="single" w:sz="8" w:color="auto"/>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193,268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204,737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660" w:type="dxa"/>
            <w:vAlign w:val="bottom"/>
            <w:tcBorders>
              <w:bottom w:val="single" w:sz="8" w:color="auto"/>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127,050</w:t>
            </w:r>
          </w:p>
        </w:tc>
      </w:t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60" w:type="dxa"/>
            <w:vAlign w:val="bottom"/>
            <w:tcBorders>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113,944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127,050</w:t>
            </w:r>
          </w:p>
        </w:tc>
      </w:tr>
      <w:tr>
        <w:trPr>
          <w:trHeight w:val="20"/>
        </w:trPr>
        <w:tc>
          <w:tcPr>
            <w:tcW w:w="6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ALP Loan Securitizations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Assets owned by securitization Trusts, which are VIEs, are not included in the Company’s consolidated financial statements when the Company has concluded that it is not the primary beneficiary of the Trust and the transfer of the financial assets meet the sale criteria of ASC 860. As the beneficial interests in these securitizations meet the definition of a debt security, pertain to securitized financial assets and based on other criteria met, it falls under the scope of ASC 325-40. This guidance also permits an entity to elect to account for the beneficial interests under the fair value option. The Company has made the irrevocable decision to measure the beneficial interests using the fair value option under ASC 825 with changes in fair value recognized in earnings each reporting period.</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21, 2026, Newtek ALP Holdings closed a securitization pursuant to which it sold $251.9 million of Class A Notes, $35.9 million of Class B Notes, and $6.8 million of a Class C 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(collectively, the “2026-1 Notes”) issued by NALP Business Loan Trust 2026-1. The Notes were backed by $341.8 million of collateral, consisting of $284.4 million of Company originated ALP</w:t>
      </w:r>
    </w:p>
    <w:p>
      <w:pPr>
        <w:spacing w:after="0" w:line="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loans and a prefunding account to acquire additional ALP loans originated by the Company. The Class A Notes received a Morningstar DBRS rating of “A (low) (sf)” and were priced at a yield of 5.796%; the Class B Notes received a Morningstar DBRS rating of “BBB (sf)” and were priced at a yield of 7.296%; and the Class C Note received a Morningstar DBRS rating of “BB (sf)” and was priced at a yield of 10.146%. The 2026-1 Notes had a weighted average yield of 6.08% and an 86% advance rate.</w:t>
      </w:r>
    </w:p>
    <w:p>
      <w:pPr>
        <w:spacing w:after="0" w:line="1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Both the 2025-1 and 2026-1 Trusts (collectively “the Unconsolidated Trusts”) meet the definition of a VIE and the Company holds a variable interest in the Unconsolidated Trusts, however, the Company is not considered the primary beneficiary of the Unconsolidated Trusts, because the power over the activities that have the most significant impact on the economic performance of each Securitization Trust is held by a single noteholder who has the unilateral ability to remove the Company, without cause, as decision maker over the activities that most significantly impact the economic performance of the Unconsolidated Trusts. Consequently the Company is not required to consolidate the Unconsolidated Trusts. The Company’s beneficial interest in the Unconsolidated Trusts is evidenced by sole ownership of the Ownership Certificates and its beneficial interest in the credit risk of the securitized ALP Loans. Newtek ALP Holdings, the sponsor of the Securitization Trusts, is a wholly owned subsidiary of the Company, therefore the Company effectively owns 100% of the equity interest in the Unconsolidated Trusts.</w:t>
      </w:r>
    </w:p>
    <w:p>
      <w:pPr>
        <w:spacing w:after="0" w:line="14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Company’s continuing involvement with and exposure to loss from the VIEs includes the carrying value of the retained interest, and obligations under representations and warranties contained in the loan sale agreements. Creditors of the Unconsolidated Trusts have no recourse to the Company’s assets or general credit. The underlying performance of the ALP loans transferred to the Unconsolidated Trusts have a direct impact on the fair values and cash flows of the beneficial interests held and the servicing asset recognized.</w:t>
      </w:r>
    </w:p>
    <w:p>
      <w:pPr>
        <w:spacing w:after="0" w:line="13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Company’s investments in the Unconsolidated Trusts are accounted for using the fair value option under ASC 825, with changes in fair value recognized in earnings each reporting period, and is classified in Residuals in securitizations, at fair value in the Company’s consolidated statements of financial condition, and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2"/>
        </w:trPr>
        <w:tc>
          <w:tcPr>
            <w:tcW w:w="4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4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Assets in VIE</w:t>
            </w:r>
          </w:p>
        </w:tc>
      </w:tr>
      <w:tr>
        <w:trPr>
          <w:trHeight w:val="16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of loans - sale treatment</w:t>
            </w:r>
          </w:p>
        </w:tc>
        <w:tc>
          <w:tcPr>
            <w:tcW w:w="1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4"/>
        </w:trPr>
        <w:tc>
          <w:tcPr>
            <w:tcW w:w="4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interests</w:t>
            </w: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40" w:type="dxa"/>
            <w:vAlign w:val="bottom"/>
          </w:tcPr>
          <w:p>
            <w:pPr>
              <w:spacing w:after="0"/>
              <w:rPr>
                <w:sz w:val="16"/>
                <w:szCs w:val="16"/>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512,420</w:t>
            </w:r>
          </w:p>
        </w:tc>
      </w:tr>
      <w:tr>
        <w:trPr>
          <w:trHeight w:val="272"/>
        </w:trPr>
        <w:tc>
          <w:tcPr>
            <w:tcW w:w="44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192"/>
        </w:trPr>
        <w:tc>
          <w:tcPr>
            <w:tcW w:w="4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4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Assets in VIE</w:t>
            </w:r>
          </w:p>
        </w:tc>
      </w:tr>
      <w:tr>
        <w:trPr>
          <w:trHeight w:val="16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of loans - sale treatment</w:t>
            </w:r>
          </w:p>
        </w:tc>
        <w:tc>
          <w:tcPr>
            <w:tcW w:w="1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4"/>
        </w:trPr>
        <w:tc>
          <w:tcPr>
            <w:tcW w:w="4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interests</w:t>
            </w: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40" w:type="dxa"/>
            <w:vAlign w:val="bottom"/>
          </w:tcPr>
          <w:p>
            <w:pPr>
              <w:spacing w:after="0"/>
              <w:rPr>
                <w:sz w:val="16"/>
                <w:szCs w:val="16"/>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202,015</w:t>
            </w:r>
          </w:p>
        </w:tc>
      </w:tr>
      <w:tr>
        <w:trPr>
          <w:trHeight w:val="420"/>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4—INVESTMENTS: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1"/>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6"/>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4"/>
        </w:trPr>
        <w:tc>
          <w:tcPr>
            <w:tcW w:w="4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60" w:type="dxa"/>
            <w:vAlign w:val="bottom"/>
          </w:tcPr>
          <w:p>
            <w:pPr>
              <w:spacing w:after="0"/>
              <w:rPr>
                <w:sz w:val="13"/>
                <w:szCs w:val="13"/>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w w:val="99"/>
              </w:rPr>
              <w:t>Fair Value</w:t>
            </w:r>
          </w:p>
        </w:tc>
      </w:tr>
      <w:tr>
        <w:trPr>
          <w:trHeight w:val="176"/>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Residuals in securitizations, at fair value (NOTE 3)</w:t>
            </w:r>
          </w:p>
        </w:tc>
        <w:tc>
          <w:tcPr>
            <w:tcW w:w="1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r>
      <w:tr>
        <w:trPr>
          <w:trHeight w:val="18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 and other investments</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47,719</w:t>
            </w: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r>
      <w:tr>
        <w:trPr>
          <w:trHeight w:val="18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13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w:t>
            </w:r>
          </w:p>
        </w:tc>
      </w:tr>
      <w:tr>
        <w:trPr>
          <w:trHeight w:val="19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136,374</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261,129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145,483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4440" w:type="dxa"/>
            <w:vAlign w:val="bottom"/>
          </w:tcPr>
          <w:p>
            <w:pPr>
              <w:spacing w:after="0"/>
              <w:rPr>
                <w:sz w:val="24"/>
                <w:szCs w:val="24"/>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F-23</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44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Company’s Investments in Joint Ventures (JV) and Other Investments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ALP loans to U.S. middle-market companies and small businesses. NCL JV was a 50/50 joint venture between NCL, a wholly-owned subsidiary of the Company, and Conventional Lending TCP Holding, LLC (“TCP”), a wholly-owned, indirect subsidiary of BlackRock TCP Capital Corp. (Nasdaq: TCPC).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On August 25, 2025, the Class A Noteholders were re-paid in full, the assets owned by the NCL Business Loan Trust 2022-1 were distributed to NCL JV and the NCL Business Loan Trust 2022-1 was subsequently terminated. On August 27, 2025, NALH entered into an interest purchase agreement with TCP to acquire TCP’s 50% ownership interest in NCL JV for $15.75 million, resulting in NALH owning 100% of NCL JV. Since the assets acquired did not meet the definition of a business under ASC 805-10-55, the transaction was accounted for as an asset acquisition under ASC 805-50. On September 30, 2025, NALH dissolved NCL JV.</w:t>
      </w:r>
    </w:p>
    <w:p>
      <w:pPr>
        <w:spacing w:after="0" w:line="1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and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The Class A and Class B Notes received Morningstar DBRS ratings of “A (sf)” and “BBB (high) (sf),” respectively. TSO JV ceased investing in new ALP loans in July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Intelligent Protection Management Corp.</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On January 2, 2025, the Company completed the sale of its wholly owned subsidiary Newtek Technology Solutions, Inc. (“NTS”) to Paltalk, Inc. (subsequently renamed Intelligent Protection Management Corp. (“IPM”)) (Nasdaq: IPM) (the “NTS Sale”). In connection with the NTS Sale, the Company received the Closing Consideration consisting of $4.0 million Cash Consideration and 4.0 million shares of IPM Preferred Stock. 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an earn-out in an amount of up to $5.0 million, payable in cash, IPM Preferred Stock, or a combination thereof (as determined in IPM’s discretion), based on IPM’s achievement of certain cumulative average Adjusted EBITDA thresholds for the 2025 and 2026 fiscal years. The Company assesses the likelihood of the earn-out being achieved on a quarterly basis and records the resulting fair value, as disclosed in the table below. As of March 31, 2026, the Company has determined the fair value of the earn-out to be $837 thousand. The Company is entitled to appoint one representative to the IPM board of directors. Barry Sloane, the Company’s Chief Executive Officer serves on the IPM board of directors as the Company’s representative. The Company has accounted for its investment in IPM under ASC 321 beginning in the first quarter of 2025 and as such management measured the equity investment at fair value and the carrying amount will be remeasured at each reporting period with changes in fair value recorded in earnings.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related to our joint ventures and other investments for the three months ended March 31, 2026 and 2025 were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4"/>
        </w:trPr>
        <w:tc>
          <w:tcPr>
            <w:tcW w:w="6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8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320" w:type="dxa"/>
            <w:vAlign w:val="bottom"/>
          </w:tcPr>
          <w:p>
            <w:pPr>
              <w:spacing w:after="0"/>
              <w:rPr>
                <w:sz w:val="13"/>
                <w:szCs w:val="13"/>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6"/>
        </w:trPr>
        <w:tc>
          <w:tcPr>
            <w:tcW w:w="6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980" w:type="dxa"/>
            <w:vAlign w:val="bottom"/>
            <w:tcBorders>
              <w:top w:val="single" w:sz="8" w:color="auto"/>
              <w:bottom w:val="single" w:sz="8" w:color="CCEEFF"/>
            </w:tcBorders>
          </w:tcPr>
          <w:p>
            <w:pPr>
              <w:spacing w:after="0"/>
              <w:rPr>
                <w:sz w:val="15"/>
                <w:szCs w:val="15"/>
                <w:color w:val="auto"/>
              </w:rPr>
            </w:pPr>
          </w:p>
        </w:tc>
      </w:tr>
      <w:tr>
        <w:trPr>
          <w:trHeight w:val="171"/>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TSO JV</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25,520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37,250</w:t>
            </w:r>
          </w:p>
        </w:tc>
      </w:tr>
      <w:tr>
        <w:trPr>
          <w:trHeight w:val="212"/>
        </w:trPr>
        <w:tc>
          <w:tcPr>
            <w:tcW w:w="6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r>
      <w:tr>
        <w:trPr>
          <w:trHeight w:val="171"/>
        </w:trPr>
        <w:tc>
          <w:tcPr>
            <w:tcW w:w="6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Investments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EMCAP Loan Holdings, LLC</w:t>
            </w:r>
          </w:p>
        </w:tc>
        <w:tc>
          <w:tcPr>
            <w:tcW w:w="10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0"/>
        </w:trPr>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Biller Genie Software, LLC</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r>
      <w:tr>
        <w:trPr>
          <w:trHeight w:val="180"/>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Intelligent Protection Management Corp.</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IPM Earnout</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180"/>
        </w:trPr>
        <w:tc>
          <w:tcPr>
            <w:tcW w:w="6180" w:type="dxa"/>
            <w:vAlign w:val="bottom"/>
            <w:tcBorders>
              <w:bottom w:val="single" w:sz="8" w:color="CCEEFF"/>
            </w:tcBorders>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IPM Stock</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10,468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6,880</w:t>
            </w:r>
          </w:p>
        </w:tc>
      </w:tr>
      <w:tr>
        <w:trPr>
          <w:trHeight w:val="171"/>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Investments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10,774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w:t>
            </w:r>
          </w:p>
        </w:tc>
      </w:tr>
      <w:tr>
        <w:trPr>
          <w:trHeight w:val="171"/>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36,294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47,719</w:t>
            </w: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Four million shares of IPM Preferred Stock with net gains/(losses) calculated based on a closing price of $1.53 and $1.72 on March 31, 2026 and December 31, 2025,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debt securities available-for-sale by major type as of March 31, 2026 and December 31, 2025:</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58"/>
        </w:trPr>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9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9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70"/>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9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9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73"/>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16,829</w:t>
            </w:r>
          </w:p>
        </w:tc>
      </w:tr>
    </w:tbl>
    <w:p>
      <w:pPr>
        <w:spacing w:after="0" w:line="25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As of March 31, 2026 and December 31, 2025, there was no accrued interest receivable on available-for-sale securities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2026, and 2025, securities sold or settled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24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right"/>
              <w:ind w:right="18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3080" w:type="dxa"/>
            <w:vAlign w:val="bottom"/>
          </w:tcPr>
          <w:p>
            <w:pPr>
              <w:spacing w:after="0"/>
              <w:rPr>
                <w:sz w:val="14"/>
                <w:szCs w:val="14"/>
                <w:color w:val="auto"/>
              </w:rPr>
            </w:pPr>
          </w:p>
        </w:tc>
        <w:tc>
          <w:tcPr>
            <w:tcW w:w="24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 of Securities</w:t>
            </w:r>
          </w:p>
        </w:tc>
        <w:tc>
          <w:tcPr>
            <w:tcW w:w="15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 of Securities</w:t>
            </w:r>
          </w:p>
        </w:tc>
        <w:tc>
          <w:tcPr>
            <w:tcW w:w="240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or settled</w:t>
            </w:r>
          </w:p>
        </w:tc>
        <w:tc>
          <w:tcPr>
            <w:tcW w:w="24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rPr>
              <w:t>two settled</w:t>
            </w:r>
          </w:p>
        </w:tc>
        <w:tc>
          <w:tcPr>
            <w:tcW w:w="15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$(9,500)</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four settled</w:t>
            </w:r>
          </w:p>
        </w:tc>
        <w:tc>
          <w:tcPr>
            <w:tcW w:w="240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$(10,024)</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debt securities available-for-sale by length of time each major security type has been in a continuous unrealized loss position: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ind w:left="580"/>
              <w:spacing w:after="0"/>
              <w:rPr>
                <w:sz w:val="20"/>
                <w:szCs w:val="20"/>
                <w:color w:val="auto"/>
              </w:rPr>
            </w:pPr>
            <w:r>
              <w:rPr>
                <w:rFonts w:ascii="Times New Roman" w:cs="Times New Roman" w:eastAsia="Times New Roman" w:hAnsi="Times New Roman"/>
                <w:sz w:val="14"/>
                <w:szCs w:val="14"/>
                <w:color w:val="auto"/>
              </w:rPr>
              <w:t>12 Months or More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859"/>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F-25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7"/>
        </w:trPr>
        <w:tc>
          <w:tcPr>
            <w:tcW w:w="3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color w:val="auto"/>
              </w:rPr>
              <w:t>12 Months or More</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4"/>
              </w:rPr>
              <w:t>Total</w:t>
            </w: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Holdings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debt securities available-for-sale by contractual maturity:</w:t>
      </w:r>
    </w:p>
    <w:p>
      <w:pPr>
        <w:sectPr>
          <w:pgSz w:w="11900" w:h="16838" w:orient="portrait"/>
          <w:cols w:equalWidth="0" w:num="1">
            <w:col w:w="11280"/>
          </w:cols>
          <w:pgMar w:left="300" w:top="1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Maturing within 1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After 1 year through 5 years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After 5 through 10 years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After 10 years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171"/>
        </w:trPr>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460" w:type="dxa"/>
            <w:vAlign w:val="bottom"/>
          </w:tcPr>
          <w:p>
            <w:pPr>
              <w:spacing w:after="0"/>
              <w:rPr>
                <w:sz w:val="14"/>
                <w:szCs w:val="14"/>
                <w:color w:val="auto"/>
              </w:rPr>
            </w:pPr>
          </w:p>
        </w:tc>
        <w:tc>
          <w:tcPr>
            <w:tcW w:w="10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7"/>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Pr>
          <w:p>
            <w:pPr>
              <w:spacing w:after="0"/>
              <w:rPr>
                <w:sz w:val="14"/>
                <w:szCs w:val="14"/>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Fair Value</w:t>
            </w:r>
          </w:p>
        </w:tc>
      </w:tr>
      <w:tr>
        <w:trPr>
          <w:trHeight w:val="167"/>
        </w:trPr>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80" w:type="dxa"/>
            <w:vAlign w:val="bottom"/>
          </w:tcPr>
          <w:p>
            <w:pPr>
              <w:spacing w:after="0"/>
              <w:rPr>
                <w:sz w:val="14"/>
                <w:szCs w:val="14"/>
                <w:color w:val="auto"/>
              </w:rPr>
            </w:pPr>
          </w:p>
        </w:tc>
        <w:tc>
          <w:tcPr>
            <w:tcW w:w="46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16,829</w:t>
            </w:r>
          </w:p>
        </w:tc>
      </w:tr>
      <w:tr>
        <w:trPr>
          <w:trHeight w:val="180"/>
        </w:trPr>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0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-612140</wp:posOffset>
            </wp:positionV>
            <wp:extent cx="7148195" cy="121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-376555</wp:posOffset>
            </wp:positionV>
            <wp:extent cx="7148195" cy="114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-147320</wp:posOffset>
            </wp:positionV>
            <wp:extent cx="7148195"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80"/>
          </w:cols>
          <w:pgMar w:left="300" w:top="127" w:right="3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tc>
        <w:tc>
          <w:tcPr>
            <w:tcW w:w="3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61"/>
        </w:trPr>
        <w:tc>
          <w:tcPr>
            <w:tcW w:w="8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Newtek Bank’s debt securities available-for-sale pledged for deposits, borrowings, and other purposes: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2"/>
        </w:trPr>
        <w:tc>
          <w:tcPr>
            <w:tcW w:w="374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3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3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FRB borrowings</w:t>
            </w:r>
          </w:p>
        </w:tc>
        <w:tc>
          <w:tcPr>
            <w:tcW w:w="3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r>
      <w:tr>
        <w:trPr>
          <w:trHeight w:val="180"/>
        </w:trPr>
        <w:tc>
          <w:tcPr>
            <w:tcW w:w="3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FHLB borrowings</w:t>
            </w:r>
          </w:p>
        </w:tc>
        <w:tc>
          <w:tcPr>
            <w:tcW w:w="3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r>
      <w:tr>
        <w:trPr>
          <w:trHeight w:val="19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pledged</w:t>
            </w:r>
          </w:p>
        </w:tc>
        <w:tc>
          <w:tcPr>
            <w:tcW w:w="3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740" w:type="dxa"/>
            <w:vAlign w:val="bottom"/>
          </w:tcPr>
          <w:p>
            <w:pPr>
              <w:spacing w:after="0"/>
              <w:rPr>
                <w:sz w:val="24"/>
                <w:szCs w:val="24"/>
                <w:color w:val="auto"/>
              </w:rPr>
            </w:pPr>
          </w:p>
        </w:tc>
        <w:tc>
          <w:tcPr>
            <w:tcW w:w="4760" w:type="dxa"/>
            <w:vAlign w:val="bottom"/>
            <w:gridSpan w:val="2"/>
          </w:tcPr>
          <w:p>
            <w:pPr>
              <w:jc w:val="right"/>
              <w:ind w:right="2649"/>
              <w:spacing w:after="0"/>
              <w:rPr>
                <w:sz w:val="20"/>
                <w:szCs w:val="20"/>
                <w:color w:val="auto"/>
              </w:rPr>
            </w:pPr>
            <w:r>
              <w:rPr>
                <w:rFonts w:ascii="Times New Roman" w:cs="Times New Roman" w:eastAsia="Times New Roman" w:hAnsi="Times New Roman"/>
                <w:sz w:val="14"/>
                <w:szCs w:val="14"/>
                <w:color w:val="auto"/>
              </w:rPr>
              <w:t>F-26</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 (HFI), at fair value</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Loans HFI, at fair value, includes SBA 7(a) loans originated by NSBF. On occasion, NSBF has distributed loans to NewtekOne that were originated as SBA 7(a) loans by NSBF and where the SBA guarantee has been subsequently repurchased by NSBF. The following table shows the Company’s loan portfolio by collateral type for loans HFI, at fair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Loans HFI, at Fair Value</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7"/>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12"/>
                <w:szCs w:val="12"/>
                <w:color w:val="auto"/>
              </w:rPr>
            </w:pPr>
          </w:p>
        </w:tc>
        <w:tc>
          <w:tcPr>
            <w:tcW w:w="1980" w:type="dxa"/>
            <w:vAlign w:val="bottom"/>
            <w:gridSpan w:val="4"/>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0"/>
        </w:trPr>
        <w:tc>
          <w:tcPr>
            <w:tcW w:w="66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125,322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131,328</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138,110</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50,539</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Equipment¹</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43,266</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and Inventory</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38,670</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w:t>
            </w:r>
          </w:p>
        </w:tc>
      </w:tr>
      <w:tr>
        <w:trPr>
          <w:trHeight w:val="18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Other²</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w:t>
            </w:r>
          </w:p>
        </w:tc>
      </w:tr>
      <w:tr>
        <w:trPr>
          <w:trHeight w:val="19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Machinery and Equipment includes one loan at NewtekOne at $4.7 million Cost and $4.7 million Fair value as of March 31, 2026, and $4.7 million Cost and $4.7 million Fair Value as of</w:t>
      </w:r>
    </w:p>
    <w:p>
      <w:pPr>
        <w:spacing w:after="0" w:line="156" w:lineRule="exact"/>
        <w:rPr>
          <w:sz w:val="20"/>
          <w:szCs w:val="20"/>
          <w:color w:val="auto"/>
        </w:rPr>
      </w:pPr>
    </w:p>
    <w:p>
      <w:pPr>
        <w:ind w:left="140" w:right="280" w:hanging="135"/>
        <w:spacing w:after="0" w:line="230" w:lineRule="auto"/>
        <w:tabs>
          <w:tab w:leader="none" w:pos="15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includes one loan at NewtekOne at $1.0 million Cost and $0.2 million Fair Value as of March 31, 2026, and one loan at $1.0 million Cost and $0.2 million Fair Value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HFI, at amortized cost, net of deferred fees and costs</w:t>
      </w:r>
    </w:p>
    <w:p>
      <w:pPr>
        <w:spacing w:after="0" w:line="11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Loans HFI, at amortized cost, net of deferred fees and costs, includes unguaranteed portions of SBA 7(a) loans, guaranteed portions of SBA 7(a) loans repurchased from the secondary market, CRE, and C&amp;I loans originated and held by Newtek Bank. The following table shows the Company’s loan portfolio by loan type for loans HFI, at amortized cost: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38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Loans HFI, at Amortized Cost</w:t>
            </w:r>
          </w:p>
        </w:tc>
        <w:tc>
          <w:tcPr>
            <w:tcW w:w="580" w:type="dxa"/>
            <w:vAlign w:val="bottom"/>
            <w:tcBorders>
              <w:bottom w:val="single" w:sz="8" w:color="auto"/>
            </w:tcBorders>
          </w:tcPr>
          <w:p>
            <w:pPr>
              <w:spacing w:after="0"/>
              <w:rPr>
                <w:sz w:val="14"/>
                <w:szCs w:val="14"/>
                <w:color w:val="auto"/>
              </w:rPr>
            </w:pPr>
          </w:p>
        </w:tc>
      </w:tr>
      <w:tr>
        <w:trPr>
          <w:trHeight w:val="147"/>
        </w:trPr>
        <w:tc>
          <w:tcPr>
            <w:tcW w:w="674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80" w:type="dxa"/>
            <w:vAlign w:val="bottom"/>
            <w:tcBorders>
              <w:bottom w:val="single" w:sz="8" w:color="auto"/>
            </w:tcBorders>
          </w:tcPr>
          <w:p>
            <w:pPr>
              <w:spacing w:after="0"/>
              <w:rPr>
                <w:sz w:val="12"/>
                <w:szCs w:val="12"/>
                <w:color w:val="auto"/>
              </w:rPr>
            </w:pPr>
          </w:p>
        </w:tc>
      </w:tr>
      <w:tr>
        <w:trPr>
          <w:trHeight w:val="17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560" w:type="dxa"/>
            <w:vAlign w:val="bottom"/>
            <w:shd w:val="clear" w:color="auto" w:fill="CCEEFF"/>
          </w:tcPr>
          <w:p>
            <w:pPr>
              <w:jc w:val="right"/>
              <w:ind w:right="141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582,944</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4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539,746</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302,738</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274,194</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5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100,215</w:t>
            </w:r>
          </w:p>
        </w:tc>
        <w:tc>
          <w:tcPr>
            <w:tcW w:w="10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80,380</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985,897</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894,320</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 net</w:t>
            </w:r>
          </w:p>
        </w:tc>
        <w:tc>
          <w:tcPr>
            <w:tcW w:w="15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0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560" w:type="dxa"/>
            <w:vAlign w:val="bottom"/>
            <w:tcBorders>
              <w:bottom w:val="single" w:sz="8" w:color="auto"/>
            </w:tcBorders>
          </w:tcPr>
          <w:p>
            <w:pPr>
              <w:jc w:val="right"/>
              <w:ind w:right="141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988,269</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right"/>
              <w:ind w:right="14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896,689</w:t>
            </w:r>
          </w:p>
        </w:tc>
      </w:tr>
      <w:tr>
        <w:trPr>
          <w:trHeight w:val="20"/>
        </w:trPr>
        <w:tc>
          <w:tcPr>
            <w:tcW w:w="6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Past Due and Non-Accrual Loans HFI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fair value by class: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4"/>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3"/>
                <w:szCs w:val="13"/>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11,198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70,719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98,175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165,836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264,011</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4"/>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3"/>
                <w:szCs w:val="13"/>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10,843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72,543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92,021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189,177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281,198</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amortized cost, net of deferred fees and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amortized cost by class: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Pr>
          <w:p>
            <w:pPr>
              <w:spacing w:after="0"/>
              <w:rPr>
                <w:sz w:val="13"/>
                <w:szCs w:val="13"/>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3"/>
                <w:szCs w:val="13"/>
                <w:color w:val="auto"/>
              </w:rPr>
            </w:pPr>
          </w:p>
        </w:tc>
        <w:tc>
          <w:tcPr>
            <w:tcW w:w="10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0" w:type="dxa"/>
            <w:vAlign w:val="bottom"/>
          </w:tcPr>
          <w:p>
            <w:pPr>
              <w:spacing w:after="0"/>
              <w:rPr>
                <w:sz w:val="1"/>
                <w:szCs w:val="1"/>
                <w:color w:val="auto"/>
              </w:rPr>
            </w:pPr>
          </w:p>
        </w:tc>
      </w:tr>
      <w:tr>
        <w:trPr>
          <w:trHeight w:val="134"/>
        </w:trPr>
        <w:tc>
          <w:tcPr>
            <w:tcW w:w="32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18,808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109,150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473,794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582,944</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299,929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302,738</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100,215</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19,131</w:t>
            </w:r>
          </w:p>
        </w:tc>
        <w:tc>
          <w:tcPr>
            <w:tcW w:w="80" w:type="dxa"/>
            <w:vAlign w:val="bottom"/>
          </w:tcPr>
          <w:p>
            <w:pPr>
              <w:spacing w:after="0"/>
              <w:rPr>
                <w:sz w:val="12"/>
                <w:szCs w:val="12"/>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7,241</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87,453</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113,825</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872,072</w:t>
            </w:r>
          </w:p>
        </w:tc>
        <w:tc>
          <w:tcPr>
            <w:tcW w:w="10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985,897</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988,269</w:t>
            </w: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(46,721)</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941,548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3"/>
                <w:szCs w:val="13"/>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Cost</w:t>
            </w:r>
          </w:p>
        </w:tc>
        <w:tc>
          <w:tcPr>
            <w:tcW w:w="0" w:type="dxa"/>
            <w:vAlign w:val="bottom"/>
          </w:tcPr>
          <w:p>
            <w:pPr>
              <w:spacing w:after="0"/>
              <w:rPr>
                <w:sz w:val="1"/>
                <w:szCs w:val="1"/>
                <w:color w:val="auto"/>
              </w:rPr>
            </w:pPr>
          </w:p>
        </w:tc>
      </w:tr>
      <w:tr>
        <w:trPr>
          <w:trHeight w:val="134"/>
        </w:trPr>
        <w:tc>
          <w:tcPr>
            <w:tcW w:w="32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74,008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450,370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539,746</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271,218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274,194</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73,363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80,380</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14,829</w:t>
            </w:r>
          </w:p>
        </w:tc>
        <w:tc>
          <w:tcPr>
            <w:tcW w:w="8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5,726</w:t>
            </w:r>
          </w:p>
        </w:tc>
        <w:tc>
          <w:tcPr>
            <w:tcW w:w="10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78,814</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99,369</w:t>
            </w:r>
          </w:p>
        </w:tc>
        <w:tc>
          <w:tcPr>
            <w:tcW w:w="10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794,951</w:t>
            </w:r>
          </w:p>
        </w:tc>
        <w:tc>
          <w:tcPr>
            <w:tcW w:w="8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894,320</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896,689</w:t>
            </w: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(45,226)</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851,463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spacing w:after="0" w:line="14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1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at March 31, 2026 and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60" w:type="dxa"/>
            <w:vAlign w:val="bottom"/>
            <w:gridSpan w:val="6"/>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300" w:type="dxa"/>
            <w:vAlign w:val="bottom"/>
          </w:tcPr>
          <w:p>
            <w:pPr>
              <w:spacing w:after="0"/>
              <w:rPr>
                <w:sz w:val="14"/>
                <w:szCs w:val="14"/>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4"/>
                <w:szCs w:val="14"/>
                <w:color w:val="auto"/>
              </w:rPr>
            </w:pPr>
          </w:p>
        </w:tc>
        <w:tc>
          <w:tcPr>
            <w:tcW w:w="8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152,112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 costs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107,853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9,707</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194,883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219,862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116,427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102,265</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45,379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25,344</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32,067</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56,697</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302,738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 costs</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25,928</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94,059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118,686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352,306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281,935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164,343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F-29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340" w:type="dxa"/>
            <w:vAlign w:val="bottom"/>
          </w:tcPr>
          <w:p>
            <w:pPr>
              <w:spacing w:after="0"/>
              <w:rPr>
                <w:sz w:val="14"/>
                <w:szCs w:val="14"/>
                <w:color w:val="auto"/>
              </w:rPr>
            </w:pPr>
          </w:p>
        </w:tc>
        <w:tc>
          <w:tcPr>
            <w:tcW w:w="7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4"/>
                <w:szCs w:val="14"/>
                <w:color w:val="auto"/>
              </w:rPr>
            </w:pP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539,746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102,524</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32,250</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354,498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292,853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175,497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130,439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50,660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171,571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three months ended March 31,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6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(recovery of) credit losses</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13,542</w:t>
            </w: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40" w:right="120" w:hanging="135"/>
        <w:spacing w:after="0" w:line="223" w:lineRule="auto"/>
        <w:tabs>
          <w:tab w:leader="none" w:pos="15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$278 thousand and $(37) thousand of Provision for credit losses relating to unfunded commitments for the three months ended March 31, 2026 and 2025, respectively, which is recorded within Accounts payable, accrued expenses and other liabilities in accordance with ASC 326.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individually evaluated and collectively evaluated ACL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C&amp;I</w:t>
            </w:r>
          </w:p>
        </w:tc>
        <w:tc>
          <w:tcPr>
            <w:tcW w:w="24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r>
      <w:tr>
        <w:trPr>
          <w:trHeight w:val="171"/>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20" w:type="dxa"/>
            <w:vAlign w:val="bottom"/>
          </w:tcPr>
          <w:p>
            <w:pPr>
              <w:spacing w:after="0"/>
              <w:rPr>
                <w:sz w:val="14"/>
                <w:szCs w:val="14"/>
                <w:color w:val="auto"/>
              </w:rPr>
            </w:pPr>
          </w:p>
        </w:tc>
      </w:tr>
      <w:tr>
        <w:trPr>
          <w:trHeight w:val="180"/>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31,587</w:t>
            </w:r>
          </w:p>
        </w:tc>
        <w:tc>
          <w:tcPr>
            <w:tcW w:w="20" w:type="dxa"/>
            <w:vAlign w:val="bottom"/>
          </w:tcPr>
          <w:p>
            <w:pPr>
              <w:spacing w:after="0"/>
              <w:rPr>
                <w:sz w:val="15"/>
                <w:szCs w:val="15"/>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20" w:type="dxa"/>
            <w:vAlign w:val="bottom"/>
          </w:tcPr>
          <w:p>
            <w:pPr>
              <w:spacing w:after="0"/>
              <w:rPr>
                <w:sz w:val="16"/>
                <w:szCs w:val="16"/>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90"/>
              </w:rPr>
              <w:t>F-30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loans individually evaluated and collectively evaluated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C&amp;I</w:t>
            </w:r>
          </w:p>
        </w:tc>
        <w:tc>
          <w:tcPr>
            <w:tcW w:w="2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50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Individually Evaluated</w:t>
            </w:r>
            <w:r>
              <w:rPr>
                <w:rFonts w:ascii="Times New Roman" w:cs="Times New Roman" w:eastAsia="Times New Roman" w:hAnsi="Times New Roman"/>
                <w:sz w:val="18"/>
                <w:szCs w:val="18"/>
                <w:color w:val="auto"/>
                <w:vertAlign w:val="superscript"/>
              </w:rPr>
              <w:t>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102,409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94,322</w:t>
            </w:r>
          </w:p>
        </w:tc>
      </w:tr>
      <w:tr>
        <w:trPr>
          <w:trHeight w:val="18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284,973</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98,913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499,602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883,488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255,707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78,553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465,738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799,998</w:t>
            </w:r>
          </w:p>
        </w:tc>
      </w:tr>
      <w:tr>
        <w:trPr>
          <w:trHeight w:val="19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302,738</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100,215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985,897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539,746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894,320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Recorded at FV on a non-recurring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basis of loans on nonaccrual status and the associated ACL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80" w:type="dxa"/>
            <w:vAlign w:val="bottom"/>
          </w:tcPr>
          <w:p>
            <w:pPr>
              <w:spacing w:after="0"/>
              <w:rPr>
                <w:sz w:val="11"/>
                <w:szCs w:val="11"/>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ACL</w:t>
            </w:r>
          </w:p>
        </w:tc>
        <w:tc>
          <w:tcPr>
            <w:tcW w:w="160" w:type="dxa"/>
            <w:vAlign w:val="bottom"/>
          </w:tcPr>
          <w:p>
            <w:pPr>
              <w:spacing w:after="0"/>
              <w:rPr>
                <w:sz w:val="11"/>
                <w:szCs w:val="11"/>
                <w:color w:val="auto"/>
              </w:rPr>
            </w:pPr>
          </w:p>
        </w:tc>
        <w:tc>
          <w:tcPr>
            <w:tcW w:w="15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60" w:type="dxa"/>
            <w:vAlign w:val="bottom"/>
          </w:tcPr>
          <w:p>
            <w:pPr>
              <w:spacing w:after="0"/>
              <w:rPr>
                <w:sz w:val="11"/>
                <w:szCs w:val="11"/>
                <w:color w:val="auto"/>
              </w:rPr>
            </w:pPr>
          </w:p>
        </w:tc>
        <w:tc>
          <w:tcPr>
            <w:tcW w:w="15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60" w:type="dxa"/>
            <w:vAlign w:val="bottom"/>
          </w:tcPr>
          <w:p>
            <w:pPr>
              <w:spacing w:after="0"/>
              <w:rPr>
                <w:sz w:val="11"/>
                <w:szCs w:val="11"/>
                <w:color w:val="auto"/>
              </w:rPr>
            </w:pPr>
          </w:p>
        </w:tc>
        <w:tc>
          <w:tcPr>
            <w:tcW w:w="124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11,557</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unpaid contractual principal balance and recorded investment for the loans individually assessed is shown in the table below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80" w:type="dxa"/>
            <w:vAlign w:val="bottom"/>
          </w:tcPr>
          <w:p>
            <w:pPr>
              <w:spacing w:after="0"/>
              <w:rPr>
                <w:sz w:val="11"/>
                <w:szCs w:val="11"/>
                <w:color w:val="auto"/>
              </w:rPr>
            </w:pPr>
          </w:p>
        </w:tc>
        <w:tc>
          <w:tcPr>
            <w:tcW w:w="118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Non-Real Estate</w:t>
            </w:r>
          </w:p>
        </w:tc>
        <w:tc>
          <w:tcPr>
            <w:tcW w:w="44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Non-Real Estate</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53,412</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29,930</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0" w:type="dxa"/>
            <w:vAlign w:val="bottom"/>
          </w:tcPr>
          <w:p>
            <w:pPr>
              <w:spacing w:after="0"/>
              <w:rPr>
                <w:sz w:val="1"/>
                <w:szCs w:val="1"/>
                <w:color w:val="auto"/>
              </w:rPr>
            </w:pPr>
          </w:p>
        </w:tc>
      </w:tr>
      <w:tr>
        <w:trPr>
          <w:trHeight w:val="180"/>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72,292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30,117</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62,972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31,350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94,322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Accrued interest on loans totaled $24.7 million and $22.4 million as of March 31, 2026 and December 31, 2025, respectively, and is excluded from the estimate of credit losses. The Company writes off accrued interest receivable by reversing interest income and typically occurs upon loans becoming 90 to 120 days past due.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the Company executed 1 loan modification involving borrowers experiencing financial difficulty. No loan modifications to borrowers experiencing financial difficulty were executed during the three months ended March 31, 2025. The following table summarizes the amortized cost basis of loans that were modified:</w:t>
      </w:r>
    </w:p>
    <w:p>
      <w:pPr>
        <w:spacing w:after="0" w:line="37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Other-Than-Insignificant Payment Delay</w:t>
            </w:r>
          </w:p>
        </w:tc>
        <w:tc>
          <w:tcPr>
            <w:tcW w:w="1340" w:type="dxa"/>
            <w:vAlign w:val="bottom"/>
            <w:vMerge w:val="restart"/>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Interest Rate Reduction</w:t>
            </w:r>
          </w:p>
        </w:tc>
        <w:tc>
          <w:tcPr>
            <w:tcW w:w="200" w:type="dxa"/>
            <w:vAlign w:val="bottom"/>
          </w:tcPr>
          <w:p>
            <w:pPr>
              <w:spacing w:after="0"/>
              <w:rPr>
                <w:sz w:val="10"/>
                <w:szCs w:val="10"/>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Principal Forgiveness</w:t>
            </w:r>
          </w:p>
        </w:tc>
        <w:tc>
          <w:tcPr>
            <w:tcW w:w="140" w:type="dxa"/>
            <w:vAlign w:val="bottom"/>
          </w:tcPr>
          <w:p>
            <w:pPr>
              <w:spacing w:after="0"/>
              <w:rPr>
                <w:sz w:val="10"/>
                <w:szCs w:val="10"/>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of Total Class of Financing</w:t>
            </w: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75"/>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80" w:type="dxa"/>
            <w:vAlign w:val="bottom"/>
          </w:tcPr>
          <w:p>
            <w:pPr>
              <w:spacing w:after="0"/>
              <w:rPr>
                <w:sz w:val="15"/>
                <w:szCs w:val="15"/>
                <w:color w:val="auto"/>
              </w:rPr>
            </w:pP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8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6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Modifications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modifications for borrowers experiencing financial difficulty that subsequently defaulted within twelve months of the modification date in the first three months of 2026 or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March 31, 2026, the amortized cost basis of modified loans was $111 thousand.</w:t>
            </w: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61"/>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fair value</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2"/>
        </w:trPr>
        <w:tc>
          <w:tcPr>
            <w:tcW w:w="56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201,013</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7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31,207</w:t>
            </w: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7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324,469</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w w:val="97"/>
              </w:rPr>
              <w:t>C&amp;I LA</w:t>
            </w:r>
            <w:r>
              <w:rPr>
                <w:rFonts w:ascii="Times New Roman" w:cs="Times New Roman" w:eastAsia="Times New Roman" w:hAnsi="Times New Roman"/>
                <w:sz w:val="18"/>
                <w:szCs w:val="18"/>
                <w:color w:val="auto"/>
                <w:w w:val="97"/>
                <w:vertAlign w:val="superscript"/>
              </w:rPr>
              <w:t>1</w:t>
            </w:r>
          </w:p>
        </w:tc>
        <w:tc>
          <w:tcPr>
            <w:tcW w:w="6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10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415,148</w:t>
            </w:r>
          </w:p>
        </w:tc>
      </w:tr>
      <w:tr>
        <w:trPr>
          <w:trHeight w:val="17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769,225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971,837</w:t>
            </w:r>
          </w:p>
        </w:tc>
      </w:tr>
      <w:tr>
        <w:trPr>
          <w:trHeight w:val="20"/>
        </w:trPr>
        <w:tc>
          <w:tcPr>
            <w:tcW w:w="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200" w:hanging="195"/>
        <w:spacing w:after="0"/>
        <w:tabs>
          <w:tab w:leader="none" w:pos="2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C&amp;I LA loans originated by Newtek Bank, which began during the first quarter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fair value by class: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5"/>
        </w:trPr>
        <w:tc>
          <w:tcPr>
            <w:tcW w:w="2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r>
              <w:rPr>
                <w:rFonts w:ascii="Times New Roman" w:cs="Times New Roman" w:eastAsia="Times New Roman" w:hAnsi="Times New Roman"/>
                <w:sz w:val="7"/>
                <w:szCs w:val="7"/>
                <w:b w:val="1"/>
                <w:bCs w:val="1"/>
                <w:color w:val="auto"/>
              </w:rPr>
              <w:t>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w w:val="98"/>
              </w:rPr>
              <w:t>Non- accrual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6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596,946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650,435</w:t>
            </w:r>
          </w:p>
        </w:tc>
      </w:tr>
      <w:tr>
        <w:trPr>
          <w:trHeight w:val="180"/>
        </w:trPr>
        <w:tc>
          <w:tcPr>
            <w:tcW w:w="26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C&amp;I LA, at fair value</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98,552</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20,238</w:t>
            </w:r>
          </w:p>
        </w:tc>
      </w:tr>
      <w:tr>
        <w:trPr>
          <w:trHeight w:val="150"/>
        </w:trPr>
        <w:tc>
          <w:tcPr>
            <w:tcW w:w="262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3,658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16,680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39,867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63,479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705,746</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769,225</w:t>
            </w: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200" w:hanging="195"/>
        <w:spacing w:after="0"/>
        <w:tabs>
          <w:tab w:leader="none" w:pos="2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Loans are well collateralized and in the process of collection.</w:t>
      </w:r>
    </w:p>
    <w:p>
      <w:pPr>
        <w:ind w:left="200" w:hanging="195"/>
        <w:spacing w:after="0" w:line="205" w:lineRule="auto"/>
        <w:tabs>
          <w:tab w:leader="none" w:pos="20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C&amp;I LA loans originated by Newtek Bank, which began during the first quarter of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81"/>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47,752</w:t>
            </w:r>
          </w:p>
        </w:tc>
        <w:tc>
          <w:tcPr>
            <w:tcW w:w="4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508,937</w:t>
            </w:r>
          </w:p>
        </w:tc>
        <w:tc>
          <w:tcPr>
            <w:tcW w:w="122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556,689</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20,683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394,465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415,148</w:t>
            </w:r>
          </w:p>
        </w:tc>
        <w:tc>
          <w:tcPr>
            <w:tcW w:w="0" w:type="dxa"/>
            <w:vAlign w:val="bottom"/>
          </w:tcPr>
          <w:p>
            <w:pPr>
              <w:spacing w:after="0"/>
              <w:rPr>
                <w:sz w:val="1"/>
                <w:szCs w:val="1"/>
                <w:color w:val="auto"/>
              </w:rPr>
            </w:pPr>
          </w:p>
        </w:tc>
      </w:tr>
      <w:tr>
        <w:trPr>
          <w:trHeight w:val="175"/>
        </w:trPr>
        <w:tc>
          <w:tcPr>
            <w:tcW w:w="262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68,435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903,402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971,837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LCM</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First Lien</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SBA 504 Second Lien</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LCM by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45"/>
        </w:trPr>
        <w:tc>
          <w:tcPr>
            <w:tcW w:w="15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81"/>
        </w:trPr>
        <w:tc>
          <w:tcPr>
            <w:tcW w:w="1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34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7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w:t>
            </w:r>
          </w:p>
        </w:tc>
      </w:tr>
      <w:tr>
        <w:trPr>
          <w:trHeight w:val="774"/>
        </w:trPr>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F-32</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15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45"/>
        </w:trPr>
        <w:tc>
          <w:tcPr>
            <w:tcW w:w="15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81"/>
        </w:trPr>
        <w:tc>
          <w:tcPr>
            <w:tcW w:w="1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34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7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r>
      <w:tr>
        <w:trPr>
          <w:trHeight w:val="774"/>
        </w:trPr>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F-33</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15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6—TRANSACTIONS WITH AFFILIATED COMPANIES AND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March 31, 2026 and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7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1</w:t>
            </w: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7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2</w:t>
            </w:r>
          </w:p>
        </w:tc>
        <w:tc>
          <w:tcPr>
            <w:tcW w:w="15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 net</w:t>
            </w:r>
          </w:p>
        </w:tc>
        <w:tc>
          <w:tcPr>
            <w:tcW w:w="1520" w:type="dxa"/>
            <w:vAlign w:val="bottom"/>
            <w:tcBorders>
              <w:top w:val="single" w:sz="8" w:color="auto"/>
              <w:bottom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140" w:hanging="135"/>
        <w:spacing w:after="0"/>
        <w:tabs>
          <w:tab w:leader="none" w:pos="14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Other assets</w:t>
      </w:r>
    </w:p>
    <w:p>
      <w:pPr>
        <w:ind w:left="140" w:hanging="135"/>
        <w:spacing w:after="0" w:line="205" w:lineRule="auto"/>
        <w:tabs>
          <w:tab w:leader="none" w:pos="14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Accounts payable, accrued expenses, and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other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4—INVESTMENTS for a schedule of transactions with our joint ventures and other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and other investments for the three months ended March 31,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71"/>
        </w:trPr>
        <w:tc>
          <w:tcPr>
            <w:tcW w:w="72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r>
      <w:tr>
        <w:trPr>
          <w:trHeight w:val="17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44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18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r>
      <w:tr>
        <w:trPr>
          <w:trHeight w:val="196"/>
        </w:trPr>
        <w:tc>
          <w:tcPr>
            <w:tcW w:w="7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income</w:t>
            </w:r>
          </w:p>
        </w:tc>
        <w:tc>
          <w:tcPr>
            <w:tcW w:w="1440" w:type="dxa"/>
            <w:vAlign w:val="bottom"/>
            <w:tcBorders>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expenses related to our joint ventures and other investments for the three months ended March 31, 2026 and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March 31, 2026 and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insured deposits</w:t>
            </w:r>
          </w:p>
        </w:tc>
        <w:tc>
          <w:tcPr>
            <w:tcW w:w="216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Non-FDIC insured deposits</w:t>
            </w:r>
          </w:p>
        </w:tc>
        <w:tc>
          <w:tcPr>
            <w:tcW w:w="21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 from related parties and their affiliated companies</w:t>
            </w:r>
          </w:p>
        </w:tc>
        <w:tc>
          <w:tcPr>
            <w:tcW w:w="216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4580" w:type="dxa"/>
            <w:vAlign w:val="bottom"/>
          </w:tcPr>
          <w:p>
            <w:pPr>
              <w:spacing w:after="0"/>
              <w:rPr>
                <w:sz w:val="24"/>
                <w:szCs w:val="24"/>
                <w:color w:val="auto"/>
              </w:rPr>
            </w:pPr>
          </w:p>
        </w:tc>
        <w:tc>
          <w:tcPr>
            <w:tcW w:w="4000" w:type="dxa"/>
            <w:vAlign w:val="bottom"/>
            <w:gridSpan w:val="2"/>
          </w:tcPr>
          <w:p>
            <w:pPr>
              <w:jc w:val="right"/>
              <w:ind w:right="2729"/>
              <w:spacing w:after="0"/>
              <w:rPr>
                <w:sz w:val="20"/>
                <w:szCs w:val="20"/>
                <w:color w:val="auto"/>
              </w:rPr>
            </w:pPr>
            <w:r>
              <w:rPr>
                <w:rFonts w:ascii="Times New Roman" w:cs="Times New Roman" w:eastAsia="Times New Roman" w:hAnsi="Times New Roman"/>
                <w:sz w:val="14"/>
                <w:szCs w:val="14"/>
                <w:color w:val="auto"/>
              </w:rPr>
              <w:t>F-34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7—SERVICING ASSETS:</w:t>
      </w:r>
    </w:p>
    <w:p>
      <w:pPr>
        <w:spacing w:after="0" w:line="18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Servicing assets held by NSBF are measured at fair value and the Company performs valuations on a quarterly basis. Servicing assets held by Newtek Bank, including Newtek Bank’s subsidiary SBL, and Newtek ALP Holdings are measured at lower of cost or market where the assets are initially recorded at fair value, then subsequently amortized, and assessed for impairment each reporting period.</w:t>
      </w:r>
    </w:p>
    <w:p>
      <w:pPr>
        <w:spacing w:after="0" w:line="3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earns servicing fees from the guaranteed portions of SBA 7(a) loans it originates and sells, for the unguaranteed portions of SBA 7(a) loans in the NSBF sponsored securitizations, for SBA 504 loans sold where servicing is retained, and for the loan portfolios held by the TSO JV sponsored securitization and Newtek ALP Holdings and its sponsored securitizations.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unpaid principal balance of loans serviced at March 31, 2026 and December 31,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56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1,684,414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1,698,866</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1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650,946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345,856</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504</w:t>
            </w:r>
          </w:p>
        </w:tc>
        <w:tc>
          <w:tcPr>
            <w:tcW w:w="15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48,302</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w:t>
            </w:r>
          </w:p>
        </w:tc>
        <w:tc>
          <w:tcPr>
            <w:tcW w:w="1560" w:type="dxa"/>
            <w:vAlign w:val="bottom"/>
            <w:tcBorders>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2,383,576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2,093,024</w:t>
            </w: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and valuation assumptions related to servicing assets at March 31, 2026 and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Borders>
              <w:bottom w:val="single" w:sz="8" w:color="auto"/>
            </w:tcBorders>
          </w:tcPr>
          <w:p>
            <w:pPr>
              <w:spacing w:after="0"/>
              <w:rPr>
                <w:sz w:val="16"/>
                <w:szCs w:val="16"/>
                <w:color w:val="auto"/>
              </w:rPr>
            </w:pPr>
          </w:p>
        </w:tc>
      </w:tr>
      <w:tr>
        <w:trPr>
          <w:trHeight w:val="141"/>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40" w:type="dxa"/>
            <w:vAlign w:val="bottom"/>
            <w:tcBorders>
              <w:bottom w:val="single" w:sz="8" w:color="auto"/>
            </w:tcBorders>
          </w:tcPr>
          <w:p>
            <w:pPr>
              <w:spacing w:after="0"/>
              <w:rPr>
                <w:sz w:val="12"/>
                <w:szCs w:val="12"/>
                <w:color w:val="auto"/>
              </w:rPr>
            </w:pPr>
          </w:p>
        </w:tc>
      </w:tr>
      <w:tr>
        <w:trPr>
          <w:trHeight w:val="154"/>
        </w:trPr>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200" w:type="dxa"/>
            <w:vAlign w:val="bottom"/>
          </w:tcPr>
          <w:p>
            <w:pPr>
              <w:spacing w:after="0"/>
              <w:rPr>
                <w:sz w:val="13"/>
                <w:szCs w:val="13"/>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54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6"/>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1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0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0"/>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11.25 %</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0A2299"/>
              </w:rPr>
              <w:t>22.50 %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44"/>
        </w:trPr>
        <w:tc>
          <w:tcPr>
            <w:tcW w:w="1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Average cumulative default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4"/>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0A2299"/>
              </w:rPr>
              <w:t>21.00 %</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1"/>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41,698</w:t>
            </w:r>
          </w:p>
        </w:tc>
        <w:tc>
          <w:tcPr>
            <w:tcW w:w="1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10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10.66 %</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33.04 %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r>
      <w:tr>
        <w:trPr>
          <w:trHeight w:val="144"/>
        </w:trPr>
        <w:tc>
          <w:tcPr>
            <w:tcW w:w="1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Average cumulative default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4"/>
        </w:trPr>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4"/>
                <w:szCs w:val="14"/>
                <w:color w:val="auto"/>
              </w:rPr>
              <w:t>17.26 %</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16.95 %</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96"/>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55,320</w:t>
            </w:r>
          </w:p>
        </w:tc>
        <w:tc>
          <w:tcPr>
            <w:tcW w:w="1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44,922</w:t>
            </w:r>
          </w:p>
        </w:tc>
        <w:tc>
          <w:tcPr>
            <w:tcW w:w="10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Determined based on risk spreads and observable secondary market transactions.</w:t>
      </w:r>
    </w:p>
    <w:p>
      <w:pPr>
        <w:spacing w:after="0" w:line="156"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Refer to NOTE 9—FAIR VALUE MEASUREMENTS for a rollforward of servicing assets, at fair value. The following tables show a rollforward of servicing assets, at LCM for the three months ended March 31, 2026 and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Servicing Assets, at LCM</w:t>
            </w:r>
          </w:p>
        </w:tc>
        <w:tc>
          <w:tcPr>
            <w:tcW w:w="360" w:type="dxa"/>
            <w:vAlign w:val="bottom"/>
          </w:tcPr>
          <w:p>
            <w:pPr>
              <w:spacing w:after="0"/>
              <w:rPr>
                <w:sz w:val="16"/>
                <w:szCs w:val="16"/>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18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7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r>
      <w:tr>
        <w:trPr>
          <w:trHeight w:val="180"/>
        </w:trPr>
        <w:tc>
          <w:tcPr>
            <w:tcW w:w="68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80"/>
        </w:trPr>
        <w:tc>
          <w:tcPr>
            <w:tcW w:w="6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360" w:type="dxa"/>
            <w:vAlign w:val="bottom"/>
          </w:tcPr>
          <w:p>
            <w:pPr>
              <w:spacing w:after="0"/>
              <w:rPr>
                <w:sz w:val="15"/>
                <w:szCs w:val="15"/>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Net loss on loan servicing assets in the Consolidated Statements of Income</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Net gains on sales of loans in the Consolidated Statements of Income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income earned for the three months ended March 31, 2026 and 2025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44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1"/>
        </w:trPr>
        <w:tc>
          <w:tcPr>
            <w:tcW w:w="682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21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$6,385</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$5,525</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8—GOODWILL AND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accordance with U.S. GAAP, the Company performs an annual test as of October 1 to identify potential impairment of goodwill, or more frequently if events or circumstances indicate a potential impairment may exist. If the carrying amount of a reporting unit, including goodwill, exceeds its fair value, an impairment loss is recognized in an amount equal to that excess up to the amount of the recorded goodwill. The Company performed its annual test based upon market data as of October 1, 2025 and estimates and assumptions that the Company believes most appropriate for the analysis. Based on the qualitative analysis performed in accordance with ASC 350, the Company determined it more likely than not that goodwill was not impaired as of October 1, 2025.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1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carrying amount of goodwill:</w:t>
            </w: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164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Payments</w:t>
            </w:r>
          </w:p>
        </w:tc>
        <w:tc>
          <w:tcPr>
            <w:tcW w:w="1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96"/>
        </w:trPr>
        <w:tc>
          <w:tcPr>
            <w:tcW w:w="20" w:type="dxa"/>
            <w:vAlign w:val="bottom"/>
          </w:tcPr>
          <w:p>
            <w:pPr>
              <w:spacing w:after="0"/>
              <w:rPr>
                <w:sz w:val="16"/>
                <w:szCs w:val="16"/>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goodwill</w:t>
            </w: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Banking: </w:t>
      </w:r>
      <w:r>
        <w:rPr>
          <w:rFonts w:ascii="Times New Roman" w:cs="Times New Roman" w:eastAsia="Times New Roman" w:hAnsi="Times New Roman"/>
          <w:sz w:val="14"/>
          <w:szCs w:val="14"/>
          <w:color w:val="auto"/>
        </w:rPr>
        <w:t>The goodwill in the banking segment was generated from the Acquisition, representing the excess of the purchase price over the fair value of the net assets acquired.</w:t>
      </w:r>
    </w:p>
    <w:p>
      <w:pPr>
        <w:spacing w:after="0" w:line="20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Payments: </w:t>
      </w:r>
      <w:r>
        <w:rPr>
          <w:rFonts w:ascii="Times New Roman" w:cs="Times New Roman" w:eastAsia="Times New Roman" w:hAnsi="Times New Roman"/>
          <w:sz w:val="14"/>
          <w:szCs w:val="14"/>
          <w:color w:val="auto"/>
        </w:rPr>
        <w:t>The goodwill in the payments segment was generated from acquisitions by the legal entities within this segment prior to the consolidation of those entities into NewtekOne following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6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3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5"/>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Gross carrying</w:t>
            </w:r>
          </w:p>
        </w:tc>
        <w:tc>
          <w:tcPr>
            <w:tcW w:w="120" w:type="dxa"/>
            <w:vAlign w:val="bottom"/>
          </w:tcPr>
          <w:p>
            <w:pPr>
              <w:spacing w:after="0"/>
              <w:rPr>
                <w:sz w:val="11"/>
                <w:szCs w:val="11"/>
                <w:color w:val="auto"/>
              </w:rPr>
            </w:pPr>
          </w:p>
        </w:tc>
        <w:tc>
          <w:tcPr>
            <w:tcW w:w="13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02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4"/>
                <w:szCs w:val="14"/>
                <w:color w:val="auto"/>
              </w:rPr>
              <w:t>Net 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1"/>
                <w:szCs w:val="11"/>
                <w:color w:val="auto"/>
              </w:rPr>
            </w:pPr>
          </w:p>
        </w:tc>
        <w:tc>
          <w:tcPr>
            <w:tcW w:w="10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4"/>
                <w:szCs w:val="14"/>
                <w:color w:val="auto"/>
              </w:rPr>
              <w:t>Net Carrying</w:t>
            </w:r>
          </w:p>
        </w:tc>
      </w:t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Amortization</w:t>
            </w:r>
          </w:p>
        </w:tc>
        <w:tc>
          <w:tcPr>
            <w:tcW w:w="140" w:type="dxa"/>
            <w:vAlign w:val="bottom"/>
          </w:tcPr>
          <w:p>
            <w:pPr>
              <w:spacing w:after="0"/>
              <w:rPr>
                <w:sz w:val="16"/>
                <w:szCs w:val="16"/>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amount</w:t>
            </w:r>
          </w:p>
        </w:tc>
      </w:tr>
      <w:tr>
        <w:trPr>
          <w:trHeight w:val="17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 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870"/>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F-36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Deposits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for the three months ended March 31, 2026 and 2025 is as follows, and is included in Depreciation and amortization on the 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70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March 31, 2026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6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7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821"/>
        </w:trPr>
        <w:tc>
          <w:tcPr>
            <w:tcW w:w="3060" w:type="dxa"/>
            <w:vAlign w:val="bottom"/>
          </w:tcPr>
          <w:p>
            <w:pPr>
              <w:spacing w:after="0"/>
              <w:rPr>
                <w:sz w:val="24"/>
                <w:szCs w:val="24"/>
                <w:color w:val="auto"/>
              </w:rPr>
            </w:pPr>
          </w:p>
        </w:tc>
        <w:tc>
          <w:tcPr>
            <w:tcW w:w="6780" w:type="dxa"/>
            <w:vAlign w:val="bottom"/>
            <w:gridSpan w:val="2"/>
          </w:tcPr>
          <w:p>
            <w:pPr>
              <w:jc w:val="right"/>
              <w:ind w:right="3989"/>
              <w:spacing w:after="0"/>
              <w:rPr>
                <w:sz w:val="20"/>
                <w:szCs w:val="20"/>
                <w:color w:val="auto"/>
              </w:rPr>
            </w:pPr>
            <w:r>
              <w:rPr>
                <w:rFonts w:ascii="Times New Roman" w:cs="Times New Roman" w:eastAsia="Times New Roman" w:hAnsi="Times New Roman"/>
                <w:sz w:val="14"/>
                <w:szCs w:val="14"/>
                <w:color w:val="auto"/>
              </w:rPr>
              <w:t>F-37</w:t>
            </w:r>
          </w:p>
        </w:tc>
        <w:tc>
          <w:tcPr>
            <w:tcW w:w="1440" w:type="dxa"/>
            <w:vAlign w:val="bottom"/>
          </w:tcPr>
          <w:p>
            <w:pPr>
              <w:spacing w:after="0"/>
              <w:rPr>
                <w:sz w:val="24"/>
                <w:szCs w:val="24"/>
                <w:color w:val="auto"/>
              </w:rPr>
            </w:pPr>
          </w:p>
        </w:tc>
      </w:tr>
      <w:tr>
        <w:trPr>
          <w:trHeight w:val="87"/>
        </w:trPr>
        <w:tc>
          <w:tcPr>
            <w:tcW w:w="3060" w:type="dxa"/>
            <w:vAlign w:val="bottom"/>
            <w:tcBorders>
              <w:bottom w:val="single" w:sz="8" w:color="9A9A9A"/>
            </w:tcBorders>
          </w:tcPr>
          <w:p>
            <w:pPr>
              <w:spacing w:after="0"/>
              <w:rPr>
                <w:sz w:val="7"/>
                <w:szCs w:val="7"/>
                <w:color w:val="auto"/>
              </w:rPr>
            </w:pPr>
          </w:p>
        </w:tc>
        <w:tc>
          <w:tcPr>
            <w:tcW w:w="6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9—FAIR VALUE MEASUREMENTS: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March 31, 2026 and December 31, 2025:</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 Measurements at March 31, 2026</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3"/>
                <w:szCs w:val="13"/>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60" w:type="dxa"/>
            <w:vAlign w:val="bottom"/>
          </w:tcPr>
          <w:p>
            <w:pPr>
              <w:spacing w:after="0"/>
              <w:rPr>
                <w:sz w:val="13"/>
                <w:szCs w:val="13"/>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Treasury notes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3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Loans held for sale, at fair value</w:t>
            </w:r>
            <w:r>
              <w:rPr>
                <w:rFonts w:ascii="Times New Roman" w:cs="Times New Roman" w:eastAsia="Times New Roman" w:hAnsi="Times New Roman"/>
                <w:sz w:val="18"/>
                <w:szCs w:val="18"/>
                <w:color w:val="auto"/>
                <w:vertAlign w:val="superscript"/>
              </w:rPr>
              <w:t>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769,225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388,457</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Loans held for investment, at fair value</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real estate owned, at LCM</w:t>
            </w:r>
            <w:r>
              <w:rPr>
                <w:rFonts w:ascii="Times New Roman" w:cs="Times New Roman" w:eastAsia="Times New Roman" w:hAnsi="Times New Roman"/>
                <w:sz w:val="18"/>
                <w:szCs w:val="18"/>
                <w:color w:val="auto"/>
                <w:vertAlign w:val="superscript"/>
              </w:rPr>
              <w:t>1,2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7,896</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Residuals in securitizations, at fair value</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fair value</w:t>
            </w:r>
            <w:r>
              <w:rPr>
                <w:rFonts w:ascii="Times New Roman" w:cs="Times New Roman" w:eastAsia="Times New Roman" w:hAnsi="Times New Roman"/>
                <w:sz w:val="18"/>
                <w:szCs w:val="18"/>
                <w:color w:val="auto"/>
                <w:vertAlign w:val="superscript"/>
              </w:rPr>
              <w:t>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Joint ventures and other investments, at fair value</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1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9"/>
                <w:szCs w:val="9"/>
                <w:color w:val="auto"/>
                <w:w w:val="87"/>
              </w:rPr>
              <w:t>5</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37,094</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2,3</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1,312,289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21,962</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381,746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908,581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3,4</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71"/>
        </w:trPr>
        <w:tc>
          <w:tcPr>
            <w:tcW w:w="65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Non-recurring.</w:t>
      </w:r>
    </w:p>
    <w:p>
      <w:pPr>
        <w:ind w:left="140" w:hanging="135"/>
        <w:spacing w:after="0" w:line="196" w:lineRule="auto"/>
        <w:tabs>
          <w:tab w:leader="none" w:pos="1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140" w:hanging="135"/>
        <w:spacing w:after="0" w:line="197" w:lineRule="auto"/>
        <w:tabs>
          <w:tab w:leader="none" w:pos="1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ind w:left="140" w:hanging="135"/>
        <w:spacing w:after="0" w:line="197" w:lineRule="auto"/>
        <w:tabs>
          <w:tab w:leader="none" w:pos="1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ind w:left="140" w:hanging="135"/>
        <w:spacing w:after="0" w:line="197" w:lineRule="auto"/>
        <w:tabs>
          <w:tab w:leader="none" w:pos="1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four million shares of IPM Preferred Stock valued at the closing price per share of IPM common stock of $1.53 on March 31, 2026.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2025</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notes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4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Loans held for sale, at fair value</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324,467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647,370</w:t>
            </w: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Loans held for investment, at fair value</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real estate owned, at LCM</w:t>
            </w:r>
            <w:r>
              <w:rPr>
                <w:rFonts w:ascii="Times New Roman" w:cs="Times New Roman" w:eastAsia="Times New Roman" w:hAnsi="Times New Roman"/>
                <w:sz w:val="18"/>
                <w:szCs w:val="18"/>
                <w:color w:val="auto"/>
                <w:vertAlign w:val="superscript"/>
              </w:rPr>
              <w:t>1,2</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Residuals in securitizations, at fair value</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fair value</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Joint ventures and other investments</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9"/>
                <w:szCs w:val="9"/>
                <w:color w:val="auto"/>
                <w:w w:val="87"/>
              </w:rPr>
              <w:t>5</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5"/>
                <w:szCs w:val="5"/>
                <w:color w:val="auto"/>
                <w:w w:val="78"/>
              </w:rPr>
              <w:t>6</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38,856</w:t>
            </w:r>
          </w:p>
        </w:tc>
        <w:tc>
          <w:tcPr>
            <w:tcW w:w="0" w:type="dxa"/>
            <w:vAlign w:val="bottom"/>
          </w:tcPr>
          <w:p>
            <w:pPr>
              <w:spacing w:after="0"/>
              <w:rPr>
                <w:sz w:val="1"/>
                <w:szCs w:val="1"/>
                <w:color w:val="auto"/>
              </w:rPr>
            </w:pPr>
          </w:p>
        </w:tc>
      </w:tr>
      <w:tr>
        <w:trPr>
          <w:trHeight w:val="180"/>
        </w:trPr>
        <w:tc>
          <w:tcPr>
            <w:tcW w:w="62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2,3</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1,411,665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23,709</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327,187</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1,060,769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2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3,4</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1"/>
        </w:trPr>
        <w:tc>
          <w:tcPr>
            <w:tcW w:w="6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 w:hanging="135"/>
        <w:spacing w:after="0"/>
        <w:tabs>
          <w:tab w:leader="none" w:pos="14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Non-recurring.</w:t>
      </w:r>
    </w:p>
    <w:p>
      <w:pPr>
        <w:ind w:left="140" w:hanging="135"/>
        <w:spacing w:after="0" w:line="196" w:lineRule="auto"/>
        <w:tabs>
          <w:tab w:leader="none" w:pos="14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140" w:hanging="135"/>
        <w:spacing w:after="0" w:line="197" w:lineRule="auto"/>
        <w:tabs>
          <w:tab w:leader="none" w:pos="1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ind w:left="200" w:hanging="195"/>
        <w:spacing w:after="0" w:line="197" w:lineRule="auto"/>
        <w:tabs>
          <w:tab w:leader="none" w:pos="20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ind w:left="140" w:hanging="135"/>
        <w:spacing w:after="0" w:line="197" w:lineRule="auto"/>
        <w:tabs>
          <w:tab w:leader="none" w:pos="1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four million shares of IPM Preferred Stock valued at the closing price per share of IPM common stock of $1.72 on December 31, 2025.</w:t>
      </w:r>
    </w:p>
    <w:p>
      <w:pPr>
        <w:ind w:left="220" w:hanging="215"/>
        <w:spacing w:after="0" w:line="205" w:lineRule="auto"/>
        <w:tabs>
          <w:tab w:leader="none" w:pos="22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Biller Genie investment valued at the price that settled in January 2026.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assets and liabilities measured at fair value on a recurring basis using Level 3 inputs for the three months ended March 31, 2026 and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95"/>
        </w:trPr>
        <w:tc>
          <w:tcPr>
            <w:tcW w:w="3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tcPr>
          <w:p>
            <w:pPr>
              <w:jc w:val="center"/>
              <w:ind w:right="320"/>
              <w:spacing w:after="0" w:line="96" w:lineRule="exact"/>
              <w:rPr>
                <w:sz w:val="20"/>
                <w:szCs w:val="20"/>
                <w:color w:val="auto"/>
              </w:rPr>
            </w:pPr>
            <w:r>
              <w:rPr>
                <w:rFonts w:ascii="Times New Roman" w:cs="Times New Roman" w:eastAsia="Times New Roman" w:hAnsi="Times New Roman"/>
                <w:sz w:val="10"/>
                <w:szCs w:val="10"/>
                <w:b w:val="1"/>
                <w:bCs w:val="1"/>
                <w:color w:val="auto"/>
                <w:w w:val="98"/>
              </w:rPr>
              <w:t>Loans HFI,</w:t>
            </w:r>
          </w:p>
        </w:tc>
        <w:tc>
          <w:tcPr>
            <w:tcW w:w="200" w:type="dxa"/>
            <w:vAlign w:val="bottom"/>
          </w:tcPr>
          <w:p>
            <w:pPr>
              <w:spacing w:after="0"/>
              <w:rPr>
                <w:sz w:val="8"/>
                <w:szCs w:val="8"/>
                <w:color w:val="auto"/>
              </w:rPr>
            </w:pPr>
          </w:p>
        </w:tc>
        <w:tc>
          <w:tcPr>
            <w:tcW w:w="1100" w:type="dxa"/>
            <w:vAlign w:val="bottom"/>
            <w:gridSpan w:val="2"/>
          </w:tcPr>
          <w:p>
            <w:pPr>
              <w:jc w:val="center"/>
              <w:ind w:right="360"/>
              <w:spacing w:after="0" w:line="96" w:lineRule="exact"/>
              <w:rPr>
                <w:sz w:val="20"/>
                <w:szCs w:val="20"/>
                <w:color w:val="auto"/>
              </w:rPr>
            </w:pPr>
            <w:r>
              <w:rPr>
                <w:rFonts w:ascii="Times New Roman" w:cs="Times New Roman" w:eastAsia="Times New Roman" w:hAnsi="Times New Roman"/>
                <w:sz w:val="10"/>
                <w:szCs w:val="10"/>
                <w:b w:val="1"/>
                <w:bCs w:val="1"/>
                <w:color w:val="auto"/>
                <w:w w:val="98"/>
              </w:rPr>
              <w:t>Loans HFS,</w:t>
            </w:r>
          </w:p>
        </w:tc>
        <w:tc>
          <w:tcPr>
            <w:tcW w:w="1320" w:type="dxa"/>
            <w:vAlign w:val="bottom"/>
            <w:gridSpan w:val="3"/>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Joint Ventures and Other</w:t>
            </w:r>
          </w:p>
        </w:tc>
        <w:tc>
          <w:tcPr>
            <w:tcW w:w="100" w:type="dxa"/>
            <w:vAlign w:val="bottom"/>
          </w:tcPr>
          <w:p>
            <w:pPr>
              <w:spacing w:after="0"/>
              <w:rPr>
                <w:sz w:val="8"/>
                <w:szCs w:val="8"/>
                <w:color w:val="auto"/>
              </w:rPr>
            </w:pPr>
          </w:p>
        </w:tc>
        <w:tc>
          <w:tcPr>
            <w:tcW w:w="116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w w:val="99"/>
              </w:rPr>
              <w:t>Residuals in</w:t>
            </w:r>
          </w:p>
        </w:tc>
        <w:tc>
          <w:tcPr>
            <w:tcW w:w="140" w:type="dxa"/>
            <w:vAlign w:val="bottom"/>
          </w:tcPr>
          <w:p>
            <w:pPr>
              <w:spacing w:after="0"/>
              <w:rPr>
                <w:sz w:val="8"/>
                <w:szCs w:val="8"/>
                <w:color w:val="auto"/>
              </w:rPr>
            </w:pPr>
          </w:p>
        </w:tc>
        <w:tc>
          <w:tcPr>
            <w:tcW w:w="112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0"/>
                <w:szCs w:val="10"/>
                <w:b w:val="1"/>
                <w:bCs w:val="1"/>
                <w:color w:val="auto"/>
              </w:rPr>
              <w:t>Servicing Assets,</w:t>
            </w: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49"/>
        </w:trPr>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0"/>
              </w:rPr>
              <w:t>at FV</w:t>
            </w:r>
          </w:p>
        </w:tc>
        <w:tc>
          <w:tcPr>
            <w:tcW w:w="20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at FV</w:t>
            </w:r>
          </w:p>
        </w:tc>
        <w:tc>
          <w:tcPr>
            <w:tcW w:w="200" w:type="dxa"/>
            <w:vAlign w:val="bottom"/>
          </w:tcPr>
          <w:p>
            <w:pPr>
              <w:spacing w:after="0"/>
              <w:rPr>
                <w:sz w:val="12"/>
                <w:szCs w:val="1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Securitizations, at FV</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at FV</w:t>
            </w:r>
          </w:p>
        </w:tc>
        <w:tc>
          <w:tcPr>
            <w:tcW w:w="1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Equity Warrants</w:t>
            </w:r>
            <w:r>
              <w:rPr>
                <w:rFonts w:ascii="Times New Roman" w:cs="Times New Roman" w:eastAsia="Times New Roman" w:hAnsi="Times New Roman"/>
                <w:sz w:val="12"/>
                <w:szCs w:val="12"/>
                <w:b w:val="1"/>
                <w:bCs w:val="1"/>
                <w:color w:val="auto"/>
                <w:vertAlign w:val="superscript"/>
              </w:rPr>
              <w:t>1</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2025</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647,370</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38,856</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(345,340)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C&amp;I LA loans, funded</w:t>
            </w:r>
            <w:r>
              <w:rPr>
                <w:rFonts w:ascii="Times New Roman" w:cs="Times New Roman" w:eastAsia="Times New Roman" w:hAnsi="Times New Roman"/>
                <w:sz w:val="18"/>
                <w:szCs w:val="18"/>
                <w:color w:val="auto"/>
                <w:vertAlign w:val="superscript"/>
              </w:rPr>
              <w:t>3</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Residuals in securitizations, notional</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7"/>
              </w:rPr>
              <w:t>(8)</w:t>
            </w:r>
          </w:p>
        </w:tc>
      </w:tr>
      <w:tr>
        <w:trPr>
          <w:trHeight w:val="180"/>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March 31, 2026</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388,457</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37,094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line="18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ind w:left="200" w:hanging="195"/>
        <w:spacing w:after="0" w:line="205" w:lineRule="auto"/>
        <w:tabs>
          <w:tab w:leader="none" w:pos="20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Newtek Bank began originating C&amp;I LA loans, also known as ALP loans, during the first quarter of 2026.</w:t>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6"/>
          </w:tcPr>
          <w:p>
            <w:pPr>
              <w:jc w:val="center"/>
              <w:ind w:left="912"/>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Loans HFI, at FV</w:t>
            </w:r>
          </w:p>
        </w:tc>
        <w:tc>
          <w:tcPr>
            <w:tcW w:w="260" w:type="dxa"/>
            <w:vAlign w:val="bottom"/>
          </w:tcPr>
          <w:p>
            <w:pPr>
              <w:spacing w:after="0"/>
              <w:rPr>
                <w:sz w:val="9"/>
                <w:szCs w:val="9"/>
                <w:color w:val="auto"/>
              </w:rPr>
            </w:pPr>
          </w:p>
        </w:tc>
        <w:tc>
          <w:tcPr>
            <w:tcW w:w="1260" w:type="dxa"/>
            <w:vAlign w:val="bottom"/>
            <w:gridSpan w:val="2"/>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00" w:type="dxa"/>
            <w:vAlign w:val="bottom"/>
          </w:tcPr>
          <w:p>
            <w:pPr>
              <w:spacing w:after="0"/>
              <w:rPr>
                <w:sz w:val="9"/>
                <w:szCs w:val="9"/>
                <w:color w:val="auto"/>
              </w:rPr>
            </w:pPr>
          </w:p>
        </w:tc>
        <w:tc>
          <w:tcPr>
            <w:tcW w:w="144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Joint Ventures and Other</w:t>
            </w:r>
          </w:p>
        </w:tc>
        <w:tc>
          <w:tcPr>
            <w:tcW w:w="200" w:type="dxa"/>
            <w:vAlign w:val="bottom"/>
          </w:tcPr>
          <w:p>
            <w:pPr>
              <w:spacing w:after="0"/>
              <w:rPr>
                <w:sz w:val="9"/>
                <w:szCs w:val="9"/>
                <w:color w:val="auto"/>
              </w:rPr>
            </w:pPr>
          </w:p>
        </w:tc>
        <w:tc>
          <w:tcPr>
            <w:tcW w:w="130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200" w:type="dxa"/>
            <w:vAlign w:val="bottom"/>
          </w:tcPr>
          <w:p>
            <w:pPr>
              <w:spacing w:after="0"/>
              <w:rPr>
                <w:sz w:val="9"/>
                <w:szCs w:val="9"/>
                <w:color w:val="auto"/>
              </w:rPr>
            </w:pPr>
          </w:p>
        </w:tc>
        <w:tc>
          <w:tcPr>
            <w:tcW w:w="1240" w:type="dxa"/>
            <w:vAlign w:val="bottom"/>
            <w:vMerge w:val="restart"/>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Equity Warrants</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2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2024</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 between loans at FV and LCM</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 between loans HFS and HFI</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March 31, 2025</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line="19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ind w:left="200" w:hanging="195"/>
        <w:spacing w:after="0" w:line="195" w:lineRule="auto"/>
        <w:tabs>
          <w:tab w:leader="none" w:pos="20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in IPM.</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March 31, 2026 and December 31, 2025.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March 31, 2026 and December 31, 2025.</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4"/>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040" w:type="dxa"/>
            <w:vAlign w:val="bottom"/>
            <w:gridSpan w:val="2"/>
          </w:tcPr>
          <w:p>
            <w:pPr>
              <w:ind w:left="100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Loans HFI, at FV - accrual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193,292</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6.05 %</w:t>
            </w:r>
          </w:p>
        </w:tc>
      </w:tr>
      <w:tr>
        <w:trPr>
          <w:trHeight w:val="180"/>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70,719</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180"/>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HFS, at FV</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388,457</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8.32 %</w:t>
            </w:r>
          </w:p>
        </w:tc>
      </w:tr>
      <w:tr>
        <w:trPr>
          <w:trHeight w:val="180"/>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60.00 %</w:t>
            </w:r>
          </w:p>
        </w:tc>
      </w:tr>
      <w:tr>
        <w:trPr>
          <w:trHeight w:val="180"/>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ventures and other investments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37,094</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8.32 %</w:t>
            </w:r>
          </w:p>
        </w:tc>
      </w:tr>
      <w:tr>
        <w:trPr>
          <w:trHeight w:val="180"/>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16.00 %</w:t>
            </w:r>
          </w:p>
        </w:tc>
      </w:tr>
      <w:tr>
        <w:trPr>
          <w:trHeight w:val="180"/>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Residuals in securitizations, at FV</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197,501</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7.82 %</w:t>
            </w:r>
          </w:p>
        </w:tc>
      </w:tr>
      <w:tr>
        <w:trPr>
          <w:trHeight w:val="180"/>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16.00 %</w:t>
            </w:r>
          </w:p>
        </w:tc>
      </w:tr>
      <w:tr>
        <w:trPr>
          <w:trHeight w:val="180"/>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Servicing assets, at FV</w:t>
            </w:r>
            <w:r>
              <w:rPr>
                <w:rFonts w:ascii="Times New Roman" w:cs="Times New Roman" w:eastAsia="Times New Roman" w:hAnsi="Times New Roman"/>
                <w:sz w:val="18"/>
                <w:szCs w:val="18"/>
                <w:color w:val="auto"/>
                <w:vertAlign w:val="superscript"/>
              </w:rPr>
              <w:t>1</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r>
      <w:tr>
        <w:trPr>
          <w:trHeight w:val="180"/>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Equity warrants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r>
      <w:tr>
        <w:trPr>
          <w:trHeight w:val="180"/>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6.70 %</w:t>
            </w:r>
          </w:p>
        </w:tc>
      </w:tr>
      <w:tr>
        <w:trPr>
          <w:trHeight w:val="184"/>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r>
    </w:tbl>
    <w:p>
      <w:pPr>
        <w:spacing w:after="0" w:line="98" w:lineRule="exact"/>
        <w:rPr>
          <w:sz w:val="20"/>
          <w:szCs w:val="20"/>
          <w:color w:val="auto"/>
        </w:rPr>
      </w:pPr>
    </w:p>
    <w:p>
      <w:pPr>
        <w:ind w:left="5520" w:right="3240" w:hanging="5515"/>
        <w:spacing w:after="0" w:line="867" w:lineRule="auto"/>
        <w:tabs>
          <w:tab w:leader="none" w:pos="202"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$13.6 million of servicing assets held at FV and $41.7 million of servicing assets held at LCM. Refer to NOTE 7—SERVICING ASSETS. 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0"/>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8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208,655</w:t>
            </w: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72,543</w:t>
            </w: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647,370</w:t>
            </w: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60.00 %</w:t>
            </w: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investments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38,856</w:t>
            </w: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12.49 %</w:t>
            </w: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11.00 %</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Residuals in securitizations,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16.00 %</w:t>
            </w: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r>
      <w:tr>
        <w:trPr>
          <w:trHeight w:val="180"/>
        </w:trPr>
        <w:tc>
          <w:tcPr>
            <w:tcW w:w="3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FV</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11.25 %</w:t>
            </w: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45.00 %</w:t>
            </w: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r>
      <w:tr>
        <w:trPr>
          <w:trHeight w:val="180"/>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bl>
    <w:p>
      <w:pPr>
        <w:spacing w:after="0" w:line="79" w:lineRule="exact"/>
        <w:rPr>
          <w:sz w:val="20"/>
          <w:szCs w:val="20"/>
          <w:color w:val="auto"/>
        </w:rPr>
      </w:pPr>
    </w:p>
    <w:p>
      <w:pPr>
        <w:ind w:left="200" w:hanging="195"/>
        <w:spacing w:after="0"/>
        <w:tabs>
          <w:tab w:leader="none" w:pos="20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$15.4 million of servicing assets held at FV and $29.6 million of servicing assets held at LCM. Refer to NOTE 7—SERVICING ASSETS.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2" w:lineRule="exact"/>
        <w:rPr>
          <w:rFonts w:ascii="Times New Roman" w:cs="Times New Roman" w:eastAsia="Times New Roman" w:hAnsi="Times New Roman"/>
          <w:sz w:val="18"/>
          <w:szCs w:val="18"/>
          <w:color w:val="auto"/>
          <w:vertAlign w:val="superscript"/>
        </w:rPr>
      </w:pPr>
    </w:p>
    <w:p>
      <w:pPr>
        <w:ind w:left="55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Amount by Level:</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5"/>
                <w:szCs w:val="15"/>
                <w:color w:val="auto"/>
              </w:rPr>
            </w:pPr>
          </w:p>
        </w:tc>
        <w:tc>
          <w:tcPr>
            <w:tcW w:w="11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0"/>
        </w:trPr>
        <w:tc>
          <w:tcPr>
            <w:tcW w:w="32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375,599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375,599</w:t>
            </w: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988,269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1,113,501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1,113,501</w:t>
            </w:r>
          </w:p>
        </w:tc>
        <w:tc>
          <w:tcPr>
            <w:tcW w:w="0" w:type="dxa"/>
            <w:vAlign w:val="bottom"/>
          </w:tcPr>
          <w:p>
            <w:pPr>
              <w:spacing w:after="0"/>
              <w:rPr>
                <w:sz w:val="1"/>
                <w:szCs w:val="1"/>
                <w:color w:val="auto"/>
              </w:rPr>
            </w:pPr>
          </w:p>
        </w:tc>
      </w:tr>
      <w:tr>
        <w:trPr>
          <w:trHeight w:val="138"/>
        </w:trPr>
        <w:tc>
          <w:tcPr>
            <w:tcW w:w="32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497,642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497,642</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555,926</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Amount by Level:</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5"/>
                <w:szCs w:val="15"/>
                <w:color w:val="auto"/>
              </w:rPr>
            </w:pPr>
          </w:p>
        </w:tc>
        <w:tc>
          <w:tcPr>
            <w:tcW w:w="11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0"/>
        </w:trPr>
        <w:tc>
          <w:tcPr>
            <w:tcW w:w="32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1,012,200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1,012,200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440,688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827,998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F-42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fair values of the components of Borrowings are included in the chart below:</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2"/>
        </w:trPr>
        <w:tc>
          <w:tcPr>
            <w:tcW w:w="30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tcBorders>
              <w:bottom w:val="single" w:sz="8" w:color="auto"/>
            </w:tcBorders>
          </w:tcPr>
          <w:p>
            <w:pPr>
              <w:spacing w:after="0"/>
              <w:rPr>
                <w:sz w:val="17"/>
                <w:szCs w:val="17"/>
                <w:color w:val="auto"/>
              </w:rPr>
            </w:pPr>
          </w:p>
        </w:tc>
      </w:tr>
      <w:tr>
        <w:trPr>
          <w:trHeight w:val="171"/>
        </w:trPr>
        <w:tc>
          <w:tcPr>
            <w:tcW w:w="3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Closing Price</w:t>
            </w:r>
          </w:p>
        </w:tc>
        <w:tc>
          <w:tcPr>
            <w:tcW w:w="144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Closing Price</w:t>
            </w:r>
          </w:p>
        </w:tc>
        <w:tc>
          <w:tcPr>
            <w:tcW w:w="6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Fair Value</w:t>
            </w:r>
          </w:p>
        </w:tc>
      </w:tr>
      <w:tr>
        <w:trPr>
          <w:trHeight w:val="160"/>
        </w:trPr>
        <w:tc>
          <w:tcPr>
            <w:tcW w:w="30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Public 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180"/>
        </w:trPr>
        <w:tc>
          <w:tcPr>
            <w:tcW w:w="3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2026 Notes (5.50%)</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gridSpan w:val="3"/>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  $</w:t>
            </w:r>
          </w:p>
        </w:tc>
        <w:tc>
          <w:tcPr>
            <w:tcW w:w="186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95,722</w:t>
            </w:r>
          </w:p>
        </w:tc>
      </w:tr>
      <w:tr>
        <w:trPr>
          <w:trHeight w:val="180"/>
        </w:trPr>
        <w:tc>
          <w:tcPr>
            <w:tcW w:w="3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Notes (8.00%)</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40,320</w:t>
            </w:r>
          </w:p>
        </w:tc>
      </w:tr>
      <w:tr>
        <w:trPr>
          <w:trHeight w:val="180"/>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 Notes (8.50%)</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72,267</w:t>
            </w:r>
          </w:p>
        </w:tc>
      </w:tr>
      <w:tr>
        <w:trPr>
          <w:trHeight w:val="180"/>
        </w:trPr>
        <w:tc>
          <w:tcPr>
            <w:tcW w:w="3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 Notes (8.625%)</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75,390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75,690</w:t>
            </w:r>
          </w:p>
        </w:tc>
      </w:tr>
      <w:tr>
        <w:trPr>
          <w:trHeight w:val="180"/>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2031 Notes (8.50%)</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 (Level 2)</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194,207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283,999</w:t>
            </w:r>
          </w:p>
        </w:tc>
      </w:tr>
      <w:tr>
        <w:trPr>
          <w:trHeight w:val="202"/>
        </w:trPr>
        <w:tc>
          <w:tcPr>
            <w:tcW w:w="3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Private Parent Company Notes</w:t>
            </w:r>
            <w:r>
              <w:rPr>
                <w:rFonts w:ascii="Times New Roman" w:cs="Times New Roman" w:eastAsia="Times New Roman" w:hAnsi="Times New Roman"/>
                <w:sz w:val="18"/>
                <w:szCs w:val="18"/>
                <w:color w:val="auto"/>
                <w:vertAlign w:val="superscript"/>
              </w:rPr>
              <w:t>3</w:t>
            </w:r>
          </w:p>
        </w:tc>
        <w:tc>
          <w:tcPr>
            <w:tcW w:w="340" w:type="dxa"/>
            <w:vAlign w:val="bottom"/>
          </w:tcPr>
          <w:p>
            <w:pPr>
              <w:spacing w:after="0"/>
              <w:rPr>
                <w:sz w:val="15"/>
                <w:szCs w:val="15"/>
                <w:color w:val="auto"/>
              </w:rPr>
            </w:pPr>
          </w:p>
        </w:tc>
        <w:tc>
          <w:tcPr>
            <w:tcW w:w="230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117,998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102,758</w:t>
            </w: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Securitizations</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127,050</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Borrowings</w:t>
            </w:r>
            <w:r>
              <w:rPr>
                <w:rFonts w:ascii="Times New Roman" w:cs="Times New Roman" w:eastAsia="Times New Roman" w:hAnsi="Times New Roman"/>
                <w:sz w:val="18"/>
                <w:szCs w:val="18"/>
                <w:color w:val="auto"/>
                <w:vertAlign w:val="superscript"/>
              </w:rPr>
              <w:t>4</w:t>
            </w: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7,349</w:t>
            </w: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Bank Borrowings</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306,842</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 (Level 3)</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543,999</w:t>
            </w:r>
          </w:p>
        </w:tc>
      </w:tr>
      <w:tr>
        <w:trPr>
          <w:trHeight w:val="202"/>
        </w:trPr>
        <w:tc>
          <w:tcPr>
            <w:tcW w:w="3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555,926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827,998</w:t>
            </w:r>
          </w:p>
        </w:tc>
      </w:tr>
      <w:tr>
        <w:trPr>
          <w:trHeight w:val="20"/>
        </w:trPr>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140" w:hanging="135"/>
        <w:spacing w:after="0"/>
        <w:tabs>
          <w:tab w:leader="none" w:pos="14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values are based on the closing public share price on the date of measurement.</w:t>
      </w:r>
    </w:p>
    <w:p>
      <w:pPr>
        <w:ind w:left="200" w:hanging="195"/>
        <w:spacing w:after="0" w:line="196" w:lineRule="auto"/>
        <w:tabs>
          <w:tab w:leader="none" w:pos="20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February 1, 2026, the 2026 Notes matured.</w:t>
      </w:r>
    </w:p>
    <w:p>
      <w:pPr>
        <w:spacing w:after="0" w:line="1" w:lineRule="exact"/>
        <w:rPr>
          <w:sz w:val="20"/>
          <w:szCs w:val="20"/>
          <w:color w:val="auto"/>
        </w:rPr>
      </w:pPr>
    </w:p>
    <w:p>
      <w:pPr>
        <w:ind w:left="140" w:right="220" w:hanging="135"/>
        <w:spacing w:after="0" w:line="221" w:lineRule="auto"/>
        <w:tabs>
          <w:tab w:leader="none" w:pos="15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Not recorded at fair value on a recurring basis. The fixed rate private Notes are held at par as of March 31, 2026 and December 31, 2025. Fair value calculations are performed based on implied treasury rates as of year end.</w:t>
      </w:r>
    </w:p>
    <w:p>
      <w:pPr>
        <w:ind w:left="140" w:hanging="135"/>
        <w:spacing w:after="0" w:line="205" w:lineRule="auto"/>
        <w:tabs>
          <w:tab w:leader="none" w:pos="14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 is calculated as the Borrowings Outstanding. Refer to NOTE 11—BORROWINGS.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20" w:type="dxa"/>
            <w:vAlign w:val="bottom"/>
          </w:tcPr>
          <w:p>
            <w:pPr>
              <w:spacing w:after="0"/>
              <w:rPr>
                <w:sz w:val="13"/>
                <w:szCs w:val="13"/>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27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Demand</w:t>
            </w:r>
          </w:p>
        </w:tc>
        <w:tc>
          <w:tcPr>
            <w:tcW w:w="29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Checking</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104,092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Savings</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1,015,371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7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496,910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interest-bearing</w:t>
            </w:r>
          </w:p>
        </w:tc>
        <w:tc>
          <w:tcPr>
            <w:tcW w:w="27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1,787,244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1,364,535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1,858,873</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98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298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29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424,385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 overdrafts reclassified as loan balances</w:t>
            </w:r>
          </w:p>
        </w:tc>
        <w:tc>
          <w:tcPr>
            <w:tcW w:w="298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w:t>
            </w:r>
          </w:p>
        </w:tc>
        <w:tc>
          <w:tcPr>
            <w:tcW w:w="29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108,583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92,372</w:t>
            </w:r>
          </w:p>
        </w:tc>
        <w:tc>
          <w:tcPr>
            <w:tcW w:w="0" w:type="dxa"/>
            <w:vAlign w:val="bottom"/>
          </w:tcPr>
          <w:p>
            <w:pPr>
              <w:spacing w:after="0"/>
              <w:rPr>
                <w:sz w:val="1"/>
                <w:szCs w:val="1"/>
                <w:color w:val="auto"/>
              </w:rPr>
            </w:pPr>
          </w:p>
        </w:tc>
      </w:tr>
      <w:tr>
        <w:trPr>
          <w:trHeight w:val="420"/>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27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2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gridSpan w:val="2"/>
            <w:vMerge w:val="restart"/>
          </w:tcPr>
          <w:p>
            <w:pPr>
              <w:jc w:val="right"/>
              <w:ind w:right="2329"/>
              <w:spacing w:after="0"/>
              <w:rPr>
                <w:sz w:val="20"/>
                <w:szCs w:val="20"/>
                <w:color w:val="auto"/>
              </w:rPr>
            </w:pPr>
            <w:r>
              <w:rPr>
                <w:rFonts w:ascii="Times New Roman" w:cs="Times New Roman" w:eastAsia="Times New Roman" w:hAnsi="Times New Roman"/>
                <w:sz w:val="14"/>
                <w:szCs w:val="14"/>
                <w:color w:val="auto"/>
              </w:rPr>
              <w:t>F-44</w:t>
            </w: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2026 and December 31, 2025,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Secured Borrowings: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1,2</w:t>
            </w:r>
          </w:p>
        </w:tc>
        <w:tc>
          <w:tcPr>
            <w:tcW w:w="2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115,541</w:t>
            </w:r>
          </w:p>
        </w:tc>
        <w:tc>
          <w:tcPr>
            <w:tcW w:w="32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6.27 %</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1" w:lineRule="exact"/>
              <w:rPr>
                <w:sz w:val="20"/>
                <w:szCs w:val="20"/>
                <w:color w:val="auto"/>
              </w:rPr>
            </w:pPr>
            <w:r>
              <w:rPr>
                <w:rFonts w:ascii="Times New Roman" w:cs="Times New Roman" w:eastAsia="Times New Roman" w:hAnsi="Times New Roman"/>
                <w:sz w:val="14"/>
                <w:szCs w:val="14"/>
                <w:color w:val="auto"/>
              </w:rPr>
              <w:t>NMS Goldman Facility</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9.17 %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7.12 %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169,146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7.75 %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7.75 %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FHLB Advances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2.70 %</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Secured Borrowings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7.42 %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441,241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Unsecured Borrowings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8"/>
                <w:szCs w:val="18"/>
                <w:color w:val="auto"/>
                <w:vertAlign w:val="superscript"/>
              </w:rPr>
              <w:t>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1" w:lineRule="exact"/>
              <w:rPr>
                <w:sz w:val="20"/>
                <w:szCs w:val="20"/>
                <w:color w:val="auto"/>
              </w:rPr>
            </w:pPr>
            <w:r>
              <w:rPr>
                <w:rFonts w:ascii="Times New Roman" w:cs="Times New Roman" w:eastAsia="Times New Roman" w:hAnsi="Times New Roman"/>
                <w:sz w:val="14"/>
                <w:szCs w:val="14"/>
                <w:color w:val="auto"/>
              </w:rPr>
              <w:t>2027 Notes</w:t>
            </w:r>
            <w:r>
              <w:rPr>
                <w:rFonts w:ascii="Times New Roman" w:cs="Times New Roman" w:eastAsia="Times New Roman" w:hAnsi="Times New Roman"/>
                <w:sz w:val="18"/>
                <w:szCs w:val="18"/>
                <w:color w:val="auto"/>
                <w:vertAlign w:val="superscript"/>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8.125 %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8.125 %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2028 Notes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2029 Notes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8.50 %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2029 Notes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8.625 %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8.625 %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1" w:lineRule="exact"/>
              <w:rPr>
                <w:sz w:val="20"/>
                <w:szCs w:val="20"/>
                <w:color w:val="auto"/>
              </w:rPr>
            </w:pPr>
            <w:r>
              <w:rPr>
                <w:rFonts w:ascii="Times New Roman" w:cs="Times New Roman" w:eastAsia="Times New Roman" w:hAnsi="Times New Roman"/>
                <w:sz w:val="14"/>
                <w:szCs w:val="14"/>
                <w:color w:val="auto"/>
              </w:rPr>
              <w:t>2030 Notes</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8.375 %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8.38 %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2031 Notes</w:t>
            </w:r>
            <w:r>
              <w:rPr>
                <w:rFonts w:ascii="Times New Roman" w:cs="Times New Roman" w:eastAsia="Times New Roman" w:hAnsi="Times New Roman"/>
                <w:sz w:val="18"/>
                <w:szCs w:val="18"/>
                <w:color w:val="auto"/>
                <w:vertAlign w:val="superscript"/>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2033 Notes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8.375 %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Unsecured Borrowings</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311,685</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306,750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8.379 %</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383,808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378,647</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7.35 %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Borrowings</w:t>
            </w:r>
          </w:p>
        </w:tc>
        <w:tc>
          <w:tcPr>
            <w:tcW w:w="20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741,226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550,471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7.95 %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926,635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At March 31, 2026 and December 31, 2025, outstanding borrowings that are presented net of deferred financing costs consisted of the following: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Principal balance</w:t>
            </w:r>
          </w:p>
        </w:tc>
        <w:tc>
          <w:tcPr>
            <w:tcW w:w="1720" w:type="dxa"/>
            <w:vAlign w:val="bottom"/>
            <w:gridSpan w:val="8"/>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Unamortized deferred financing</w:t>
            </w:r>
          </w:p>
        </w:tc>
        <w:tc>
          <w:tcPr>
            <w:tcW w:w="140" w:type="dxa"/>
            <w:vAlign w:val="bottom"/>
          </w:tcPr>
          <w:p>
            <w:pPr>
              <w:spacing w:after="0"/>
              <w:rPr>
                <w:sz w:val="9"/>
                <w:szCs w:val="9"/>
                <w:color w:val="auto"/>
              </w:rPr>
            </w:pPr>
          </w:p>
        </w:tc>
        <w:tc>
          <w:tcPr>
            <w:tcW w:w="880" w:type="dxa"/>
            <w:vAlign w:val="bottom"/>
          </w:tcPr>
          <w:p>
            <w:pPr>
              <w:jc w:val="right"/>
              <w:ind w:right="130"/>
              <w:spacing w:after="0" w:line="107"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balance</w:t>
            </w:r>
          </w:p>
        </w:tc>
        <w:tc>
          <w:tcPr>
            <w:tcW w:w="60" w:type="dxa"/>
            <w:vAlign w:val="bottom"/>
          </w:tcPr>
          <w:p>
            <w:pPr>
              <w:spacing w:after="0"/>
              <w:rPr>
                <w:sz w:val="9"/>
                <w:szCs w:val="9"/>
                <w:color w:val="auto"/>
              </w:rPr>
            </w:pPr>
          </w:p>
        </w:tc>
        <w:tc>
          <w:tcPr>
            <w:tcW w:w="1720" w:type="dxa"/>
            <w:vAlign w:val="bottom"/>
            <w:gridSpan w:val="8"/>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Unamortized deferred financing</w:t>
            </w:r>
          </w:p>
        </w:tc>
        <w:tc>
          <w:tcPr>
            <w:tcW w:w="140" w:type="dxa"/>
            <w:vAlign w:val="bottom"/>
          </w:tcPr>
          <w:p>
            <w:pPr>
              <w:spacing w:after="0"/>
              <w:rPr>
                <w:sz w:val="9"/>
                <w:szCs w:val="9"/>
                <w:color w:val="auto"/>
              </w:rPr>
            </w:pPr>
          </w:p>
        </w:tc>
        <w:tc>
          <w:tcPr>
            <w:tcW w:w="880" w:type="dxa"/>
            <w:vAlign w:val="bottom"/>
          </w:tcPr>
          <w:p>
            <w:pPr>
              <w:jc w:val="right"/>
              <w:ind w:right="130"/>
              <w:spacing w:after="0" w:line="107"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rPr>
              <w:t>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1"/>
                <w:szCs w:val="11"/>
                <w:b w:val="1"/>
                <w:bCs w:val="1"/>
                <w:color w:val="auto"/>
              </w:rPr>
              <w:t>amount</w:t>
            </w:r>
            <w:r>
              <w:rPr>
                <w:rFonts w:ascii="Times New Roman" w:cs="Times New Roman" w:eastAsia="Times New Roman" w:hAnsi="Times New Roman"/>
                <w:sz w:val="14"/>
                <w:szCs w:val="14"/>
                <w:b w:val="1"/>
                <w:bCs w:val="1"/>
                <w:color w:val="auto"/>
                <w:vertAlign w:val="superscript"/>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40"/>
              <w:spacing w:after="0" w:line="159" w:lineRule="exact"/>
              <w:rPr>
                <w:sz w:val="20"/>
                <w:szCs w:val="20"/>
                <w:color w:val="auto"/>
              </w:rPr>
            </w:pPr>
            <w:r>
              <w:rPr>
                <w:rFonts w:ascii="Times New Roman" w:cs="Times New Roman" w:eastAsia="Times New Roman" w:hAnsi="Times New Roman"/>
                <w:sz w:val="11"/>
                <w:szCs w:val="11"/>
                <w:b w:val="1"/>
                <w:bCs w:val="1"/>
                <w:color w:val="auto"/>
              </w:rPr>
              <w:t>amount</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Secured Borrowings:</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115,541</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(1,597)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113,944</w:t>
            </w:r>
          </w:p>
        </w:tc>
        <w:tc>
          <w:tcPr>
            <w:tcW w:w="2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128,828</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Goldman Facility</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89,550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2"/>
              </w:rPr>
              <w:t>(1,349)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169,791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(645)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Unsecured Borrowings: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2026 Notes (5.50%)</w:t>
            </w:r>
            <w:r>
              <w:rPr>
                <w:rFonts w:ascii="Times New Roman" w:cs="Times New Roman" w:eastAsia="Times New Roman" w:hAnsi="Times New Roman"/>
                <w:sz w:val="18"/>
                <w:szCs w:val="18"/>
                <w:color w:val="auto"/>
                <w:vertAlign w:val="superscript"/>
              </w:rPr>
              <w:t>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2027 Notes (8.125%)</w:t>
            </w:r>
            <w:r>
              <w:rPr>
                <w:rFonts w:ascii="Times New Roman" w:cs="Times New Roman" w:eastAsia="Times New Roman" w:hAnsi="Times New Roman"/>
                <w:sz w:val="18"/>
                <w:szCs w:val="18"/>
                <w:color w:val="auto"/>
                <w:vertAlign w:val="superscript"/>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 Notes (8.00%)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 Notes (8.50%)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2"/>
              </w:rPr>
              <w:t>(1,615)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 Notes (8.625%)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(1,728)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2030 Notes (8.375%)</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(609)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2031 Notes (8.50%)</w:t>
            </w:r>
            <w:r>
              <w:rPr>
                <w:rFonts w:ascii="Times New Roman" w:cs="Times New Roman" w:eastAsia="Times New Roman" w:hAnsi="Times New Roman"/>
                <w:sz w:val="18"/>
                <w:szCs w:val="18"/>
                <w:color w:val="auto"/>
                <w:vertAlign w:val="superscript"/>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2033 Notes (8.375%)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hanging="195"/>
        <w:spacing w:after="0"/>
        <w:tabs>
          <w:tab w:leader="none" w:pos="20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Non-recourse.</w:t>
      </w:r>
    </w:p>
    <w:p>
      <w:pPr>
        <w:ind w:left="200" w:hanging="195"/>
        <w:spacing w:after="0" w:line="196" w:lineRule="auto"/>
        <w:tabs>
          <w:tab w:leader="none" w:pos="20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200" w:hanging="195"/>
        <w:spacing w:after="0" w:line="205" w:lineRule="auto"/>
        <w:tabs>
          <w:tab w:leader="none" w:pos="20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25, 2026 the SPV I Capital One Facility was fully repaid and terminated.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140" w:right="40" w:hanging="135"/>
        <w:spacing w:after="0" w:line="238" w:lineRule="auto"/>
        <w:tabs>
          <w:tab w:leader="none" w:pos="15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 On February 1, 2026, the 2026 Notes matured.</w:t>
      </w:r>
    </w:p>
    <w:p>
      <w:pPr>
        <w:spacing w:after="0" w:line="2" w:lineRule="exact"/>
        <w:rPr>
          <w:sz w:val="20"/>
          <w:szCs w:val="20"/>
          <w:color w:val="auto"/>
        </w:rPr>
      </w:pPr>
    </w:p>
    <w:p>
      <w:pPr>
        <w:ind w:left="140" w:right="40" w:hanging="135"/>
        <w:spacing w:after="0" w:line="239" w:lineRule="auto"/>
        <w:tabs>
          <w:tab w:leader="none" w:pos="200"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 w:lineRule="exact"/>
        <w:rPr>
          <w:sz w:val="20"/>
          <w:szCs w:val="20"/>
          <w:color w:val="auto"/>
        </w:rPr>
      </w:pPr>
    </w:p>
    <w:p>
      <w:pPr>
        <w:ind w:left="140" w:right="180" w:hanging="135"/>
        <w:spacing w:after="0" w:line="234" w:lineRule="auto"/>
        <w:tabs>
          <w:tab w:leader="none" w:pos="15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January 28, 2026, $7.9 million of 2026 Notes were tendered and exchanged for 2031 Notes in response to the Company’s offer to exchange the 2026 Notes for newly issued 2031 Notes. The 2031 Notes bear interest at a rate of 8.50% per year payable quarterly on February 1, May 1, August 1 and November 1 of each year, will mature on February 1, 2031. On February 1, 2026, the Company repaid the remaining $87.1 million aggregate principal amount of 2026 Notes outstanding on the 2026 Notes maturity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2033 Notes</w:t>
      </w:r>
    </w:p>
    <w:p>
      <w:pPr>
        <w:spacing w:after="0" w:line="2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On February 18, 2026, the Company completed an exempt offering of $15.0 million aggregate principal amount of its 8.375% Notes due 2033 (the “ 2033 Notes” and the "Offering"). The Offering was consummated pursuant to the terms of a purchase agreement (the “Purchase Agreement”) dated February 17, 2026 between the Company and an institutional accredited investor (the “Purchaser”). The Purchase Agreement provided for the Note to be issued to the Purchaser in a private placement in reliance on Section 4(a)(2) of the Securities Act of 1933, as amended (the “Securities Act”). The Company relied upon this exemption from registration based in part on representations made by the Purchaser. The 2033 Notes have not been registered under the Securities Act and may not be offered or sold in the United States absent registration or an applicable exemption from registration. The net proceeds from the sale of the 2033 Notes were approximately $14.9 million. The Company intends to use the net proceeds from the sale of the 2033 Notes for general corporate purposes.</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 The 2033 Notes will be the Company’s direct unsecured obligation and ranks pari passu, or equal, with all outstanding and future unsecured unsubordinated indebtedness issued by the Company. The 2033 Notes will be effectively subordinated to the Company’s existing and future secured indebtedness to the extent of the value of the assets securing such indebtedness, and structurally subordinated to all existing and future indebtedness and other obligations of any of the Company’s subsidiaries. At March 31, 2026, the Company was in compliance with all covenants related to the 2033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Notes</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On January 28, 2026, the Company closed on its offer to exchange any and all of its 2026 Notes for its newly issued 2031 Notes, and thereby exchanged $7.9 million in aggregate principal amount of outstanding 2026 Notes for an equal principal amount of 2031 Notes. The 2031 Notes bear interest at a rate of 8.50% per year payable quarterly on February 1, May 1, August 1 and November 1 of each year, will mature on February 1, 2031, and may be redeemed at the Company’s option, in whole or in part at any time or from time to time on or after February 1, 2028 at a redemption price of 100% of the outstanding principal amount of the 2031 Notes to be redeemed plus accrued and unpaid interest payments otherwise payable thereon for the then-current quarterly interest period accrued to, but excluding, the date fixed for redemption. The 2031 Notes trade on the Nasdaq Global Market under the trading symbol “NEWTO.” At March 31, 2026, the Company was in compliance with all covenants related to the 2031 Notes.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January 2021, the Company closed a public offering of $115.0 million aggregate principal amount of 5.50% Notes due 2026. The sale of the 2026 Notes generated proceeds of approximately</w:t>
      </w:r>
    </w:p>
    <w:p>
      <w:pPr>
        <w:spacing w:after="0" w:line="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$111.3 million, net of underwriter's fees and expenses.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The transactions were conducted pursuant to exemptions from the registration requirements of the Securities Act. On January 28, 2026, $7.9 million of 2026 Notes were tendered and exchanged for 2031 Notes in response to the Company’s offer to exchange the 2026 Notes for newly issued 2031 Notes. Refer to 2031 Notes above for further detail.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2026, the Company repaid the remaining $87.1 million aggregate principal amount of 2026 Notes outstanding on the 2026 Notes maturity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SPV I Facility</w:t>
      </w:r>
    </w:p>
    <w:p>
      <w:pPr>
        <w:spacing w:after="0" w:line="18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Newtek ALP Holdings’ subsidiary (our indirect subsidiary) SPV I maintained a credit facility with a third party lender. SPV I had a Capital One facility with maximum borrowings of $60.0 million. Capital One’s commitment was scheduled to terminate in July 2027, with all amounts due under the SPV I Facility maturing in August 2028. On March 25, 2026 the SPV I Capital One Facility was fully repaid and terminated.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three months ended March 31, 2026 and 2025 were as follows:</w:t>
      </w:r>
    </w:p>
    <w:p>
      <w:pPr>
        <w:spacing w:after="0" w:line="20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72"/>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13,745</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12—DERIVATIVE INSTRUMENTS: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March 31, 2026 and December 31, 2025:</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100" w:type="dxa"/>
            <w:vAlign w:val="bottom"/>
            <w:tcBorders>
              <w:bottom w:val="single" w:sz="8" w:color="auto"/>
            </w:tcBorders>
          </w:tcPr>
          <w:p>
            <w:pPr>
              <w:spacing w:after="0"/>
              <w:rPr>
                <w:sz w:val="13"/>
                <w:szCs w:val="13"/>
                <w:color w:val="auto"/>
              </w:rPr>
            </w:pPr>
          </w:p>
        </w:tc>
      </w:tr>
      <w:tr>
        <w:trPr>
          <w:trHeight w:val="150"/>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4"/>
        </w:trPr>
        <w:tc>
          <w:tcPr>
            <w:tcW w:w="2440" w:type="dxa"/>
            <w:vAlign w:val="bottom"/>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0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7"/>
                <w:szCs w:val="7"/>
                <w:b w:val="1"/>
                <w:bCs w:val="1"/>
                <w:color w:val="auto"/>
              </w:rPr>
              <w:t>2</w:t>
            </w:r>
          </w:p>
        </w:tc>
        <w:tc>
          <w:tcPr>
            <w:tcW w:w="2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7"/>
                <w:szCs w:val="7"/>
                <w:b w:val="1"/>
                <w:bCs w:val="1"/>
                <w:color w:val="auto"/>
              </w:rPr>
              <w:t>3</w:t>
            </w:r>
          </w:p>
        </w:tc>
        <w:tc>
          <w:tcPr>
            <w:tcW w:w="80" w:type="dxa"/>
            <w:vAlign w:val="bottom"/>
          </w:tcPr>
          <w:p>
            <w:pPr>
              <w:spacing w:after="0"/>
              <w:rPr>
                <w:sz w:val="13"/>
                <w:szCs w:val="13"/>
                <w:color w:val="auto"/>
              </w:rPr>
            </w:pPr>
          </w:p>
        </w:tc>
        <w:tc>
          <w:tcPr>
            <w:tcW w:w="1380" w:type="dxa"/>
            <w:vAlign w:val="bottom"/>
            <w:gridSpan w:val="3"/>
          </w:tcPr>
          <w:p>
            <w:pPr>
              <w:jc w:val="center"/>
              <w:ind w:right="20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7"/>
                <w:szCs w:val="7"/>
                <w:b w:val="1"/>
                <w:bCs w:val="1"/>
                <w:color w:val="auto"/>
              </w:rPr>
              <w:t>2</w:t>
            </w:r>
          </w:p>
        </w:tc>
        <w:tc>
          <w:tcPr>
            <w:tcW w:w="2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7"/>
                <w:szCs w:val="7"/>
                <w:b w:val="1"/>
                <w:bCs w:val="1"/>
                <w:color w:val="auto"/>
              </w:rPr>
              <w:t>3</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6"/>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(107,426)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(211,805)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r>
    </w:tbl>
    <w:p>
      <w:pPr>
        <w:spacing w:after="0" w:line="29" w:lineRule="exact"/>
        <w:rPr>
          <w:sz w:val="20"/>
          <w:szCs w:val="20"/>
          <w:color w:val="auto"/>
        </w:rPr>
      </w:pPr>
    </w:p>
    <w:p>
      <w:pPr>
        <w:ind w:left="140" w:hanging="135"/>
        <w:spacing w:after="0"/>
        <w:tabs>
          <w:tab w:leader="none" w:pos="14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as a negative number when the position is sold short.</w:t>
      </w:r>
    </w:p>
    <w:p>
      <w:pPr>
        <w:ind w:left="220" w:hanging="215"/>
        <w:spacing w:after="0" w:line="196" w:lineRule="auto"/>
        <w:tabs>
          <w:tab w:leader="none" w:pos="22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Other assets in the accompanying Consolidated Statements of Financial Condition.</w:t>
      </w:r>
    </w:p>
    <w:p>
      <w:pPr>
        <w:ind w:left="200" w:hanging="195"/>
        <w:spacing w:after="0" w:line="205" w:lineRule="auto"/>
        <w:tabs>
          <w:tab w:leader="none" w:pos="20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Accounts payable, accrued expenses, and other liabilities in the accompanying Consolidated Statements of Financial Condition.</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12" w:lineRule="exact"/>
        <w:rPr>
          <w:rFonts w:ascii="Times New Roman" w:cs="Times New Roman" w:eastAsia="Times New Roman" w:hAnsi="Times New Roman"/>
          <w:sz w:val="18"/>
          <w:szCs w:val="18"/>
          <w:color w:val="auto"/>
          <w:vertAlign w:val="superscript"/>
        </w:rPr>
      </w:pPr>
    </w:p>
    <w:p>
      <w:pPr>
        <w:ind w:left="55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 income for the three months ended March 31, 2026, and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720" w:type="dxa"/>
            <w:vAlign w:val="bottom"/>
            <w:tcBorders>
              <w:bottom w:val="single" w:sz="8" w:color="auto"/>
            </w:tcBorders>
          </w:tcPr>
          <w:p>
            <w:pPr>
              <w:spacing w:after="0"/>
              <w:rPr>
                <w:sz w:val="13"/>
                <w:szCs w:val="13"/>
                <w:color w:val="auto"/>
              </w:rPr>
            </w:pPr>
          </w:p>
        </w:tc>
      </w:tr>
      <w:tr>
        <w:trPr>
          <w:trHeight w:val="91"/>
        </w:trPr>
        <w:tc>
          <w:tcPr>
            <w:tcW w:w="6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tcPr>
          <w:p>
            <w:pPr>
              <w:ind w:left="160"/>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tcPr>
          <w:p>
            <w:pPr>
              <w:ind w:left="160"/>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80" w:type="dxa"/>
            <w:vAlign w:val="bottom"/>
          </w:tcPr>
          <w:p>
            <w:pPr>
              <w:spacing w:after="0"/>
              <w:rPr>
                <w:sz w:val="7"/>
                <w:szCs w:val="7"/>
                <w:color w:val="auto"/>
              </w:rPr>
            </w:pPr>
          </w:p>
        </w:tc>
        <w:tc>
          <w:tcPr>
            <w:tcW w:w="720" w:type="dxa"/>
            <w:vAlign w:val="bottom"/>
          </w:tcPr>
          <w:p>
            <w:pPr>
              <w:jc w:val="center"/>
              <w:ind w:right="103"/>
              <w:spacing w:after="0" w:line="92" w:lineRule="exact"/>
              <w:rPr>
                <w:sz w:val="20"/>
                <w:szCs w:val="20"/>
                <w:color w:val="auto"/>
              </w:rPr>
            </w:pPr>
            <w:r>
              <w:rPr>
                <w:rFonts w:ascii="Times New Roman" w:cs="Times New Roman" w:eastAsia="Times New Roman" w:hAnsi="Times New Roman"/>
                <w:sz w:val="10"/>
                <w:szCs w:val="10"/>
                <w:b w:val="1"/>
                <w:bCs w:val="1"/>
                <w:color w:val="auto"/>
                <w:w w:val="98"/>
              </w:rPr>
              <w:t>Realized</w:t>
            </w:r>
          </w:p>
        </w:tc>
      </w:tr>
      <w:tr>
        <w:trPr>
          <w:trHeight w:val="142"/>
        </w:trPr>
        <w:tc>
          <w:tcPr>
            <w:tcW w:w="6740" w:type="dxa"/>
            <w:vAlign w:val="bottom"/>
          </w:tcPr>
          <w:p>
            <w:pPr>
              <w:ind w:left="3060"/>
              <w:spacing w:after="0"/>
              <w:rPr>
                <w:sz w:val="20"/>
                <w:szCs w:val="20"/>
                <w:color w:val="auto"/>
              </w:rPr>
            </w:pPr>
            <w:r>
              <w:rPr>
                <w:rFonts w:ascii="Times New Roman" w:cs="Times New Roman" w:eastAsia="Times New Roman" w:hAnsi="Times New Roman"/>
                <w:sz w:val="10"/>
                <w:szCs w:val="10"/>
                <w:b w:val="1"/>
                <w:bCs w:val="1"/>
                <w:color w:val="auto"/>
              </w:rPr>
              <w:t>Contract Type</w:t>
            </w:r>
          </w:p>
        </w:tc>
        <w:tc>
          <w:tcPr>
            <w:tcW w:w="13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Appreciation/(Depreciation)</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Realized Gain/(Loss)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Appreciation/(Depreciation)</w:t>
            </w:r>
          </w:p>
        </w:tc>
        <w:tc>
          <w:tcPr>
            <w:tcW w:w="180" w:type="dxa"/>
            <w:vAlign w:val="bottom"/>
          </w:tcPr>
          <w:p>
            <w:pPr>
              <w:spacing w:after="0"/>
              <w:rPr>
                <w:sz w:val="12"/>
                <w:szCs w:val="12"/>
                <w:color w:val="auto"/>
              </w:rPr>
            </w:pPr>
          </w:p>
        </w:tc>
        <w:tc>
          <w:tcPr>
            <w:tcW w:w="720" w:type="dxa"/>
            <w:vAlign w:val="bottom"/>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w w:val="99"/>
              </w:rPr>
              <w:t>Gain/(Loss)</w:t>
            </w:r>
          </w:p>
        </w:tc>
      </w:tr>
      <w:tr>
        <w:trPr>
          <w:trHeight w:val="177"/>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r>
    </w:tbl>
    <w:p>
      <w:pPr>
        <w:spacing w:after="0" w:line="19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2030. Those office space leases which are for more than one year generally contain scheduled rent increases or escalation clauses. In addition, during 2026, the Company entered into one-year employment agreements with its named executive officers.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Terminations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following summarizes the Company’s obligations and commitments, as of March 31, 2026 for future minimum cash payments required under operating leases and employment agreements with the Company’s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Employment Agreements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2026 and 2025, the Company had unfunded commitments as follows that the Company anticipates funding from the same sources it used to fund its other loan commitments: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40" w:type="dxa"/>
            <w:vAlign w:val="bottom"/>
          </w:tcPr>
          <w:p>
            <w:pPr>
              <w:spacing w:after="0"/>
              <w:rPr>
                <w:sz w:val="13"/>
                <w:szCs w:val="13"/>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8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 loans</w:t>
            </w:r>
          </w:p>
        </w:tc>
        <w:tc>
          <w:tcPr>
            <w:tcW w:w="4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20,766</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loans</w:t>
            </w:r>
          </w:p>
        </w:tc>
        <w:tc>
          <w:tcPr>
            <w:tcW w:w="4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70,529</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 loans</w:t>
            </w:r>
          </w:p>
        </w:tc>
        <w:tc>
          <w:tcPr>
            <w:tcW w:w="43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w:t>
            </w:r>
          </w:p>
        </w:tc>
      </w:tr>
      <w:tr>
        <w:trPr>
          <w:trHeight w:val="171"/>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43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105,795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97,058</w:t>
            </w:r>
          </w:p>
        </w:tc>
      </w:tr>
      <w:tr>
        <w:trPr>
          <w:trHeight w:val="20"/>
        </w:trPr>
        <w:tc>
          <w:tcPr>
            <w:tcW w:w="3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52"/>
        </w:trPr>
        <w:tc>
          <w:tcPr>
            <w:tcW w:w="3600" w:type="dxa"/>
            <w:vAlign w:val="bottom"/>
          </w:tcPr>
          <w:p>
            <w:pPr>
              <w:spacing w:after="0"/>
              <w:rPr>
                <w:sz w:val="24"/>
                <w:szCs w:val="24"/>
                <w:color w:val="auto"/>
              </w:rPr>
            </w:pPr>
          </w:p>
        </w:tc>
        <w:tc>
          <w:tcPr>
            <w:tcW w:w="4600" w:type="dxa"/>
            <w:vAlign w:val="bottom"/>
            <w:gridSpan w:val="2"/>
          </w:tcPr>
          <w:p>
            <w:pPr>
              <w:jc w:val="right"/>
              <w:ind w:right="2349"/>
              <w:spacing w:after="0"/>
              <w:rPr>
                <w:sz w:val="20"/>
                <w:szCs w:val="20"/>
                <w:color w:val="auto"/>
              </w:rPr>
            </w:pPr>
            <w:r>
              <w:rPr>
                <w:rFonts w:ascii="Times New Roman" w:cs="Times New Roman" w:eastAsia="Times New Roman" w:hAnsi="Times New Roman"/>
                <w:sz w:val="14"/>
                <w:szCs w:val="14"/>
                <w:color w:val="auto"/>
              </w:rPr>
              <w:t>F-49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360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February 3, 2023, the Company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was convertible at Patriot’s option into 47.54 shares of the Company’s Common Stock. The Company had not issued preferred stock prior to February 3, 2023.</w:t>
      </w:r>
    </w:p>
    <w:p>
      <w:pPr>
        <w:spacing w:after="0" w:line="16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On September 16, 2025, the Company entered into a Securities Purchase and Exchange Agreement (the “Purchase and Exchange Agreement”) with Patriot, pursuant to which Patriot exchanged (i) the 20 thousand outstanding shares of the Company’s Series A Preferred Stock originally issued to Patriot for an aggregate purchase price of $20.0 million and (ii) $10 million in cash, for 2,307,692 shares of the Company’s Common Stock (the “Shares”). Patriot is subject to restrictions on transferring the Shares for two years following the date of the Purchase and Exchange Agreement without the Company’s consent, subject to certain customary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20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On August 20, 2025, the Company closed an offering of 2,000,000 depository shares (the “Depository Shares”), each representing a 1/40th interest in a share of the Company’s 8.50% Fixed-Rate Reset Non-Cumulative Perpetual Preferred Stock, Series B (the “Series B Preferred Stock”), with a liquidation preference of $1,000 per share (equivalent to $25.00 per Depositary Share). The offering generated approximately $48.357 million in net proceeds to the Company. The newly issued Series B Preferred Stock will pay (and the holders of the Depository Shares will correspondingly receive) a non-cumulative 8.50% per annum cash dividend (payable quarterly when, as and if declared by the Company’s Board, on January 1, April 1, July 1 and October 1 of each year, beginning on October 1, 2025)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 The Depository Shares are listed on the Nasdaq Global Market</w:t>
      </w:r>
      <w:r>
        <w:rPr>
          <w:rFonts w:ascii="Arial" w:cs="Arial" w:eastAsia="Arial" w:hAnsi="Arial"/>
          <w:sz w:val="18"/>
          <w:szCs w:val="18"/>
          <w:color w:val="auto"/>
          <w:vertAlign w:val="superscript"/>
        </w:rPr>
        <w:t>®</w:t>
      </w:r>
      <w:r>
        <w:rPr>
          <w:rFonts w:ascii="Times New Roman" w:cs="Times New Roman" w:eastAsia="Times New Roman" w:hAnsi="Times New Roman"/>
          <w:sz w:val="14"/>
          <w:szCs w:val="14"/>
          <w:color w:val="auto"/>
        </w:rPr>
        <w:t xml:space="preserve"> under the ticker symbol “NEWTP.” The Company has not subsequently issued any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ATM Program</w:t>
      </w:r>
    </w:p>
    <w:p>
      <w:pPr>
        <w:spacing w:after="0" w:line="20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an ATM equity distribution agreement (the “Original ATM Equity Distribution Agreement”), which provided that the Company may offer and sell up to 3.0 million shares of Common Stock from time to time through the placement agents thereunder (the “Equity ATM Program”). The Original ATM Equity Distribution Agreement was amended and restated on June 6, 2025 (the “Amended and Restated Equity Distribution Agreement”) and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Equity ATM Program.</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Equity ATM Program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ATM Program</w:t>
      </w:r>
    </w:p>
    <w:p>
      <w:pPr>
        <w:spacing w:after="0" w:line="20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On March 13, 2026, the Company entered into a Securities Distribution Agreement (the “Securities Distribution Agreement”), by and among the Company and the Placement Agents defined therein. Pursuant to the Securities Distribution Agreement, the Company may offer and sell up to $50.0 million aggregate principal amount (with respect to the Notes (as defined below)) and liquidation preference (with respect to the Depositary Shares (as defined below)) of its 8.50% Fixed Rate Senior Notes due 2029 (the “8.50% 2029 Notes”), 8.625% Fixed Rate Senior Notes due 2029 (the “8.625% 2029 Notes”) and/or 8.50% Fixed Rate Senior Notes due 2031 (the “2031 Notes,” and, together with the 8.50% 2029 Notes and the 8.625% 2029 Notes, the “Notes”) and its Depositary Shares, each representing a 1/40th interest in a share of 8.50% Fixed-Rate Reset Non-Cumulative Perpetual Preferred Stock (the “Depositary Shares,” and, together with the Notes, the “Securities”) from time to time through the Placement Agents acting as its sales agents in “at the market offerings” as defined in Rule 415 under the Securities Act of 1933, as amended, including sales made directly on or through Nasdaq Global Market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or any other existing trading market in the United States for the Company’s Securities, sales made to or through a market maker other than on an exchange or otherwise, directly to the Placement Agents as principals, in negotiated transactions at market prices prevailing at the time of sale or at prices related to such prevailing market prices and/or in any other method permitted by law. The Securities Distribution Agreement became effective as of March 12,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Securities Distribution Agreement during the three months ended March 31,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and Debt Repurchase Programs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following twelve months. On November 7, 2025, the Company’s Board of Directors approved a twelve month extension of the stock repurchase program.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stock repurchase program during the three months ended March 31, 2026 and 2025.</w:t>
      </w:r>
    </w:p>
    <w:p>
      <w:pPr>
        <w:spacing w:after="0" w:line="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addition, on September 11, 2025, the Board approved a debt repurchase program granting the Company authority to repurchase up to $5.0 million aggregate principal amount of the Company’s 2029 Notes during the following six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w:t>
      </w:r>
    </w:p>
    <w:p>
      <w:pPr>
        <w:spacing w:after="0" w:line="16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On April 24, 2026, the Board approved a debt repurchase program granting the Company authority to repurchase up to $5.0 million aggregate principal amount of the Company’s 2028 Notes and 2029 Notes during the following twelve months. Refer to NOTE 19—SUBSEQUENT EVENTS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debt repurchase program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dividends and distributions on its Preferred Stock are recorded on the declaration date. The following table summarizes dividend declarations and distributions on the Series A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B Preferred Stock during the three months ended March 31, 2026 and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r>
              <w:rPr>
                <w:rFonts w:ascii="Times New Roman" w:cs="Times New Roman" w:eastAsia="Times New Roman" w:hAnsi="Times New Roman"/>
                <w:sz w:val="18"/>
                <w:szCs w:val="18"/>
                <w:b w:val="1"/>
                <w:bCs w:val="1"/>
                <w:color w:val="auto"/>
                <w:vertAlign w:val="superscript"/>
              </w:rPr>
              <w:t>1</w:t>
            </w:r>
          </w:p>
        </w:tc>
        <w:tc>
          <w:tcPr>
            <w:tcW w:w="20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Per Share</w:t>
            </w:r>
          </w:p>
        </w:tc>
        <w:tc>
          <w:tcPr>
            <w:tcW w:w="12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Distribution</w:t>
            </w:r>
          </w:p>
        </w:tc>
      </w:tr>
      <w:tr>
        <w:trPr>
          <w:trHeight w:val="134"/>
        </w:trPr>
        <w:tc>
          <w:tcPr>
            <w:tcW w:w="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86"/>
        </w:trPr>
        <w:tc>
          <w:tcPr>
            <w:tcW w:w="20" w:type="dxa"/>
            <w:vAlign w:val="bottom"/>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24, 2026</w:t>
            </w:r>
          </w:p>
        </w:tc>
        <w:tc>
          <w:tcPr>
            <w:tcW w:w="1500" w:type="dxa"/>
            <w:vAlign w:val="bottom"/>
            <w:gridSpan w:val="2"/>
            <w:shd w:val="clear" w:color="auto" w:fill="CCEEFF"/>
          </w:tcPr>
          <w:p>
            <w:pPr>
              <w:spacing w:after="0"/>
              <w:rPr>
                <w:sz w:val="16"/>
                <w:szCs w:val="16"/>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24, 2026</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1,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22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50"/>
        </w:trPr>
        <w:tc>
          <w:tcPr>
            <w:tcW w:w="20" w:type="dxa"/>
            <w:vAlign w:val="bottom"/>
            <w:shd w:val="clear" w:color="auto" w:fill="CCEEFF"/>
          </w:tcPr>
          <w:p>
            <w:pPr>
              <w:spacing w:after="0"/>
              <w:rPr>
                <w:sz w:val="13"/>
                <w:szCs w:val="13"/>
                <w:color w:val="auto"/>
              </w:rPr>
            </w:pPr>
          </w:p>
        </w:tc>
        <w:tc>
          <w:tcPr>
            <w:tcW w:w="348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84"/>
        </w:trPr>
        <w:tc>
          <w:tcPr>
            <w:tcW w:w="20" w:type="dxa"/>
            <w:vAlign w:val="bottom"/>
            <w:tcBorders>
              <w:top w:val="single" w:sz="8" w:color="CCEEFF"/>
            </w:tcBorders>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500" w:type="dxa"/>
            <w:vAlign w:val="bottom"/>
            <w:tcBorders>
              <w:top w:val="single" w:sz="8" w:color="CCEEFF"/>
            </w:tcBorders>
            <w:gridSpan w:val="2"/>
          </w:tcPr>
          <w:p>
            <w:pPr>
              <w:spacing w:after="0"/>
              <w:rPr>
                <w:sz w:val="16"/>
                <w:szCs w:val="16"/>
                <w:color w:val="auto"/>
              </w:rPr>
            </w:pPr>
          </w:p>
        </w:tc>
        <w:tc>
          <w:tcPr>
            <w:tcW w:w="8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March 30, 2025</w:t>
            </w:r>
          </w:p>
        </w:tc>
        <w:tc>
          <w:tcPr>
            <w:tcW w:w="164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April 1, 2025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Borders>
              <w:top w:val="single" w:sz="8" w:color="CCEEFF"/>
            </w:tcBorders>
          </w:tcPr>
          <w:p>
            <w:pPr>
              <w:spacing w:after="0"/>
              <w:rPr>
                <w:sz w:val="16"/>
                <w:szCs w:val="16"/>
                <w:color w:val="auto"/>
              </w:rPr>
            </w:pPr>
          </w:p>
        </w:tc>
      </w:tr>
    </w:tbl>
    <w:p>
      <w:pPr>
        <w:spacing w:after="0" w:line="33" w:lineRule="exact"/>
        <w:rPr>
          <w:sz w:val="20"/>
          <w:szCs w:val="20"/>
          <w:color w:val="auto"/>
        </w:rPr>
      </w:pPr>
    </w:p>
    <w:p>
      <w:pPr>
        <w:ind w:left="140" w:hanging="135"/>
        <w:spacing w:after="0"/>
        <w:tabs>
          <w:tab w:leader="none" w:pos="14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Series A Preferred Stock exchanged for Common Stock and cash on September 16,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Company’s dividends and distributions on the Common Stock are recorded on the declaration date. The following table summarizes the Company’s dividend declarations and distributions, including dividend shares issued on vested restricted stock awards, during the three months ended March 31, 2026 and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Dividend Shares Issued on</w:t>
            </w:r>
          </w:p>
        </w:tc>
      </w:tr>
      <w:tr>
        <w:trPr>
          <w:trHeight w:val="170"/>
        </w:trPr>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Amount Per</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Unvested RSAs</w:t>
            </w:r>
          </w:p>
        </w:tc>
      </w:tr>
      <w:tr>
        <w:trPr>
          <w:trHeight w:val="159"/>
        </w:trPr>
        <w:tc>
          <w:tcPr>
            <w:tcW w:w="8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00" w:type="dxa"/>
            <w:vAlign w:val="bottom"/>
          </w:tcPr>
          <w:p>
            <w:pPr>
              <w:spacing w:after="0"/>
              <w:rPr>
                <w:sz w:val="13"/>
                <w:szCs w:val="13"/>
                <w:color w:val="auto"/>
              </w:rPr>
            </w:pPr>
          </w:p>
        </w:tc>
        <w:tc>
          <w:tcPr>
            <w:tcW w:w="190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00" w:type="dxa"/>
            <w:vAlign w:val="bottom"/>
          </w:tcPr>
          <w:p>
            <w:pPr>
              <w:spacing w:after="0"/>
              <w:rPr>
                <w:sz w:val="13"/>
                <w:szCs w:val="13"/>
                <w:color w:val="auto"/>
              </w:rPr>
            </w:pP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Distribution</w:t>
            </w:r>
          </w:p>
        </w:tc>
        <w:tc>
          <w:tcPr>
            <w:tcW w:w="6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r>
      <w:tr>
        <w:trPr>
          <w:trHeight w:val="142"/>
        </w:trPr>
        <w:tc>
          <w:tcPr>
            <w:tcW w:w="80" w:type="dxa"/>
            <w:vAlign w:val="bottom"/>
            <w:tcBorders>
              <w:right w:val="single" w:sz="8" w:color="CCEEFF"/>
            </w:tcBorders>
          </w:tcPr>
          <w:p>
            <w:pPr>
              <w:spacing w:after="0"/>
              <w:rPr>
                <w:sz w:val="12"/>
                <w:szCs w:val="12"/>
                <w:color w:val="auto"/>
              </w:rPr>
            </w:pPr>
          </w:p>
        </w:tc>
        <w:tc>
          <w:tcPr>
            <w:tcW w:w="3420" w:type="dxa"/>
            <w:vAlign w:val="bottom"/>
            <w:tcBorders>
              <w:top w:val="single" w:sz="8" w:color="auto"/>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80" w:type="dxa"/>
            <w:vAlign w:val="bottom"/>
          </w:tcPr>
          <w:p>
            <w:pPr>
              <w:spacing w:after="0"/>
              <w:rPr>
                <w:sz w:val="15"/>
                <w:szCs w:val="15"/>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13, 2026</w:t>
            </w:r>
          </w:p>
        </w:tc>
        <w:tc>
          <w:tcPr>
            <w:tcW w:w="14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March 24, 2026</w:t>
            </w:r>
          </w:p>
        </w:tc>
        <w:tc>
          <w:tcPr>
            <w:tcW w:w="100" w:type="dxa"/>
            <w:vAlign w:val="bottom"/>
            <w:tcBorders>
              <w:top w:val="single" w:sz="8" w:color="CCEEFF"/>
            </w:tcBorders>
          </w:tcPr>
          <w:p>
            <w:pPr>
              <w:spacing w:after="0"/>
              <w:rPr>
                <w:sz w:val="15"/>
                <w:szCs w:val="15"/>
                <w:color w:val="auto"/>
              </w:rPr>
            </w:pPr>
          </w:p>
        </w:tc>
        <w:tc>
          <w:tcPr>
            <w:tcW w:w="1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1, 2026</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5,413</w:t>
            </w:r>
          </w:p>
        </w:tc>
        <w:tc>
          <w:tcPr>
            <w:tcW w:w="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5"/>
                <w:szCs w:val="15"/>
                <w:color w:val="auto"/>
              </w:rPr>
            </w:pPr>
          </w:p>
        </w:tc>
      </w:tr>
      <w:tr>
        <w:trPr>
          <w:trHeight w:val="212"/>
        </w:trPr>
        <w:tc>
          <w:tcPr>
            <w:tcW w:w="80" w:type="dxa"/>
            <w:vAlign w:val="bottom"/>
            <w:tcBorders>
              <w:right w:val="single" w:sz="8" w:color="CCEEFF"/>
            </w:tcBorders>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44"/>
        </w:trPr>
        <w:tc>
          <w:tcPr>
            <w:tcW w:w="80" w:type="dxa"/>
            <w:vAlign w:val="bottom"/>
          </w:tcPr>
          <w:p>
            <w:pPr>
              <w:spacing w:after="0"/>
              <w:rPr>
                <w:sz w:val="12"/>
                <w:szCs w:val="12"/>
                <w:color w:val="auto"/>
              </w:rPr>
            </w:pPr>
          </w:p>
        </w:tc>
        <w:tc>
          <w:tcPr>
            <w:tcW w:w="34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6"/>
        </w:trPr>
        <w:tc>
          <w:tcPr>
            <w:tcW w:w="80" w:type="dxa"/>
            <w:vAlign w:val="bottom"/>
            <w:tcBorders>
              <w:right w:val="single" w:sz="8" w:color="CCEEFF"/>
            </w:tcBorders>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15, 2025</w:t>
            </w: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30,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4,835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tcPr>
          <w:p>
            <w:pPr>
              <w:spacing w:after="0"/>
              <w:rPr>
                <w:sz w:val="16"/>
                <w:szCs w:val="16"/>
                <w:color w:val="auto"/>
              </w:rPr>
            </w:pPr>
          </w:p>
        </w:tc>
      </w:tr>
      <w:tr>
        <w:trPr>
          <w:trHeight w:val="859"/>
        </w:trPr>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F-52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15—EARNINGS PER SHARE:</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3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82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Weighted-average basic shares outstanding</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28,461</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25,156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22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Net income, for diluted earnings per share</w:t>
            </w:r>
            <w:r>
              <w:rPr>
                <w:rFonts w:ascii="Times New Roman" w:cs="Times New Roman" w:eastAsia="Times New Roman" w:hAnsi="Times New Roman"/>
                <w:sz w:val="18"/>
                <w:szCs w:val="18"/>
                <w:color w:val="auto"/>
                <w:vertAlign w:val="superscript"/>
              </w:rPr>
              <w:t>1,2</w:t>
            </w:r>
          </w:p>
        </w:tc>
        <w:tc>
          <w:tcPr>
            <w:tcW w:w="960" w:type="dxa"/>
            <w:vAlign w:val="bottom"/>
            <w:tcBorders>
              <w:bottom w:val="single" w:sz="8" w:color="auto"/>
            </w:tcBorders>
            <w:shd w:val="clear" w:color="auto" w:fill="CCEEFF"/>
          </w:tcPr>
          <w:p>
            <w:pPr>
              <w:jc w:val="right"/>
              <w:ind w:right="7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12,338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8,967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28,461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25,156</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Add effect of dilutive restricted stock awards</w:t>
            </w:r>
            <w:r>
              <w:rPr>
                <w:rFonts w:ascii="Times New Roman" w:cs="Times New Roman" w:eastAsia="Times New Roman" w:hAnsi="Times New Roman"/>
                <w:sz w:val="18"/>
                <w:szCs w:val="18"/>
                <w:color w:val="auto"/>
                <w:vertAlign w:val="superscript"/>
              </w:rPr>
              <w:t>3</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Total weighted-average diluted shares outstanding</w:t>
            </w:r>
            <w:r>
              <w:rPr>
                <w:rFonts w:ascii="Times New Roman" w:cs="Times New Roman" w:eastAsia="Times New Roman" w:hAnsi="Times New Roman"/>
                <w:sz w:val="18"/>
                <w:szCs w:val="18"/>
                <w:color w:val="auto"/>
                <w:vertAlign w:val="superscript"/>
              </w:rPr>
              <w:t>4,5</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28,673</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Anti-dilutive warrants, restricted stock awards, and Series A convertible preferred stock</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ind w:left="140" w:right="460" w:hanging="135"/>
        <w:spacing w:after="0" w:line="230" w:lineRule="auto"/>
        <w:tabs>
          <w:tab w:leader="none" w:pos="150"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periods presented the Series A convertible preferred stock was anti-dilutive and, therefore, the preferred dividends have not been added back to the numerator of Net income, for diluted earnings per share.</w:t>
      </w:r>
    </w:p>
    <w:p>
      <w:pPr>
        <w:spacing w:after="0" w:line="1" w:lineRule="exact"/>
        <w:rPr>
          <w:sz w:val="20"/>
          <w:szCs w:val="20"/>
          <w:color w:val="auto"/>
        </w:rPr>
      </w:pPr>
    </w:p>
    <w:p>
      <w:pPr>
        <w:ind w:right="6020" w:firstLine="5"/>
        <w:spacing w:after="0" w:line="197" w:lineRule="auto"/>
        <w:tabs>
          <w:tab w:leader="none" w:pos="187"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Series A Preferred Stock exchanged for Common Stock and cash on September 16, 2025.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Incremental diluted shares from restricted stock awards under the treasury stock method.</w:t>
      </w:r>
    </w:p>
    <w:p>
      <w:pPr>
        <w:spacing w:after="0" w:line="1" w:lineRule="exact"/>
        <w:rPr>
          <w:sz w:val="20"/>
          <w:szCs w:val="20"/>
          <w:color w:val="auto"/>
        </w:rPr>
      </w:pPr>
    </w:p>
    <w:p>
      <w:pPr>
        <w:ind w:left="140" w:right="180" w:hanging="135"/>
        <w:spacing w:after="0" w:line="220" w:lineRule="auto"/>
        <w:tabs>
          <w:tab w:leader="none" w:pos="200"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2026 and 2025, the incremental diluted shares from Series A convertible preferred stock were not included in the diluted earnings per share count because the results would have been anti-dilutive under the treasury stock method.</w:t>
      </w:r>
    </w:p>
    <w:p>
      <w:pPr>
        <w:ind w:left="140" w:hanging="135"/>
        <w:spacing w:after="0" w:line="197" w:lineRule="auto"/>
        <w:tabs>
          <w:tab w:leader="none" w:pos="140"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2026 and 2025, the warrants were not included in the diluted share count because the results would have been anti-dilutive under the if-converted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Company’s 2023 Stock Incentive Plan, which was approved by the Board in April 2023 and the Company’s shareholders on June 14, 2023. No new awards may be granted under the Company’s 2015 Stock Incentive Plan, which was terminated by the Board in April 2023. The following table summarizes the restricted stock issuances under the Company’s 2015 and 2023 Stock Incentive Plans, net of shares forfeited, if any:</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2023 Plan</w:t>
            </w:r>
            <w:r>
              <w:rPr>
                <w:rFonts w:ascii="Times New Roman" w:cs="Times New Roman" w:eastAsia="Times New Roman" w:hAnsi="Times New Roman"/>
                <w:sz w:val="18"/>
                <w:szCs w:val="18"/>
                <w:b w:val="1"/>
                <w:bCs w:val="1"/>
                <w:color w:val="auto"/>
                <w:vertAlign w:val="superscript"/>
              </w:rPr>
              <w:t>1</w:t>
            </w:r>
          </w:p>
        </w:tc>
        <w:tc>
          <w:tcPr>
            <w:tcW w:w="20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2015 Plan</w:t>
            </w:r>
          </w:p>
        </w:tc>
      </w:tr>
      <w:tr>
        <w:trPr>
          <w:trHeight w:val="171"/>
        </w:trPr>
        <w:tc>
          <w:tcPr>
            <w:tcW w:w="70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2</w:t>
            </w:r>
          </w:p>
        </w:tc>
        <w:tc>
          <w:tcPr>
            <w:tcW w:w="2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3.0 million</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2021 and prior</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(82)</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(497)</w:t>
            </w:r>
          </w:p>
        </w:tc>
        <w:tc>
          <w:tcPr>
            <w:tcW w:w="1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r>
      <w:tr>
        <w:trPr>
          <w:trHeight w:val="180"/>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(202)</w:t>
            </w: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(763)</w:t>
            </w: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4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2023 Stock Incentive Plan provides for an initial share reserve of up to 3.0 million shares of Common Stock.</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No stock options were granted under the Company’s 2015 or 2023 Stock Incentive Plans.</w:t>
      </w:r>
    </w:p>
    <w:p>
      <w:pPr>
        <w:spacing w:after="0" w:line="13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Awards of restricted stock granted under the Company’s 2015 and 2023 Stock Incentive Plans generally vest over a one- to three-year periods from the grant date; awards of restricted stock granted under the Company’s 2023 Stock Incentive Plan to non-employee directors generally vest over a one-year period. The grant date fair value is expensed over the service period, starting on the grant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Company’s outstanding shares related to restricted stock awards as of March 31, 2026 and December 31, 2025 are outlined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1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outstanding related to grants of restricted stock awards</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245</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w:t>
            </w:r>
          </w:p>
        </w:tc>
        <w:tc>
          <w:tcPr>
            <w:tcW w:w="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shares outstanding related to dividends on awards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and December 31, 2025, the Company’s total unrecognized compensation expense related to unvested shares of restricted stock granted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compensation expense on unvested awards</w:t>
            </w: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$4,969</w:t>
            </w: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$2,680</w:t>
            </w:r>
          </w:p>
        </w:tc>
      </w:tr>
      <w:tr>
        <w:trPr>
          <w:trHeight w:val="184"/>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period of unrecognized compensation expense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1.3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 years</w:t>
            </w:r>
          </w:p>
        </w:tc>
      </w:tr>
      <w:tr>
        <w:trPr>
          <w:trHeight w:val="410"/>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7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ESPP activity from inception through March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1"/>
                <w:szCs w:val="11"/>
                <w:color w:val="auto"/>
              </w:rPr>
              <w:t>Offering Period Dates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8"/>
                <w:szCs w:val="8"/>
                <w:color w:val="auto"/>
              </w:rPr>
              <w:t>Weighted avg</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Total purchased,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color w:val="auto"/>
              </w:rPr>
              <w:t>Weighted avg share</w:t>
            </w: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8"/>
                <w:szCs w:val="8"/>
                <w:color w:val="auto"/>
              </w:rPr>
              <w:t>Total purchased,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color w:val="auto"/>
              </w:rPr>
              <w:t>Weighted avg share</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color w:val="auto"/>
              </w:rPr>
              <w:t>Total purchased,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color w:val="auto"/>
              </w:rPr>
              <w:t>Weighted avg share</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Total purchased,</w:t>
            </w:r>
          </w:p>
        </w:tc>
        <w:tc>
          <w:tcPr>
            <w:tcW w:w="0" w:type="dxa"/>
            <w:vAlign w:val="bottom"/>
          </w:tcPr>
          <w:p>
            <w:pPr>
              <w:spacing w:after="0"/>
              <w:rPr>
                <w:sz w:val="1"/>
                <w:szCs w:val="1"/>
                <w:color w:val="auto"/>
              </w:rPr>
            </w:pPr>
          </w:p>
        </w:tc>
      </w:tr>
      <w:tr>
        <w:trPr>
          <w:trHeight w:val="33"/>
        </w:trPr>
        <w:tc>
          <w:tcPr>
            <w:tcW w:w="12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Commencement</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End</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color w:val="auto"/>
              </w:rPr>
              <w:t>Shares purchased</w:t>
            </w:r>
          </w:p>
        </w:tc>
        <w:tc>
          <w:tcPr>
            <w:tcW w:w="1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color w:val="auto"/>
              </w:rPr>
              <w:t>Shares purchased</w:t>
            </w:r>
          </w:p>
        </w:tc>
        <w:tc>
          <w:tcPr>
            <w:tcW w:w="800" w:type="dxa"/>
            <w:vAlign w:val="bottom"/>
            <w:gridSpan w:val="3"/>
            <w:vMerge w:val="continue"/>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color w:val="auto"/>
              </w:rPr>
              <w:t>Shares purchased</w:t>
            </w:r>
          </w:p>
        </w:tc>
        <w:tc>
          <w:tcPr>
            <w:tcW w:w="780" w:type="dxa"/>
            <w:vAlign w:val="bottom"/>
            <w:gridSpan w:val="3"/>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color w:val="auto"/>
              </w:rPr>
              <w:t>Shares purchased</w:t>
            </w:r>
          </w:p>
        </w:tc>
        <w:tc>
          <w:tcPr>
            <w:tcW w:w="800" w:type="dxa"/>
            <w:vAlign w:val="bottom"/>
            <w:gridSpan w:val="3"/>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2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color w:val="auto"/>
              </w:rPr>
              <w:t>share price</w:t>
            </w:r>
          </w:p>
        </w:tc>
        <w:tc>
          <w:tcPr>
            <w:tcW w:w="8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net of discount</w:t>
            </w: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price</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color w:val="auto"/>
              </w:rPr>
              <w:t>net of discount</w:t>
            </w: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color w:val="auto"/>
              </w:rPr>
              <w:t>price</w:t>
            </w:r>
          </w:p>
        </w:tc>
        <w:tc>
          <w:tcPr>
            <w:tcW w:w="80" w:type="dxa"/>
            <w:vAlign w:val="bottom"/>
          </w:tcPr>
          <w:p>
            <w:pPr>
              <w:spacing w:after="0"/>
              <w:rPr>
                <w:sz w:val="10"/>
                <w:szCs w:val="10"/>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color w:val="auto"/>
              </w:rPr>
              <w:t>net of discount</w:t>
            </w: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price</w:t>
            </w:r>
          </w:p>
        </w:tc>
        <w:tc>
          <w:tcPr>
            <w:tcW w:w="80" w:type="dxa"/>
            <w:vAlign w:val="bottom"/>
          </w:tcPr>
          <w:p>
            <w:pPr>
              <w:spacing w:after="0"/>
              <w:rPr>
                <w:sz w:val="10"/>
                <w:szCs w:val="1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net of discount</w:t>
            </w:r>
          </w:p>
        </w:tc>
        <w:tc>
          <w:tcPr>
            <w:tcW w:w="0" w:type="dxa"/>
            <w:vAlign w:val="bottom"/>
          </w:tcPr>
          <w:p>
            <w:pPr>
              <w:spacing w:after="0"/>
              <w:rPr>
                <w:sz w:val="1"/>
                <w:szCs w:val="1"/>
                <w:color w:val="auto"/>
              </w:rPr>
            </w:pPr>
          </w:p>
        </w:tc>
      </w:tr>
      <w:tr>
        <w:trPr>
          <w:trHeight w:val="167"/>
        </w:trPr>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10/1/2023</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3/15/2024</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4/1/2024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9/15/2024</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10/1/2024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3/15/2025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4/1/2025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9/15/2025</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10/1/2025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3/15/2026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7" w:right="319" w:bottom="1440" w:gutter="0" w:footer="0" w:header="0"/>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ESPP share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shares authorized under the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shares purchased during:</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 for future purchases, March 31, 2026</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200</w:t>
      </w:r>
    </w:p>
    <w:p>
      <w:pPr>
        <w:spacing w:after="0" w:line="2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(20)</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(26)</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(7)</w:t>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34925</wp:posOffset>
            </wp:positionV>
            <wp:extent cx="120586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420" w:space="720"/>
            <w:col w:w="1140"/>
          </w:cols>
          <w:pgMar w:left="300" w:top="127" w:right="319" w:bottom="1440" w:gutter="0" w:footer="0" w:header="0"/>
          <w:type w:val="continuous"/>
        </w:sectPr>
      </w:pPr>
    </w:p>
    <w:p>
      <w:pPr>
        <w:spacing w:after="0" w:line="8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Company’s total stock-based compensation expense included within Salaries and employee benefits expense in the Consolidated Statements of Income for the three months ended March 31, 2026 and 2025 is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7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r>
      <w:tr>
        <w:trPr>
          <w:trHeight w:val="18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Tax Rate</w:t>
      </w:r>
    </w:p>
    <w:p>
      <w:pPr>
        <w:spacing w:after="0" w:line="20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 effective tax rate was 21.57% and 19.59% for the three months ended March 31, 2026 and March 31, 2025, respectively. The effective tax rate differs from the federal tax rate of 21% for the three months ended March 31, 2026, due to stock compensation and investments. The effective tax rate differs from the federal tax rate of 21% for the three months ended March 31, 2025, due primarily to the recognition of the difference in basis in the Company’s investment in 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18—SEGMENTS: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Corporate &amp; Other.</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4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operates four reportable segments for management reporting purposes with their operating and financial results reviewed by the chief operating decision maker (“CODM”), which is the Chief Executive Officer of the Company. The CODM assesses overall segment performance based on pre-tax income and uses this metric to allocate resources for each segment, focusing on budgeting and forecasting. The Company has four segments, as discussed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Newtek Bank originates, services and sells SBA 7(a) loans in a similar manner to NSBF’s historic business model (see NSBF below) and originates and services SBA 504 loans, C&amp;I loans, CRE loans and ABL loans. Beginning in the first quarter of 2026, Newtek Bank began originating C&amp;I LA Loans. In addition, Newtek Bank offers depository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Alternative Lending includes NALH (Newtek ALP Holdings) and its subsidiaries. The Company originated loans under its Alternative Lending Program (ALP) from 2019 to December 2025. Prior to July 1, 2024, the Company originated ALP loans with the intent to sell to a JV, and from 2024 until December 2025, NALH originated ALP loans HFS with the intent to securitize its ALP loan portfolio, e.g., the NALP Business Loan Trust 2025-1 securitization transaction that closed in April 2025 and the NALP Business Loan Trust 2026-1 securitization transaction that closed in January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20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NSBF relates to NSBF’s legacy portfolio of SBA 7(a) loans held outside Newtek Bank; no new loan origination activity takes place. A material portion of NSBF’s legacy portfolio of SBA 7(a) loans reside in three securitization trusts.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includes NMS, POS and Mobil Money. NMS markets credit and debit card processing services, check approval services, processing equipment, and software and:</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spacing w:after="0" w:line="8" w:lineRule="exact"/>
        <w:rPr>
          <w:sz w:val="20"/>
          <w:szCs w:val="20"/>
          <w:color w:val="auto"/>
        </w:rPr>
      </w:pPr>
    </w:p>
    <w:p>
      <w:pPr>
        <w:ind w:left="520" w:right="120" w:hanging="255"/>
        <w:spacing w:after="0" w:line="259"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financial information for the Company's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 2026</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Banking</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26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Segment</w:t>
            </w:r>
          </w:p>
        </w:tc>
        <w:tc>
          <w:tcPr>
            <w:tcW w:w="2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2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r>
      <w:tr>
        <w:trPr>
          <w:trHeight w:val="17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33,545</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46,241</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15,579</w:t>
            </w: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29,015</w:t>
            </w:r>
          </w:p>
        </w:tc>
      </w:tr>
      <w:tr>
        <w:trPr>
          <w:trHeight w:val="171"/>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17,226</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2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r>
      <w:tr>
        <w:trPr>
          <w:trHeight w:val="118"/>
        </w:trPr>
        <w:tc>
          <w:tcPr>
            <w:tcW w:w="268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 provision for loan</w:t>
            </w: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9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48,237</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2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10,880</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53,731</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15,243</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23,096</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w:t>
            </w:r>
          </w:p>
        </w:tc>
      </w:tr>
      <w:tr>
        <w:trPr>
          <w:trHeight w:val="138"/>
        </w:trPr>
        <w:tc>
          <w:tcPr>
            <w:tcW w:w="2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 and maintenance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8,124</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w:t>
            </w:r>
          </w:p>
        </w:tc>
      </w:tr>
      <w:tr>
        <w:trPr>
          <w:trHeight w:val="18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2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w:t>
            </w:r>
          </w:p>
        </w:tc>
      </w:tr>
      <w:tr>
        <w:trPr>
          <w:trHeight w:val="17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27,738</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8,458</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17,086</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7,534</w:t>
            </w: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(7,534)</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7,534</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w:t>
            </w:r>
          </w:p>
        </w:tc>
      </w:tr>
      <w:tr>
        <w:trPr>
          <w:trHeight w:val="196"/>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20,204</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8,458</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(14,250)</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2"/>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2,162,070</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359,630</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372,445</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(51,219)</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(103,368)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653,089</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(607,674)</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2,886,767</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&amp;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14,561</w:t>
            </w: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 2025</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Banking</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26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Segment</w:t>
            </w: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Segment</w:t>
            </w: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r>
      <w:tr>
        <w:trPr>
          <w:trHeight w:val="17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22,878</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8,077</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37,890</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23,957</w:t>
            </w:r>
          </w:p>
        </w:tc>
      </w:tr>
      <w:tr>
        <w:trPr>
          <w:trHeight w:val="171"/>
        </w:trPr>
        <w:tc>
          <w:tcPr>
            <w:tcW w:w="26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12,740</w:t>
            </w: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r>
      <w:tr>
        <w:trPr>
          <w:trHeight w:val="118"/>
        </w:trPr>
        <w:tc>
          <w:tcPr>
            <w:tcW w:w="268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 provision for loan</w:t>
            </w: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9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32,806</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20,311</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11,412</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22,945</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52,398</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21,316</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r>
      <w:tr>
        <w:trPr>
          <w:trHeight w:val="138"/>
        </w:trPr>
        <w:tc>
          <w:tcPr>
            <w:tcW w:w="2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 and maintenance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w:t>
            </w:r>
          </w:p>
        </w:tc>
      </w:tr>
      <w:tr>
        <w:trPr>
          <w:trHeight w:val="18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expense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4,834</w:t>
            </w:r>
          </w:p>
        </w:tc>
      </w:tr>
      <w:tr>
        <w:trPr>
          <w:trHeight w:val="17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11,649</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r>
      <w:tr>
        <w:trPr>
          <w:trHeight w:val="196"/>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Disclosures: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1,276,432</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(34,974)</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542,124</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(116,887)</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470,702</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(73,817)</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650,581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(600,876)</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2,136,737</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&amp;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Repurchase Program</w:t>
      </w:r>
    </w:p>
    <w:p>
      <w:pPr>
        <w:spacing w:after="0" w:line="1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April 24, 2026, the Board approved a debt repurchase program granting the Company authority to repurchase up to $5.0 million aggregate principal amount of the Company’s 2028 Notes and 2029 Notes during the following twelve months. The actual timing and amount of any repurchases under the debt repurchase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 The Company has not repurchased 2028 Notes or 2029 Notes under the debt repurchase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D2 Facility</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28, 2026, a wholly-owned subsidiary of the Company, Newtek Business Services Holdco 6, Inc. (the “NALH Borrower”), and its wholly-owned subsidiary NBL SPV IV, LLC (the “SPV Borrower”, and together with the NALH Borrower, the “Borrowers”), together with the Company as a guarantor thereunder, entered into a Term Loan Agreement (the “Loan Agreement”) with D2 Asset Based Credit Partners, LP, Inc. as the Initial Lender thereunder (the “Initial Lender”) and D2 Asset Services, LLC, as Agent thereunder. Pursuant to the terms of the Loan Agreement, the Initial Lender extended a term loan to the Borrowers in the aggregate principal amount of $20,000,000 (the “ D2 Loan”), which D2 Loan may be increased by an additional $10,000,000, subject to the satisfaction of certain conditions set forth in the Loan Agreement. As permitted under the Loan Agreement, NALH Borrower intends to distribute all or a portion of the proceeds of the Loan to the Company, which if received by the Company, would be used for general corporate purposes.</w:t>
      </w:r>
    </w:p>
    <w:p>
      <w:pPr>
        <w:spacing w:after="0" w:line="16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D2 Loan will mature on April 28, 2029. The Loan Agreement also specifies certain events of default, the occurrence of which could require the immediate repayment of all outstanding amounts under the Loan Agreement. Pursuant to the terms of the Loan Agreement: (a) the SPV Borrower pledged certain loans owned by the SPV Borrower, and the NALH Borrower pledged its equity interests in the SPV Borrower, as security for the D2 Loan; and (b) the Company unconditionally guaranteed the prompt and unconditional payment of all of the Borrowers’ obligations under the Loan Agreement.</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4"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and our borrowers operate;</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right="500" w:hanging="260"/>
        <w:spacing w:after="0" w:line="253"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our ability to operate our subsidiary Newtek Bank, a national bank regulated and supervised by the OCC, and the increased compliance and other costs associated with such operations;</w:t>
      </w: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manage liquidity, deposits, capital levels and interest rate risk;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1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spacing w:after="0" w:line="145" w:lineRule="exact"/>
        <w:rPr>
          <w:sz w:val="20"/>
          <w:szCs w:val="20"/>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which could impair our subsidiaries’ ability to continue to operate or repay their borrowings, which could adversely affect our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business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financial markets and the global macroeconomic and geopolitical environment, including higher inflation, tariffs and their impacts;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interest rates and the impacts on macroeconomic conditions and our funding costs;</w:t>
      </w:r>
    </w:p>
    <w:p>
      <w:pPr>
        <w:ind w:left="520" w:right="40" w:hanging="260"/>
        <w:spacing w:after="0" w:line="236" w:lineRule="auto"/>
        <w:tabs>
          <w:tab w:leader="none" w:pos="516"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changes to the SBA 7(a) loan program, including recent revisions to SBA Standard Operating Procedure (“SOP”) as well as the impact of the current Federal government shutdown on the SBA, including the SBA 7(a) Program and SBA 504 program, each of which are currently frozen as a result of the current Federal government shutdown and could materially and adversely affect Newtek Bank’s lending business; and</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 including the documents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2025 Form 10-K, and in any subsequent filings we have made with the SEC that are incorporated by reference into this report.</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We are a financial holding company owning Newtek Bank - a branchless OCC nationally chartered bank. Our target market is owners and prospective owners of SMBs and our services are offered online and in some cases delivered and fulfilled by our staff via video and voice calls. We offer lending products, FDIC insured deposit products and services, payments processing, payroll services and insurance brokerage services. We source our business through our NewtekOne.com and NewtekBank.com web sites, our alliance partner network and our marketing database, which is facilitated through our patented NewTracker® platform. Our loan products include SBA 7(a), ALP, SBA 504, and traditional C&amp;I and CRE bank loans. Our deposit products primarily include consumer high yield savings accounts, high yield certificates of deposit, zero-fee business checking, and business money market accounts. We offer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Our process to extend credit to borrowers begins with technology, but finishes with credit committee approval. We record CECL reserves on loans held for investment at amortized cost, which for unguaranteed SBA 7(a) loans exceeds 6%. For SBA7(a) loans, we hold the unguaranteed portion and sell the portions guaranteed by the SBA, within approximately 180 days of origination (or we may hold guaranteed portions for longer periods), for premiums that have historically exceeded 10%, depending on loan characteristics and market conditions. Unlike traditional financial and bank holding companies, the majority of our income is driven and influenced by noninterest income, specifically gains on sales and market value adjustments on loans. We sell certain loans servicing retained, in which case we record a servicing asset that increases our gain on sale and provides a stream of future income to the extent the loan balance continues to be outstanding.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fund our activities at Newtek Bank primarily through the aforementioned deposit products.</w:t>
      </w:r>
    </w:p>
    <w:p>
      <w:pPr>
        <w:spacing w:after="0" w:line="20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Prior to acquiring Newtek Bank in 2023, we originated SBA 7(a) loans through NSBF, our non-bank SBA 7(a) lender. In addition, prior to the first quarter of 2026 when we began originating C&amp;I LA loans out of Newtek Bank, we offered ALP loans and SBA 504 loans originated by our non-bank subsidiary NALH; and our JVs offered ALP loans. These non-bank loans were initially funded with capital and lines of credit and hedged until a sufficient volume was attained at which time the loans were securitized. We are required by law to hold risk retention in securitization transactions, and the majority of our interests in securitizations are designed to absorb first loss on the loans held in the securitization trusts. Specifically, during the third quarter of 2024, we made the decision to originate with the intent to securitize ALP loans with our subsidiary NALH as the originator and sponsor. As of the first quarter of 2026, the Company began originating C&amp;I LA loans (formerly referred to as ALP loans) at Newtek Bank and do not currently anticipate originating loans out of our non-bank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also issued bonds in the public and private capital markets.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subject to the regulation and supervision of the Federal Reserve and the Federal Reserve Bank of Atlanta. In addition Newtek Bank is regulated by the OCC and we are required to follow SBA rules and guidelines in the origination, servicing and sale of our SBA loans. Complying with this level of regulation requires investments in technology and process and personnel costs.</w:t>
      </w:r>
    </w:p>
    <w:p>
      <w:pPr>
        <w:spacing w:after="0" w:line="1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From 2012 through December 31, 2022, NSBF was consistently the largest non-bank SBA 7(a) lender in the U.S. based on dollar volume of loan approvals, and, as of December 31, 2022, was the third largest SBA 7(a) lender in the United States. Currently, Newtek Bank is ranked as the third largest SBA 7(a) lender based on dollar volume of loans approved. Historically, NSBF structured its loans so that it could sell the government guaranteed portions of SBA 7(a) loans originated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in its loan portfolio to maturity, liquidation, charge-off or, subject to SBA’s prior written approval, sale or transfer.</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Additionally, we and our subsidiaries provide a wide range of business and financial solutions to independent business owner relationships, including Business Lending, which includes SBA 7(a) loans, SBA 504 loans, C&amp;I LA loans, CRE loans and ABL loans; Electronic Payment Processing, personal and commercial lines Insurance Services, and Payroll and Benefits Solutions to independent business owner relationships nationwide across all industries. With the divestiture of NTS, we no longer provide Managed Technology Solutions to our clients, however, we are currently referring our clients to IPM for its offering of Managed Technology Solutions and can earn a finder’s fee pursuant to a referral promotion agreement. We support the operations of our subsidiaries by providing access to our proprietary and patented technology platform, including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patented prospect management software. We have historically defined independent business owners (SMBs) as companies having revenues of $1 million to $100 million, and we have generally estimated the SMB market to be over 34 million businesses in the United States. We make loans and provide business and financial solutions to the SMB market through our bank and non-bank subsidiaries. In addition, we now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provides independent business owners with instant access to a team of NewtekOne business and financial solutions experts. Moreover,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PMT’s clients to make payroll directly from the Newtek Advantage business portal.</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originated loans under its ALP Program from 2019 until the December 2025, and beginning in the first quarter of 2026, now originates these loans out of Newtek Bank under its C&amp;I LA program. These loans have terms between 10 and 25 years, bear fixed interest rates that reset every five years, and have prepayment penalties. The criteria evaluated in underwriting C&amp;I LA loans and the terms of these loans have been generally consistent over the program’s existence. Prior to July 1, 2024, the Company originated ALP loans with the intent to sell the loans to a JV, and during the third quarter of 2024, we made the decision to originate with the intent to securitize ALP loans with our subsidiary NALH as the originator and sponsor. During the second quarter of 2025, NALH closed a securitization backed by $216.6 million of ALP loans and in January 2026, closed the 2026-1 securitization pursuant to which NALH sold $251.9 million of Class A Notes, $35.9 million of Class B Notes, and $6.8 million of a Class C Note issued by NALP Business Loan Trust 2026-1.</w:t>
      </w:r>
    </w:p>
    <w:p>
      <w:pPr>
        <w:spacing w:after="0" w:line="16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Operation as a Financial Holding Company – We are subject to extensive regulation and supervision as a financial holding company, which may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Newtek Bank is a national bank and, as a nationally licensed SBA lender under the SBA 7(a) Program, originates, sells and services SBA 7(a) loans. Newtek Bank has been granted PLP status and is authorized to place SBA guarantees on loans without seeking prior SBA review and approval. Being a national SBA 7(a) lender with PLP status allows Newtek Bank to expedite the origination of SBA 7(a)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 and PLP status.” and “ITEM 1A. RISK FACTORS - Risks Related to SBA Lending - A governmental failure to fund the SBA could adversely affect Newtek Bank’s SBA 7(a) loan originations and our results of operations.” In addition to SBA 7(a) loans, Newtek Bank originates SBA 504 loans, C&amp;I loans, C&amp;I LA loans, CRE loans and ABL loans, and offers depository services.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have observed and continue to observe commodity inflation, rising interest rates, unrelated bank failures and declines in depositor confidence in certain types of depository institutions. In addition, the conflicts in the Middle East and the war between Russia and Ukraine, and resulting market volatility and impacts on energy prices, could adversely affect our business, financial condition and results of operations, as well as the financial condition of our borrowers. The ongoing conflicts have negatively affected the global economy and business activity and could have a material adverse effect on our business, financial condition, cash flows and results of operations, as well as those of our borrowers. The severity and duration of conflicts and their impact on global economic and market conditions are impossible to predict. In addition, beginning in 2025, the U.S. has imposed or increased tariffs, including on imports from China, and proposed imposing or increasing tariffs on U.S. trading partners, which could adversely affect markets, the business environment and our business. On July 4, 2025, federal legislation generally referred to as H.R. 1 - One Big Beautiful Bill Act (the “Act” or “OBBBA”) was signed into law. The Act includes a variety of tax provisions including permanently extending and modifying certain key aspects of existing federal tax law. U.S. GAAP requires the effects of changes in tax laws and rates to be recognized in its financial statements in the period in which legislation is enacted. The Company evaluated the OBBBA and there is no material impact on its financial position or results of operations in the current year.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For the quarterly period ended March 31, 2026, we generated income in the form of interest, net gains on the sales of loans originated (which primarily include sales of SBA 7(a) and ALP loans) and related servicing assets on such sales, dividends, electronic payment processing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March 31, 2026,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and then securitized by NCL JV (dissolved in September 2025), TSO JV and Newtek ALP Holdings. These recurring fees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w:t>
      </w:r>
    </w:p>
    <w:p>
      <w:pPr>
        <w:spacing w:after="0" w:line="16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as well as amortization and impairment, if any, of LCM servicing rights in the consolidated statements of income.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quarterly period ended March 31, 2026, our primary operating expenses were salaries and benefits, interest expense including interest on deposits, electronic payment processing expense, loan origination and servicing expenses, and other general and administrative costs, such as professional fees, marketing, referral fees, servicing costs and rent.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31, 2026 vs.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 at March 31, 2026 were $2.9 billion, an increase of $141.9 million, or 5.2%, compared to total assets of $2.7 billion at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7"/>
                <w:szCs w:val="17"/>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769,225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(202,612)</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(17,187)</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988,269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91,580</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171"/>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941,548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851,463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90,085</w:t>
            </w: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1,995,179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2,131,030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Loans HFS, at fair value decreased $202.6 million during the three months ended March 31, 2026. The overall decrease was driven by a decrease of $394.9 million for ALP loans transferred to the NALP Business Loan Trust 2026-1 securitization transaction that closed in January 2026. The decrease was partially offset by holding $93.7 million of additional guaranteed portions of SBA 7(a) loans as of March 31, 2026, as well as $85.7 million in C&amp;I LA loan fundings at Newtek Bank during the three months ended March 31, 2026, valued at $98.6 million as of March 31,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234,298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201,013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33,285</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r>
      <w:tr>
        <w:trPr>
          <w:trHeight w:val="18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380,769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324,469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56,300</w:t>
            </w:r>
          </w:p>
        </w:tc>
      </w:tr>
      <w:tr>
        <w:trPr>
          <w:trHeight w:val="171"/>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SBA loans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650,436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93,747</w:t>
            </w:r>
          </w:p>
        </w:tc>
      </w:tr>
      <w:tr>
        <w:trPr>
          <w:trHeight w:val="180"/>
        </w:trPr>
        <w:tc>
          <w:tcPr>
            <w:tcW w:w="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w w:val="97"/>
              </w:rPr>
              <w:t>C&amp;I LA</w:t>
            </w:r>
            <w:r>
              <w:rPr>
                <w:rFonts w:ascii="Times New Roman" w:cs="Times New Roman" w:eastAsia="Times New Roman" w:hAnsi="Times New Roman"/>
                <w:sz w:val="18"/>
                <w:szCs w:val="18"/>
                <w:color w:val="auto"/>
                <w:w w:val="97"/>
                <w:vertAlign w:val="superscript"/>
              </w:rPr>
              <w:t>1</w:t>
            </w:r>
          </w:p>
        </w:tc>
        <w:tc>
          <w:tcPr>
            <w:tcW w:w="6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98,551</w:t>
            </w:r>
          </w:p>
        </w:tc>
      </w:tr>
      <w:tr>
        <w:trPr>
          <w:trHeight w:val="180"/>
        </w:trPr>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415,148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(394,910)</w:t>
            </w:r>
          </w:p>
        </w:tc>
      </w:tr>
      <w:tr>
        <w:trPr>
          <w:trHeight w:val="19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769,225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(202,612)</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200" w:hanging="195"/>
        <w:spacing w:after="0"/>
        <w:tabs>
          <w:tab w:leader="none" w:pos="20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C&amp;I LA loans originated by Newtek Bank, which began during the first quarter of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HFS, at LCM decreased $6.1 million during the same period. The overall decrease was primarily the result of loan sales that occurred in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r>
      <w:tr>
        <w:trPr>
          <w:trHeight w:val="180"/>
        </w:trPr>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w:t>
            </w:r>
          </w:p>
        </w:tc>
      </w:tr>
      <w:tr>
        <w:trPr>
          <w:trHeight w:val="19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HFS, at LCM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HFI, at fair value were $264.0 million at March 31, 2026 compared to $281.2 million at December 31, 2025. The balance consists primarily of SBA 7(a) loans as well as $5.7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2025 to March 31, 2026, primarily due to the principal payments of existing loans held by NSBF.</w:t>
      </w:r>
    </w:p>
    <w:p>
      <w:pPr>
        <w:spacing w:after="0" w:line="15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HFI, at amortized cost, consist of loans originated at or purchased by Newtek Bank. The $91.6 million increase in loans HFI, at amortized cost, is the result of an increase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originations for the three months ended March 31, 2026 over 2025.</w:t>
      </w:r>
    </w:p>
    <w:p>
      <w:pPr>
        <w:spacing w:after="0" w:line="1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Overall credit quality remained stable during the year. The increase in nonperforming loans HFI is adequately covered by the allowance for credit losses and in line with the seasoning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portfolio. The Company continues to focus on prudent underwriting and portfolio diversification across its lending activities. The following table presents an analysis of loans HFI with credit metrics, including a breakdown by days aged: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0" w:type="dxa"/>
            <w:vAlign w:val="bottom"/>
            <w:tcBorders>
              <w:bottom w:val="single" w:sz="8" w:color="auto"/>
            </w:tcBorders>
          </w:tcPr>
          <w:p>
            <w:pPr>
              <w:spacing w:after="0"/>
              <w:rPr>
                <w:sz w:val="16"/>
                <w:szCs w:val="16"/>
                <w:color w:val="auto"/>
              </w:rPr>
            </w:pPr>
          </w:p>
        </w:tc>
      </w:tr>
      <w:tr>
        <w:trPr>
          <w:trHeight w:val="182"/>
        </w:trPr>
        <w:tc>
          <w:tcPr>
            <w:tcW w:w="6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872,072</w:t>
            </w:r>
          </w:p>
        </w:tc>
        <w:tc>
          <w:tcPr>
            <w:tcW w:w="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794,951</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30-89 Days and accruing</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26,372</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20,555</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and more Days and accruing</w:t>
            </w:r>
          </w:p>
        </w:tc>
        <w:tc>
          <w:tcPr>
            <w:tcW w:w="380" w:type="dxa"/>
            <w:vAlign w:val="bottom"/>
          </w:tcPr>
          <w:p>
            <w:pPr>
              <w:spacing w:after="0"/>
              <w:rPr>
                <w:sz w:val="15"/>
                <w:szCs w:val="15"/>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5"/>
                <w:szCs w:val="15"/>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87,453</w:t>
            </w:r>
          </w:p>
        </w:tc>
        <w:tc>
          <w:tcPr>
            <w:tcW w:w="6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78,814</w:t>
            </w:r>
          </w:p>
        </w:tc>
        <w:tc>
          <w:tcPr>
            <w:tcW w:w="7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at amortized cost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985,897</w:t>
            </w:r>
          </w:p>
        </w:tc>
        <w:tc>
          <w:tcPr>
            <w:tcW w:w="6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894,320</w:t>
            </w: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988,269</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(46,721)</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12"/>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165,836</w:t>
            </w:r>
          </w:p>
        </w:tc>
        <w:tc>
          <w:tcPr>
            <w:tcW w:w="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189,177</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30-89 Days and accruing</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19,586</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and more Days and accruing</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70,719</w:t>
            </w:r>
          </w:p>
        </w:tc>
        <w:tc>
          <w:tcPr>
            <w:tcW w:w="6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72,543</w:t>
            </w:r>
          </w:p>
        </w:tc>
        <w:tc>
          <w:tcPr>
            <w:tcW w:w="7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264,011</w:t>
            </w:r>
          </w:p>
        </w:tc>
        <w:tc>
          <w:tcPr>
            <w:tcW w:w="6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and nonaccrual loans as % of Outstanding UPB</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98,175</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92,021</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r>
      <w:tr>
        <w:trPr>
          <w:trHeight w:val="212"/>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 assets</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87,453</w:t>
            </w:r>
          </w:p>
        </w:tc>
        <w:tc>
          <w:tcPr>
            <w:tcW w:w="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78,814</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70,719</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72,543</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71"/>
        </w:trPr>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171,284</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160,213</w:t>
            </w: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 exposure</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loan portfolio consists of loans to independent business owners (SMBs). The Company’s Loans HFI at amortized cost and Loans HFS at LCM include a total of $368.4 million of loans, including unfunded commitments, backed by CRE and considered non-owner occupied as of March 31, 2026. The average loan-to-value for this CRE portfolio was 57.5%. The CRE portfolio is diversified by property type and geography, and management actively monitors concentration levels, loan to value ratios, and debt service coverage metrics as part of its ongoing credit risk management process. Furthermore, there is limited exposure to office space.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details of the loans considered non-owner occupied CRE that are not carried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4"/>
              </w:rPr>
              <w:t>LTV</w:t>
            </w: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auto"/>
              </w:rPr>
              <w:t>LTV</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net of deferred fees and</w:t>
            </w:r>
          </w:p>
        </w:tc>
        <w:tc>
          <w:tcPr>
            <w:tcW w:w="120" w:type="dxa"/>
            <w:vAlign w:val="bottom"/>
          </w:tcPr>
          <w:p>
            <w:pPr>
              <w:spacing w:after="0"/>
              <w:rPr>
                <w:sz w:val="5"/>
                <w:szCs w:val="5"/>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HFS at LCM</w:t>
            </w:r>
          </w:p>
        </w:tc>
        <w:tc>
          <w:tcPr>
            <w:tcW w:w="360" w:type="dxa"/>
            <w:vAlign w:val="bottom"/>
          </w:tcPr>
          <w:p>
            <w:pPr>
              <w:spacing w:after="0"/>
              <w:rPr>
                <w:sz w:val="5"/>
                <w:szCs w:val="5"/>
                <w:color w:val="auto"/>
              </w:rPr>
            </w:pPr>
          </w:p>
        </w:tc>
        <w:tc>
          <w:tcPr>
            <w:tcW w:w="760" w:type="dxa"/>
            <w:vAlign w:val="bottom"/>
            <w:vMerge w:val="restart"/>
          </w:tcPr>
          <w:p>
            <w:pPr>
              <w:jc w:val="right"/>
              <w:ind w:right="37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net of deferred fees and</w:t>
            </w: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HFS at LCM</w:t>
            </w:r>
          </w:p>
        </w:tc>
        <w:tc>
          <w:tcPr>
            <w:tcW w:w="320" w:type="dxa"/>
            <w:vAlign w:val="bottom"/>
          </w:tcPr>
          <w:p>
            <w:pPr>
              <w:spacing w:after="0"/>
              <w:rPr>
                <w:sz w:val="5"/>
                <w:szCs w:val="5"/>
                <w:color w:val="auto"/>
              </w:rPr>
            </w:pPr>
          </w:p>
        </w:tc>
        <w:tc>
          <w:tcPr>
            <w:tcW w:w="64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42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8"/>
              </w:rPr>
              <w:t>by CRE type</w:t>
            </w: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by CRE type</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9"/>
              </w:rPr>
              <w:t>costs</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9"/>
              </w:rPr>
              <w:t>costs</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not backed by NOO CRE</w:t>
            </w: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685,529</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622,495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Loans backed by NOO CRE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302,740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323,135</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300,726</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loans</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1,008,664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923,221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backed by NOO CRE by type: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Retail</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8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 Family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0" w:type="dxa"/>
            <w:vAlign w:val="bottom"/>
          </w:tcPr>
          <w:p>
            <w:pPr>
              <w:spacing w:after="0"/>
              <w:rPr>
                <w:sz w:val="1"/>
                <w:szCs w:val="1"/>
                <w:color w:val="auto"/>
              </w:rPr>
            </w:pPr>
          </w:p>
        </w:tc>
      </w:tr>
      <w:tr>
        <w:trPr>
          <w:trHeight w:val="193"/>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Industrial</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50.5 %</w:t>
            </w:r>
          </w:p>
        </w:tc>
        <w:tc>
          <w:tcPr>
            <w:tcW w:w="0" w:type="dxa"/>
            <w:vAlign w:val="bottom"/>
          </w:tcPr>
          <w:p>
            <w:pPr>
              <w:spacing w:after="0"/>
              <w:rPr>
                <w:sz w:val="1"/>
                <w:szCs w:val="1"/>
                <w:color w:val="auto"/>
              </w:rPr>
            </w:pPr>
          </w:p>
        </w:tc>
      </w:tr>
      <w:tr>
        <w:trPr>
          <w:trHeight w:val="193"/>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63.7 %</w:t>
            </w:r>
          </w:p>
        </w:tc>
        <w:tc>
          <w:tcPr>
            <w:tcW w:w="0" w:type="dxa"/>
            <w:vAlign w:val="bottom"/>
          </w:tcPr>
          <w:p>
            <w:pPr>
              <w:spacing w:after="0"/>
              <w:rPr>
                <w:sz w:val="1"/>
                <w:szCs w:val="1"/>
                <w:color w:val="auto"/>
              </w:rPr>
            </w:pPr>
          </w:p>
        </w:tc>
      </w:tr>
      <w:tr>
        <w:trPr>
          <w:trHeight w:val="193"/>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61.8 %</w:t>
            </w:r>
          </w:p>
        </w:tc>
        <w:tc>
          <w:tcPr>
            <w:tcW w:w="0" w:type="dxa"/>
            <w:vAlign w:val="bottom"/>
          </w:tcPr>
          <w:p>
            <w:pPr>
              <w:spacing w:after="0"/>
              <w:rPr>
                <w:sz w:val="1"/>
                <w:szCs w:val="1"/>
                <w:color w:val="auto"/>
              </w:rPr>
            </w:pPr>
          </w:p>
        </w:tc>
      </w:tr>
      <w:tr>
        <w:trPr>
          <w:trHeight w:val="183"/>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NOO CRE</w:t>
            </w: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302,740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221"/>
        </w:trPr>
        <w:tc>
          <w:tcPr>
            <w:tcW w:w="2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Unfunded Commitments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45,225</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CRE Loans</w:t>
            </w: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302,740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65,620</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368,360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81,681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355,875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0" w:right="560" w:hanging="55"/>
        <w:spacing w:after="0" w:line="230" w:lineRule="auto"/>
        <w:tabs>
          <w:tab w:leader="none" w:pos="65" w:val="left"/>
        </w:tabs>
        <w:numPr>
          <w:ilvl w:val="0"/>
          <w:numId w:val="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 of the Company’s Goodwill and intangibles: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71"/>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spacing w:after="0"/>
              <w:rPr>
                <w:sz w:val="14"/>
                <w:szCs w:val="14"/>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segment</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96"/>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14,561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14,597</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goodwill and intangible assets relates to amortization of intangible assets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Residuals in Securitizations, at Fair Value</w:t>
      </w:r>
    </w:p>
    <w:p>
      <w:pPr>
        <w:spacing w:after="0" w:line="2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residuals in securitizations, at fair value arise from the NALP Business Loan Trust 2025-1 ALP securitization and the NALP Business Loan Trust 2026-1 ALP securitization that NALH closed on April 23, 2025 and January 21, 2026, respectively (collectively “the Unconsolidated Trusts”). Residuals in securitizations were $197.5 million as of March 31, 2026. The Unconsolidated Trusts meet the definition of a VIE. The Company’s subsidiary NALH holds a variable interest in the VIEs, however, the Company is not considered the primary beneficiary of the VIEs, because the power over the activities that have the most significant impact on the economic performance of the Unconsolidated Trusts is held by the owners of the respective Class C Note issued by the Unconsolidated Trusts, and therefore, the Company is not required to consolidate the Unconsolidated Trusts. The Company’s beneficial interest in the Unconsolidated Trusts is evidenced by NALH’s sole ownership of the Ownership Certificates and its beneficial interest in the credit risk of the securitized ALP Loans. As the Sponsor (NALH) is a wholly owned subsidiary of the Company, the Company effectively owns 100% of the equity interest in the Unconsolidated Trusts. Refer to NOTE 3—SECURITIZATIONS AND VARIABLE INTEREST ENTITIES in the accompanying notes to the consolidated financial statements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Settlement receivables were $51.5 million as of March 31, 2026, an increase of $51.1 million compared to December 31, 2025.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period 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The deferred tax asset,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 The change in the Company’s net deferred tax position during the quarter was primarily related to changes in deferred taxes associated with fair value adjustments, resulting in a net deferred tax asset as of March 31,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March 31, 2026, were $2.5 billion, an increase of $134.8 million, or 5.7%, compared to total liabilities of $2.3 billion at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Total deposits were $1.9 billion at March 31, 2026, consisting of $71.6 million in non-interest bearing deposits and $1.8 billion in interest bearing deposits, a $439.5 million increase from the balance as of December 31, 2025. The increase in deposits is a result of increases in all of our deposit products due to our competitive interest rates well above the risk free rate and what we view as the sticky deposit relationships we foster by providing value to our depositors via the Newtek Advantage. As of March 31, 2026 and December 31, 2025, insured deposits represent 77.8% and 80.3%, respectively, of deposits.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7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320" w:type="dxa"/>
            <w:vAlign w:val="bottom"/>
          </w:tcPr>
          <w:p>
            <w:pPr>
              <w:spacing w:after="0"/>
              <w:rPr>
                <w:sz w:val="24"/>
                <w:szCs w:val="24"/>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24"/>
                <w:szCs w:val="24"/>
                <w:color w:val="auto"/>
              </w:rPr>
            </w:pPr>
          </w:p>
        </w:tc>
        <w:tc>
          <w:tcPr>
            <w:tcW w:w="16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1"/>
        </w:trPr>
        <w:tc>
          <w:tcPr>
            <w:tcW w:w="48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Secured Borrowings:</w:t>
            </w:r>
          </w:p>
        </w:tc>
        <w:tc>
          <w:tcPr>
            <w:tcW w:w="32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r>
      <w:tr>
        <w:trPr>
          <w:trHeight w:val="180"/>
        </w:trPr>
        <w:tc>
          <w:tcPr>
            <w:tcW w:w="48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1,2</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113,944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(13,106)</w:t>
            </w:r>
          </w:p>
        </w:tc>
      </w:tr>
      <w:tr>
        <w:trPr>
          <w:trHeight w:val="180"/>
        </w:trPr>
        <w:tc>
          <w:tcPr>
            <w:tcW w:w="484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Goldman Facility</w:t>
            </w:r>
            <w:r>
              <w:rPr>
                <w:rFonts w:ascii="Times New Roman" w:cs="Times New Roman" w:eastAsia="Times New Roman" w:hAnsi="Times New Roman"/>
                <w:sz w:val="18"/>
                <w:szCs w:val="18"/>
                <w:color w:val="auto"/>
                <w:vertAlign w:val="superscript"/>
              </w:rPr>
              <w:t>2</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88,352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0"/>
        </w:trPr>
        <w:tc>
          <w:tcPr>
            <w:tcW w:w="48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2,3</w:t>
            </w:r>
          </w:p>
        </w:tc>
        <w:tc>
          <w:tcPr>
            <w:tcW w:w="320" w:type="dxa"/>
            <w:vAlign w:val="bottom"/>
          </w:tcPr>
          <w:p>
            <w:pPr>
              <w:spacing w:after="0"/>
              <w:rPr>
                <w:sz w:val="15"/>
                <w:szCs w:val="15"/>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(16,085)</w:t>
            </w:r>
          </w:p>
        </w:tc>
      </w:tr>
      <w:tr>
        <w:trPr>
          <w:trHeight w:val="180"/>
        </w:trPr>
        <w:tc>
          <w:tcPr>
            <w:tcW w:w="484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2</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169,146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(164,614)</w:t>
            </w:r>
          </w:p>
        </w:tc>
      </w:tr>
      <w:tr>
        <w:trPr>
          <w:trHeight w:val="180"/>
        </w:trPr>
        <w:tc>
          <w:tcPr>
            <w:tcW w:w="48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2</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w:t>
            </w:r>
          </w:p>
        </w:tc>
      </w:tr>
      <w:tr>
        <w:trPr>
          <w:trHeight w:val="180"/>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FHLB Advances</w:t>
            </w:r>
          </w:p>
        </w:tc>
        <w:tc>
          <w:tcPr>
            <w:tcW w:w="3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7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Secured Borrowings</w:t>
            </w:r>
          </w:p>
        </w:tc>
        <w:tc>
          <w:tcPr>
            <w:tcW w:w="3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441,241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(197,520)</w:t>
            </w:r>
          </w:p>
        </w:tc>
      </w:tr>
      <w:tr>
        <w:trPr>
          <w:trHeight w:val="180"/>
        </w:trPr>
        <w:tc>
          <w:tcPr>
            <w:tcW w:w="4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Unsecured Borrowings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(5.50%)</w:t>
            </w:r>
            <w:r>
              <w:rPr>
                <w:rFonts w:ascii="Times New Roman" w:cs="Times New Roman" w:eastAsia="Times New Roman" w:hAnsi="Times New Roman"/>
                <w:sz w:val="18"/>
                <w:szCs w:val="18"/>
                <w:color w:val="auto"/>
                <w:vertAlign w:val="superscript"/>
              </w:rPr>
              <w:t>4,6</w:t>
            </w:r>
          </w:p>
        </w:tc>
        <w:tc>
          <w:tcPr>
            <w:tcW w:w="320" w:type="dxa"/>
            <w:vAlign w:val="bottom"/>
          </w:tcPr>
          <w:p>
            <w:pPr>
              <w:spacing w:after="0"/>
              <w:rPr>
                <w:sz w:val="15"/>
                <w:szCs w:val="15"/>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2027</w:t>
            </w:r>
          </w:p>
        </w:tc>
        <w:tc>
          <w:tcPr>
            <w:tcW w:w="4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(8.125%)</w:t>
            </w:r>
            <w:r>
              <w:rPr>
                <w:rFonts w:ascii="Times New Roman" w:cs="Times New Roman" w:eastAsia="Times New Roman" w:hAnsi="Times New Roman"/>
                <w:sz w:val="18"/>
                <w:szCs w:val="18"/>
                <w:color w:val="auto"/>
                <w:vertAlign w:val="superscript"/>
              </w:rPr>
              <w:t>5</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2030</w:t>
            </w:r>
          </w:p>
        </w:tc>
        <w:tc>
          <w:tcPr>
            <w:tcW w:w="4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(8.375%)</w:t>
            </w:r>
            <w:r>
              <w:rPr>
                <w:rFonts w:ascii="Times New Roman" w:cs="Times New Roman" w:eastAsia="Times New Roman" w:hAnsi="Times New Roman"/>
                <w:sz w:val="18"/>
                <w:szCs w:val="18"/>
                <w:color w:val="auto"/>
                <w:vertAlign w:val="superscript"/>
              </w:rPr>
              <w:t>4</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2031</w:t>
            </w:r>
          </w:p>
        </w:tc>
        <w:tc>
          <w:tcPr>
            <w:tcW w:w="4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(8.50%)</w:t>
            </w:r>
            <w:r>
              <w:rPr>
                <w:rFonts w:ascii="Times New Roman" w:cs="Times New Roman" w:eastAsia="Times New Roman" w:hAnsi="Times New Roman"/>
                <w:sz w:val="18"/>
                <w:szCs w:val="18"/>
                <w:color w:val="auto"/>
                <w:vertAlign w:val="superscript"/>
              </w:rPr>
              <w:t>6</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7,808</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2033</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(8.375%)</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14,915</w:t>
            </w:r>
          </w:p>
        </w:tc>
      </w:tr>
      <w:tr>
        <w:trPr>
          <w:trHeight w:val="171"/>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Unsecured Borrowings</w:t>
            </w:r>
          </w:p>
        </w:tc>
        <w:tc>
          <w:tcPr>
            <w:tcW w:w="32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306,750</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378,647</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(71,897)</w:t>
            </w:r>
          </w:p>
        </w:tc>
      </w:tr>
      <w:tr>
        <w:trPr>
          <w:trHeight w:val="19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550,471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(269,417)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60" w:hanging="155"/>
        <w:spacing w:after="0"/>
        <w:tabs>
          <w:tab w:leader="none" w:pos="160" w:val="left"/>
        </w:tabs>
        <w:numPr>
          <w:ilvl w:val="0"/>
          <w:numId w:val="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Non-recourse.</w:t>
      </w:r>
    </w:p>
    <w:p>
      <w:pPr>
        <w:ind w:left="200" w:hanging="195"/>
        <w:spacing w:after="0" w:line="196" w:lineRule="auto"/>
        <w:tabs>
          <w:tab w:leader="none" w:pos="200"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220" w:hanging="215"/>
        <w:spacing w:after="0" w:line="197" w:lineRule="auto"/>
        <w:tabs>
          <w:tab w:leader="none" w:pos="220" w:val="left"/>
        </w:tabs>
        <w:numPr>
          <w:ilvl w:val="0"/>
          <w:numId w:val="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25, 2026 the SPV I Capital One Facility was fully repaid and terminated.</w:t>
      </w:r>
    </w:p>
    <w:p>
      <w:pPr>
        <w:spacing w:after="0" w:line="2" w:lineRule="exact"/>
        <w:rPr>
          <w:sz w:val="20"/>
          <w:szCs w:val="20"/>
          <w:color w:val="auto"/>
        </w:rPr>
      </w:pPr>
    </w:p>
    <w:p>
      <w:pPr>
        <w:ind w:left="140" w:right="40" w:hanging="135"/>
        <w:spacing w:after="0" w:line="220" w:lineRule="auto"/>
        <w:tabs>
          <w:tab w:leader="none" w:pos="200" w:val="left"/>
        </w:tabs>
        <w:numPr>
          <w:ilvl w:val="0"/>
          <w:numId w:val="5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October 21, 2025, the Company entered into agreements with two institutional investors that were existing holders of the 2026 Notes to exchange the $20.0 million in total principal amount of the 2026 Notes held by such investors for an equal principal amount of the 2030 Notes. On February 1, 2026, the 2026 Notes matured.</w:t>
      </w:r>
    </w:p>
    <w:p>
      <w:pPr>
        <w:ind w:left="200" w:hanging="195"/>
        <w:spacing w:after="0" w:line="197" w:lineRule="auto"/>
        <w:tabs>
          <w:tab w:leader="none" w:pos="200" w:val="left"/>
        </w:tabs>
        <w:numPr>
          <w:ilvl w:val="0"/>
          <w:numId w:val="5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w:t>
      </w:r>
    </w:p>
    <w:p>
      <w:pPr>
        <w:spacing w:after="0" w:line="2" w:lineRule="exact"/>
        <w:rPr>
          <w:sz w:val="20"/>
          <w:szCs w:val="20"/>
          <w:color w:val="auto"/>
        </w:rPr>
      </w:pPr>
    </w:p>
    <w:p>
      <w:pPr>
        <w:ind w:left="140" w:right="60"/>
        <w:spacing w:after="0" w:line="252" w:lineRule="auto"/>
        <w:rPr>
          <w:sz w:val="20"/>
          <w:szCs w:val="20"/>
          <w:color w:val="auto"/>
        </w:rPr>
      </w:pPr>
      <w:r>
        <w:rPr>
          <w:rFonts w:ascii="Times New Roman" w:cs="Times New Roman" w:eastAsia="Times New Roman" w:hAnsi="Times New Roman"/>
          <w:sz w:val="14"/>
          <w:szCs w:val="14"/>
          <w:color w:val="auto"/>
        </w:rPr>
        <w:t>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 w:lineRule="exact"/>
        <w:rPr>
          <w:sz w:val="20"/>
          <w:szCs w:val="20"/>
          <w:color w:val="auto"/>
        </w:rPr>
      </w:pPr>
    </w:p>
    <w:p>
      <w:pPr>
        <w:ind w:left="140" w:right="40" w:hanging="135"/>
        <w:spacing w:after="0" w:line="231" w:lineRule="auto"/>
        <w:tabs>
          <w:tab w:leader="none" w:pos="200" w:val="left"/>
        </w:tabs>
        <w:numPr>
          <w:ilvl w:val="0"/>
          <w:numId w:val="6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January 28, 2026, $7.9 million of 2026 Notes were tendered and exchanged for 2031 Notes in response to the Company’s offer to exchange the 2026 Notes for newly issued 2031 Notes. The 2031 Notes bear interest at a rate of 8.50% per year payable quarterly on February 1, May 1, August 1 and November 1 of each year, and will mature on February 1, 2031. On February 1, 2026, the Company repaid the remaining $87.1 million aggregate principal amount of 2026 Notes outstanding on the 2026 Notes maturity date.</w:t>
      </w:r>
    </w:p>
    <w:p>
      <w:pPr>
        <w:spacing w:after="0" w:line="17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Borrowings were $550.5 million at March 31, 2026, compared to $819.9 million at December 31, 2025. This decrease was primarily due to $183.7 million repayments of borrowings under the SPV I (facility was paid in full and terminated on March 25, 2026), II and III facilities, $95.0 million maturity of the 2026 Notes and $13.1 million reduction in the notes payable on securitization trusts. These decreases were partially offset by the $7.8 million and $14.9 million issuances of the 2031 Notes and 2033 Notes,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 below is a comparison of the results of operations for the three months ended March 31, 2026 and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the Company reported net income of $13.4 million, or $0.43 per basic and $0.43 per diluted share, compared to net income of $9.4 million, or $0.36 per basic and $0.35 diluted share, for the three months ended March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increase in net income was attributable to the following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94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7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tcPr>
          <w:p>
            <w:pPr>
              <w:spacing w:after="0"/>
              <w:rPr>
                <w:sz w:val="24"/>
                <w:szCs w:val="24"/>
                <w:color w:val="auto"/>
              </w:rPr>
            </w:pPr>
          </w:p>
        </w:tc>
        <w:tc>
          <w:tcPr>
            <w:tcW w:w="24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7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(3,897)</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$3.2 million increase in interest income on the Company’s loan portfolio was attributable to an increase in the average outstanding accrual portfolio of loans held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increasing to $1.7 billion from $1.4 billion for the three months ended March 31, 2026 and 2025, respectively. The increase in the average outstanding accrual loan portfolio resulted from the origination of new SBA 7(a) loans period over period.</w:t>
      </w:r>
    </w:p>
    <w:p>
      <w:pPr>
        <w:spacing w:after="0" w:line="13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interest earning assets: </w:t>
      </w:r>
      <w:r>
        <w:rPr>
          <w:rFonts w:ascii="Times New Roman" w:cs="Times New Roman" w:eastAsia="Times New Roman" w:hAnsi="Times New Roman"/>
          <w:sz w:val="14"/>
          <w:szCs w:val="14"/>
          <w:color w:val="auto"/>
        </w:rPr>
        <w:t>The $5.2 million increase in interest income from other interest earnings assets was attributable to an increase in the average quarterly outstanding balance of interest-earning balances in other banks.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three months ended March 31, 2026 and 2025:</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gridSpan w:val="5"/>
          </w:tcPr>
          <w:p>
            <w:pPr>
              <w:ind w:left="7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4"/>
        </w:trPr>
        <w:tc>
          <w:tcPr>
            <w:tcW w:w="4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7"/>
        </w:trPr>
        <w:tc>
          <w:tcPr>
            <w:tcW w:w="4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80"/>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r>
      <w:tr>
        <w:trPr>
          <w:trHeight w:val="180"/>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5.00% Notes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2026</w:t>
            </w:r>
          </w:p>
        </w:tc>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2,3</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2027</w:t>
            </w:r>
          </w:p>
        </w:tc>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 Notes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2029</w:t>
            </w:r>
          </w:p>
        </w:tc>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2029</w:t>
            </w: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8.625% Notes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2030</w:t>
            </w:r>
          </w:p>
        </w:tc>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2,5</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r>
      <w:tr>
        <w:trPr>
          <w:trHeight w:val="180"/>
        </w:trPr>
        <w:tc>
          <w:tcPr>
            <w:tcW w:w="67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2031 Notes</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0"/>
        </w:trPr>
        <w:tc>
          <w:tcPr>
            <w:tcW w:w="67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2033 Notes</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71"/>
        </w:trPr>
        <w:tc>
          <w:tcPr>
            <w:tcW w:w="67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notes and securitizations</w:t>
            </w: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r>
      <w:tr>
        <w:trPr>
          <w:trHeight w:val="212"/>
        </w:trPr>
        <w:tc>
          <w:tcPr>
            <w:tcW w:w="6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and Other Bank Borrowings: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Bank Borrowings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r>
      <w:tr>
        <w:trPr>
          <w:trHeight w:val="180"/>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FHLB Advances</w:t>
            </w: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bank and FHLB borrowings</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202"/>
        </w:trPr>
        <w:tc>
          <w:tcPr>
            <w:tcW w:w="6720" w:type="dxa"/>
            <w:vAlign w:val="bottom"/>
            <w:gridSpan w:val="2"/>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71"/>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5,058</w:t>
            </w:r>
          </w:p>
        </w:tc>
      </w:tr>
      <w:tr>
        <w:trPr>
          <w:trHeight w:val="20"/>
        </w:trPr>
        <w:tc>
          <w:tcPr>
            <w:tcW w:w="4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200" w:hanging="195"/>
        <w:spacing w:after="0"/>
        <w:tabs>
          <w:tab w:leader="none" w:pos="200" w:val="left"/>
        </w:tabs>
        <w:numPr>
          <w:ilvl w:val="0"/>
          <w:numId w:val="6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31, 2025, the 2025 5.00% Notes matured.</w:t>
      </w:r>
    </w:p>
    <w:p>
      <w:pPr>
        <w:ind w:left="200" w:right="180" w:hanging="195"/>
        <w:spacing w:after="0" w:line="226" w:lineRule="auto"/>
        <w:tabs>
          <w:tab w:leader="none" w:pos="196"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w:t>
      </w:r>
    </w:p>
    <w:p>
      <w:pPr>
        <w:ind w:left="200" w:right="20"/>
        <w:spacing w:after="0" w:line="247" w:lineRule="auto"/>
        <w:rPr>
          <w:sz w:val="20"/>
          <w:szCs w:val="20"/>
          <w:color w:val="auto"/>
        </w:rPr>
      </w:pPr>
      <w:r>
        <w:rPr>
          <w:rFonts w:ascii="Times New Roman" w:cs="Times New Roman" w:eastAsia="Times New Roman" w:hAnsi="Times New Roman"/>
          <w:sz w:val="14"/>
          <w:szCs w:val="14"/>
          <w:color w:val="auto"/>
        </w:rPr>
        <w:t>issued additional principal amount of the Company’s 2030 Notes. The transactions were conducted pursuant to exemptions from the registration requirements of the Securities Act. On February 1, 2026, the 2026 Notes matured.</w:t>
      </w:r>
    </w:p>
    <w:p>
      <w:pPr>
        <w:spacing w:after="0" w:line="1" w:lineRule="exact"/>
        <w:rPr>
          <w:sz w:val="20"/>
          <w:szCs w:val="20"/>
          <w:color w:val="auto"/>
        </w:rPr>
      </w:pPr>
    </w:p>
    <w:p>
      <w:pPr>
        <w:ind w:left="200" w:right="140" w:hanging="195"/>
        <w:spacing w:after="0" w:line="231" w:lineRule="auto"/>
        <w:tabs>
          <w:tab w:leader="none" w:pos="196" w:val="left"/>
        </w:tabs>
        <w:numPr>
          <w:ilvl w:val="0"/>
          <w:numId w:val="6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January 28, 2026, $7.9 million of 2026 Notes were tendered and exchanged for 2031 Notes in response to the Company’s offer to exchange the 2026 Notes for newly issued 2031 Notes. The 2031 Notes bear interest at a rate of 8.50% per year payable quarterly on February 1, May 1, August 1 and November 1 of each year, will mature on February 1, 2031. On February 1, 2026, the Company repaid the remaining $87.1 million aggregate principal amount of 2026 Notes outstanding on the 2026 Notes maturity date.</w:t>
      </w:r>
    </w:p>
    <w:p>
      <w:pPr>
        <w:ind w:left="200" w:right="20" w:hanging="195"/>
        <w:spacing w:after="0" w:line="236" w:lineRule="auto"/>
        <w:tabs>
          <w:tab w:leader="none" w:pos="196" w:val="left"/>
        </w:tabs>
        <w:numPr>
          <w:ilvl w:val="0"/>
          <w:numId w:val="6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February 18, 2026, the Company completed an exempt offering of $15.0 million aggregate principal amount of its 8.375% Notes due 2033. 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w:t>
      </w:r>
    </w:p>
    <w:p>
      <w:pPr>
        <w:spacing w:after="0" w:line="1" w:lineRule="exact"/>
        <w:rPr>
          <w:sz w:val="20"/>
          <w:szCs w:val="20"/>
          <w:color w:val="auto"/>
        </w:rPr>
      </w:pPr>
    </w:p>
    <w:p>
      <w:pPr>
        <w:ind w:left="200" w:hanging="195"/>
        <w:spacing w:after="0" w:line="226" w:lineRule="auto"/>
        <w:tabs>
          <w:tab w:leader="none" w:pos="196"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due to the Company’s continued growth in deposits that increased interest expense by $5.4 million. In addition, there was additional interest expense on the 2030 Notes of $1.2 million and an increase in interest expense on bank and FHLB borrowings of $1.2 million. The increase was partially offset by a reduction in Notes payable</w:t>
      </w:r>
    </w:p>
    <w:p>
      <w:pPr>
        <w:spacing w:after="0" w:line="1" w:lineRule="exact"/>
        <w:rPr>
          <w:sz w:val="20"/>
          <w:szCs w:val="20"/>
          <w:color w:val="auto"/>
        </w:rPr>
      </w:pPr>
    </w:p>
    <w:p>
      <w:pPr>
        <w:ind w:left="5580" w:right="4320" w:hanging="5575"/>
        <w:spacing w:after="0" w:line="914" w:lineRule="auto"/>
        <w:tabs>
          <w:tab w:leader="none" w:pos="9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Securitization Trusts of $1.2 million, and a reduction of $1.3 million due to the exchange and maturity of the 2026 Notes.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-244475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and 2025, there was a provision for loan credit losses of $9.6 million and $13.5 million, respectively. The decrease was due to the stabilization of the ACL following three years of reserve build associated with the Company’s adoption of CECL in 2023 and subsequent loan portfolio growth.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0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8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0" w:type="dxa"/>
            <w:vAlign w:val="bottom"/>
          </w:tcPr>
          <w:p>
            <w:pPr>
              <w:spacing w:after="0"/>
              <w:rPr>
                <w:sz w:val="1"/>
                <w:szCs w:val="1"/>
                <w:color w:val="auto"/>
              </w:rPr>
            </w:pPr>
          </w:p>
        </w:tc>
      </w:tr>
      <w:tr>
        <w:trPr>
          <w:trHeight w:val="191"/>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0"/>
        </w:trPr>
        <w:tc>
          <w:tcPr>
            <w:tcW w:w="422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601,050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750,187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15,619</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1,223,601</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1,050,166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2,591,350</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46,241</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1,860,221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2,778,792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2,098,325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224,494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0.69 %</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80"/>
        </w:trPr>
        <w:tc>
          <w:tcPr>
            <w:tcW w:w="4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Savings and NOW</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9,443</w:t>
            </w:r>
          </w:p>
        </w:tc>
        <w:tc>
          <w:tcPr>
            <w:tcW w:w="8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402,834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8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439,567</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407,353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1,675,388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967,974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642,618</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13,745</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712,518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2,318,006</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1,680,492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401,018</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299,308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2,778,792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2,098,325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17,226</w:t>
            </w: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0" w:type="dxa"/>
            <w:vAlign w:val="bottom"/>
          </w:tcPr>
          <w:p>
            <w:pPr>
              <w:spacing w:after="0" w:line="20" w:lineRule="exact"/>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Ratio of average interest-earning assets to average interest bearing</w:t>
            </w: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2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111.79 %</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110.70 %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right"/>
              <w:ind w:right="709"/>
              <w:spacing w:after="0"/>
              <w:rPr>
                <w:sz w:val="20"/>
                <w:szCs w:val="20"/>
                <w:color w:val="auto"/>
              </w:rPr>
            </w:pPr>
            <w:r>
              <w:rPr>
                <w:rFonts w:ascii="Times New Roman" w:cs="Times New Roman" w:eastAsia="Times New Roman" w:hAnsi="Times New Roman"/>
                <w:sz w:val="14"/>
                <w:szCs w:val="14"/>
                <w:color w:val="auto"/>
                <w:w w:val="99"/>
              </w:rPr>
              <w:t>72</w:t>
            </w: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0"/>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Rate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4"/>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1,900</w:t>
            </w:r>
          </w:p>
        </w:tc>
        <w:tc>
          <w:tcPr>
            <w:tcW w:w="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(5,598)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9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(1,828)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3,389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NOW</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9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1,017</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(358)</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5,416</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0" w:type="dxa"/>
            <w:vAlign w:val="bottom"/>
          </w:tcPr>
          <w:p>
            <w:pPr>
              <w:spacing w:after="0"/>
              <w:rPr>
                <w:sz w:val="1"/>
                <w:szCs w:val="1"/>
                <w:color w:val="auto"/>
              </w:rPr>
            </w:pPr>
          </w:p>
        </w:tc>
      </w:tr>
      <w:tr>
        <w:trPr>
          <w:trHeight w:val="17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(5,146)</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8,439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98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2026/2025 Increase/(Decrease)</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7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92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gain on residuals in securitizations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on loans under the fair value option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(374.3)</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2026 and 2025,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on Loan Servicing Assets</w:t>
      </w:r>
    </w:p>
    <w:p>
      <w:pPr>
        <w:spacing w:after="0" w:line="17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(dissolved in September 2025), TSO JV and Newtek ALP Holdings.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larger loss in Net loss on loan servicing assets is due to the decrease in NSBF’s total portfolio of loans during the wind-down.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$93.8 million in the average total loan portfolio for which we earn servicing income period over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61"/>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gains on sales of loans for the three months ended March 31, 2026 and 2025 were as follows:</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6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recognized on sales of loans</w:t>
            </w:r>
          </w:p>
        </w:tc>
        <w:tc>
          <w:tcPr>
            <w:tcW w:w="1840" w:type="dxa"/>
            <w:vAlign w:val="bottom"/>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13,138</w:t>
            </w:r>
          </w:p>
        </w:tc>
      </w:tr>
      <w:tr>
        <w:trPr>
          <w:trHeight w:val="180"/>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Losses recognized on sales of loans</w:t>
            </w:r>
          </w:p>
        </w:tc>
        <w:tc>
          <w:tcPr>
            <w:tcW w:w="1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96"/>
        </w:trPr>
        <w:tc>
          <w:tcPr>
            <w:tcW w:w="20" w:type="dxa"/>
            <w:vAlign w:val="bottom"/>
          </w:tcPr>
          <w:p>
            <w:pPr>
              <w:spacing w:after="0"/>
              <w:rPr>
                <w:sz w:val="16"/>
                <w:szCs w:val="16"/>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840" w:type="dxa"/>
            <w:vAlign w:val="bottom"/>
            <w:tcBorders>
              <w:bottom w:val="single" w:sz="8" w:color="auto"/>
            </w:tcBorders>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12,961</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700" w:type="dxa"/>
            <w:vAlign w:val="bottom"/>
            <w:tcBorders>
              <w:top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71"/>
        </w:trPr>
        <w:tc>
          <w:tcPr>
            <w:tcW w:w="5820" w:type="dxa"/>
            <w:vAlign w:val="bottom"/>
          </w:tcPr>
          <w:p>
            <w:pPr>
              <w:spacing w:after="0"/>
              <w:rPr>
                <w:sz w:val="14"/>
                <w:szCs w:val="14"/>
                <w:color w:val="auto"/>
              </w:rPr>
            </w:pPr>
          </w:p>
        </w:tc>
        <w:tc>
          <w:tcPr>
            <w:tcW w:w="9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9"/>
              </w:rPr>
              <w:t># of Loans</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 Amount</w:t>
            </w:r>
          </w:p>
        </w:tc>
      </w:tr>
      <w:tr>
        <w:trPr>
          <w:trHeight w:val="18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originated</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898</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202,420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542</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213,381</w:t>
            </w:r>
          </w:p>
        </w:tc>
      </w:tr>
      <w:tr>
        <w:trPr>
          <w:trHeight w:val="18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SBA guaranteed loans sold</w:t>
            </w:r>
          </w:p>
        </w:tc>
        <w:tc>
          <w:tcPr>
            <w:tcW w:w="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323</w:t>
            </w:r>
          </w:p>
        </w:tc>
        <w:tc>
          <w:tcPr>
            <w:tcW w:w="300" w:type="dxa"/>
            <w:vAlign w:val="bottom"/>
          </w:tcPr>
          <w:p>
            <w:pPr>
              <w:spacing w:after="0"/>
              <w:rPr>
                <w:sz w:val="15"/>
                <w:szCs w:val="15"/>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95,878</w:t>
            </w:r>
          </w:p>
        </w:tc>
        <w:tc>
          <w:tcPr>
            <w:tcW w:w="10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335</w:t>
            </w:r>
          </w:p>
        </w:tc>
        <w:tc>
          <w:tcPr>
            <w:tcW w:w="320" w:type="dxa"/>
            <w:vAlign w:val="bottom"/>
          </w:tcPr>
          <w:p>
            <w:pPr>
              <w:spacing w:after="0"/>
              <w:rPr>
                <w:sz w:val="15"/>
                <w:szCs w:val="15"/>
                <w:color w:val="auto"/>
              </w:rPr>
            </w:pP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100,546</w:t>
            </w:r>
          </w:p>
        </w:tc>
      </w:tr>
      <w:tr>
        <w:trPr>
          <w:trHeight w:val="180"/>
        </w:trPr>
        <w:tc>
          <w:tcPr>
            <w:tcW w:w="6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Average sale price as a percent of principal balance</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110.23 %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111.16 %</w:t>
            </w:r>
          </w:p>
        </w:tc>
      </w:tr>
    </w:tbl>
    <w:p>
      <w:pPr>
        <w:spacing w:after="0" w:line="217" w:lineRule="exact"/>
        <w:rPr>
          <w:sz w:val="20"/>
          <w:szCs w:val="20"/>
          <w:color w:val="auto"/>
        </w:rPr>
      </w:pPr>
    </w:p>
    <w:p>
      <w:pPr>
        <w:ind w:left="140" w:hanging="135"/>
        <w:spacing w:after="0"/>
        <w:tabs>
          <w:tab w:leader="none" w:pos="140"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the average sale price on SBA 7(a) loans as a percent of principal balance was 110.23% compared to 111.16% for the prior period. The decrease in sales prices in 2026 resulted from lower demand. The increase in overall net gains on sales of loans resulted from the addition of $13.9 million servicing assets related to the 2026-1 Trust securitization partially offset by lower volumes of sales compared to the prior year at lower market premiums than the prior year. Additionally, the decrease in SBA 7(a) guaranteed loans sold is primarily due to management holding the loans for a longer period of time.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selected statistics on the historical net premiums on sales of guaranteed portions of SBA 7(a) loans realized by NewtekOne:</w:t>
      </w:r>
    </w:p>
    <w:p>
      <w:pPr>
        <w:spacing w:after="0" w:line="2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SBA 7(a) Sales Price as Percent of Principal Balance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2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4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110.42 %</w:t>
            </w:r>
          </w:p>
        </w:tc>
      </w:tr>
      <w:tr>
        <w:trPr>
          <w:trHeight w:val="18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110.97 %</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114.80 %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111.19 %</w:t>
            </w:r>
          </w:p>
        </w:tc>
      </w:tr>
      <w:tr>
        <w:trPr>
          <w:trHeight w:val="18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110.45 %</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114.06 %</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107.80 %</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110.46 %</w:t>
            </w:r>
          </w:p>
        </w:tc>
      </w:tr>
      <w:tr>
        <w:trPr>
          <w:trHeight w:val="18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110.23 %</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114.83 %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108.66 %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110.26 %</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107.18 %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110.74 %</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Gain on Residuals in Securitizations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Net (loss) gain on residuals in securitizations for the three months ended March 31, 2026 were $56.1 million. There were no net gains on residuals in securitizations for the three months ended March 31, 2025. This resulted from the Company’s equity interest in the 2025-1 Securitization Trust and the 2026-1 Securitization Trusts which closed on April 23, 2025 and January 21, 2026, respectively. To consummate the 2026-1 transaction, $341.8 million of ALP loans held for sale at fair value were sold into the securitization trust at par. This resulted in $66.4 million of previously recorded gains on ALP loans under the fair value option to be reversed, which was a large driver of the change described in the section below. The residual in the securitization (represented by the ownership certificates) was then valued resulting in a gain that was netted against the transaction costs. Refer to NOTE 3—SECURITIZATIONS AND VARIABLE INTEREST ENTITIES in the accompanying notes to the consolidated financial statements for additional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Accounted for Under the Fair Value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for the three months ended March 31, 2026 and 2025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1"/>
        </w:trPr>
        <w:tc>
          <w:tcPr>
            <w:tcW w:w="5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(67,820)</w:t>
            </w:r>
          </w:p>
        </w:tc>
      </w:tr>
      <w:tr>
        <w:trPr>
          <w:trHeight w:val="171"/>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(67,655)</w:t>
            </w:r>
          </w:p>
        </w:tc>
      </w:tr>
      <w:tr>
        <w:trPr>
          <w:trHeight w:val="20"/>
        </w:trPr>
        <w:tc>
          <w:tcPr>
            <w:tcW w:w="5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unrealized gain (loss) on loans accounted for under the fair value option relates to the guaranteed portions of SBA loans made which the Company sells into a secondary market, the unguaranteed</w:t>
      </w:r>
    </w:p>
    <w:p>
      <w:pPr>
        <w:spacing w:after="0" w:line="2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4"/>
          <w:szCs w:val="14"/>
          <w:color w:val="auto"/>
        </w:rPr>
        <w:t>portions of SBA loans made which the Company holds, SBA 504 loans that are HFS, and ALP loans that are held for sale. This unrealized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64"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recorded unrealized losses on SBA 7(a) unguaranteed loans accounted for under the fair value option as the portfolio paid down. During the three months ended March 31, 2025, the Company recorded unrealized gains on SBA 7(a) guaranteed loans accounted for under the fair value option primarily due to holding guaranteed portions of SBA 7(a) loans for longer periods of time.</w:t>
      </w:r>
    </w:p>
    <w:p>
      <w:pPr>
        <w:spacing w:after="0" w:line="15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The $67.8 million decrease in unrealized gain on loans accounted for under the fair value option from SBA 504 and Non-SBA loans is primarily volume driven from the reversal of the previous gains on ALP loans to consummate the NALP 2026-1 transaction as noted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Electronic Payment Processing Income</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$0.2 million decrease in electronic payment processing revenue for the three months ended March 31, 2026 corresponded with the decrease in electronic payment processing expense of $0.3 million for the three months ended March 31, 2026.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and 2025, other noninterest income related primarily to loan origination fees (legal and packaging) on loans sold or carried at fair value. Other items that contributed to the $2.2 million increase included an increase on prepayment and late fees earned from SBA 7(a) loans. The Company originated 898 of SBA 7(a) loans compared to 542 loans for the three months ended March 31, 2026 and 2025, respectively. Adding to the increase was $2.5 million of net unrealized losses on joint ventures and other investments for the three months ended March 31, 2026 compared to unrealized gains on joint ventures and other investments of $1.1 million in the prior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2"/>
        </w:trPr>
        <w:tc>
          <w:tcPr>
            <w:tcW w:w="4920" w:type="dxa"/>
            <w:vAlign w:val="bottom"/>
          </w:tcPr>
          <w:p>
            <w:pPr>
              <w:spacing w:after="0"/>
              <w:rPr>
                <w:sz w:val="17"/>
                <w:szCs w:val="17"/>
                <w:color w:val="auto"/>
              </w:rPr>
            </w:pPr>
          </w:p>
        </w:tc>
        <w:tc>
          <w:tcPr>
            <w:tcW w:w="3140" w:type="dxa"/>
            <w:vAlign w:val="bottom"/>
            <w:gridSpan w:val="6"/>
          </w:tcPr>
          <w:p>
            <w:pPr>
              <w:ind w:left="6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00" w:type="dxa"/>
            <w:vAlign w:val="bottom"/>
          </w:tcPr>
          <w:p>
            <w:pPr>
              <w:spacing w:after="0"/>
              <w:rPr>
                <w:sz w:val="17"/>
                <w:szCs w:val="17"/>
                <w:color w:val="auto"/>
              </w:rPr>
            </w:pPr>
          </w:p>
        </w:tc>
        <w:tc>
          <w:tcPr>
            <w:tcW w:w="288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2026/2025 Increase/(Decrease)</w:t>
            </w:r>
          </w:p>
        </w:tc>
      </w:tr>
      <w:tr>
        <w:trPr>
          <w:trHeight w:val="171"/>
        </w:trPr>
        <w:tc>
          <w:tcPr>
            <w:tcW w:w="4920" w:type="dxa"/>
            <w:vAlign w:val="bottom"/>
          </w:tcPr>
          <w:p>
            <w:pPr>
              <w:spacing w:after="0"/>
              <w:rPr>
                <w:sz w:val="14"/>
                <w:szCs w:val="14"/>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96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5"/>
                <w:szCs w:val="15"/>
                <w:color w:val="auto"/>
              </w:rPr>
            </w:pPr>
          </w:p>
        </w:tc>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tcPr>
          <w:p>
            <w:pPr>
              <w:spacing w:after="0"/>
              <w:rPr>
                <w:sz w:val="15"/>
                <w:szCs w:val="15"/>
                <w:color w:val="auto"/>
              </w:rPr>
            </w:pPr>
          </w:p>
        </w:tc>
        <w:tc>
          <w:tcPr>
            <w:tcW w:w="1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41.0</w:t>
            </w: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expense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Employee Benefits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salaries and employee benefits was primarily attributable to higher benefit costs, including medical and other insurance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Electronic Payment Processing Expense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$0.3 million decrease in electronic payment processing expense for the three months ended March 31, 2026 corresponded with the $0.2 million decrease in electronic payment processing revenue for the three months ended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Services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professional fees period over period is primarily attributable to a decrease in audit and legal fees</w:t>
      </w:r>
      <w:r>
        <w:rPr>
          <w:rFonts w:ascii="Times New Roman" w:cs="Times New Roman" w:eastAsia="Times New Roman" w:hAnsi="Times New Roman"/>
          <w:sz w:val="14"/>
          <w:szCs w:val="14"/>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Other loan origination and maintenance expenses during the three months ended March 31, 2026, was $6.2 million compared to $4.4 million for the three months ended March 31, 2025. The increase was due to the increase in loans originated during the period.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2026/2025 Increase/(Decrease)</w:t>
            </w:r>
          </w:p>
        </w:tc>
      </w:tr>
      <w:tr>
        <w:trPr>
          <w:trHeight w:val="171"/>
        </w:trPr>
        <w:tc>
          <w:tcPr>
            <w:tcW w:w="364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1180" w:type="dxa"/>
            <w:vAlign w:val="bottom"/>
            <w:tcBorders>
              <w:top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20,204</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14,177</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Lending</w:t>
            </w: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(14,671)</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&amp; Other</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(10,648)</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18,236</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6"/>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18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banking segment includes Newtek Bank as well as its consolidated subsidiary SBL. The financial results include the origination, sale, and servicing of SBA 7(a) loans, SBA 504 loans, C&amp;I loans, C&amp;I LA loans, CRE loans and ABL loans. In addition, Newtek Bank offers depository services.</w:t>
      </w:r>
    </w:p>
    <w:p>
      <w:pPr>
        <w:spacing w:after="0" w:line="12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results include $18.0 million of net interest income during the three months ended March 31, 2026 compared to $12.7 million of net interest income during the three months ended March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19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Alternative Lending includes NALH (Newtek ALP Holdings) and its subsidiaries. The Company originated loans under its Alternative Lending Program (ALP) from 2019 to December 2025. Prior to July 1, 2024, the Company originated ALP loans with the intent to sell to a JV, and from 2024 until the December 2025, NALH originated ALP loans HFS with the intent to securitize its ALP loan portfolio.</w:t>
      </w:r>
    </w:p>
    <w:p>
      <w:pPr>
        <w:spacing w:after="0" w:line="16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Within the segment’s results are $3.9 million of noninterest income for the three months ended March 31, 2026, compared to $20.3 million during the three months ended March 31, 2025. The net income also included $1.9 million and $2.8 million of noninterest expense for the three months ended March 31, 2026 and 2025, respectively. The reduction in income for the three months ended March 31, 2026 as compared to the three months ended March 31, 2025 resulted from loan originations no longer being originated by NALH subsequent to December 31, 2025. Beginning in the first quarter of 2026, the Company originated C&amp;I LA loans (formerly ALP loans) from Newtek Bank as opposed to NALH. Therefore, the origination fees associated with C&amp;I LA loans were recognized at Newtek Bank in the first quarter of 2026 instead of under the Alternative Lending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relates to NSBF’s legacy portfolio of SBA 7(a) loans held outside Newtek Bank. The change in net income is due to the wind-down of NSBF’s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includes NMS, POS and Mobil Money.</w:t>
      </w:r>
    </w:p>
    <w:p>
      <w:pPr>
        <w:spacing w:after="0" w:line="17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Within the segment’s results are $10.9 million of noninterest income for the three months ended March 31, 2026, resulting from marketing credit and debit card processing services, check approval services, processing equipment, and software, compared to $11.4 million during the three months ended March 31, 2025. The net income also included $6.9 million and $7.2 million of noninterest expense for the three months ended March 31, 2026 and 2025,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 actively manages liquidity to support business operations and meet obligations through ongoing monitoring of deposit trends and funding sources. In addition, the Company performs stress testing designed to assess our ability to meet both expected and unexpected cash flow needs. Management believes current liquidity levels are sufficient to support planned operations and react to reasonably foreseeable market volatility.</w:t>
      </w:r>
    </w:p>
    <w:p>
      <w:pPr>
        <w:spacing w:after="0" w:line="1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liquidity and capital resources are derived from our deposits, Company notes, securitization transactions and earnings and cash flows from operations, including loan sales and repayments. The Company maintains a diversified deposit base across its customers. In the three months ended March 31, 2026,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Original ATM Equity Distribution Agreement, which was amended and restated on June 6, 2025. The Amended and Restated Equity Distribution Agreement provides that the Company may offer and sell up to 5,000,000 shares of Common Stock from time to time through the placement agents. On November 1, 2024, the Company’s Board of Directors approved a new stock repurchase program granting the Company authority to repurchase up to 1.0 million shares of Company common stock during the next twelve months. On November 7, 2025, the Company’s Board of Directors approved a twelve month extension of the stock repurchase program. In addition, on September 11, 2025, the Board approved a debt repurchase program granting the Company authority to repurchase up to $5.0 million aggregate principal amount of the Company’s 2029 Notes during the following six months. On April 24, 2026, the Board approved a debt repurchase program granting the Company authority to repurchase up to</w:t>
      </w:r>
    </w:p>
    <w:p>
      <w:pPr>
        <w:spacing w:after="0" w:line="1"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4"/>
          <w:szCs w:val="14"/>
          <w:color w:val="auto"/>
        </w:rPr>
        <w:t>$5.0 million aggregate principal amount of the Company’s 2028 Notes and 2029 Notes during the following twelve months. Refer to NOTE 19—SUBSEQUENT EVENTS for additional information.</w:t>
      </w:r>
    </w:p>
    <w:p>
      <w:pPr>
        <w:spacing w:after="0" w:line="159" w:lineRule="exact"/>
        <w:rPr>
          <w:sz w:val="20"/>
          <w:szCs w:val="20"/>
          <w:color w:val="auto"/>
        </w:rPr>
      </w:pPr>
    </w:p>
    <w:p>
      <w:pPr>
        <w:jc w:val="both"/>
        <w:ind w:right="240"/>
        <w:spacing w:after="0" w:line="287" w:lineRule="auto"/>
        <w:rPr>
          <w:sz w:val="20"/>
          <w:szCs w:val="20"/>
          <w:color w:val="auto"/>
        </w:rPr>
      </w:pPr>
      <w:r>
        <w:rPr>
          <w:rFonts w:ascii="Times New Roman" w:cs="Times New Roman" w:eastAsia="Times New Roman" w:hAnsi="Times New Roman"/>
          <w:sz w:val="14"/>
          <w:szCs w:val="14"/>
          <w:color w:val="auto"/>
        </w:rPr>
        <w:t>Based on management’s assessment as of the reporting date, the Company has not identified trends or uncertainties related to credit quality, liquidity, or capital that are reasonably likely to have a material adverse effect on its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The Company and Newtek Bank are primarily constrained by the Total Capital and Leverage ratios given the mix of assets vis-a-vis capital. The Company and Newtek Bank are subject to various regulatory capital requirements administered by the Federal banking agencies. The Company and the Bank manage their capital to comply with their internal planning targets and regulatory capital standards administered by federal banking agencies.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the Company as of March 31, 2026 and 2025 are presented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4"/>
                <w:szCs w:val="14"/>
                <w:color w:val="auto"/>
              </w:rPr>
            </w:pPr>
          </w:p>
        </w:tc>
        <w:tc>
          <w:tcPr>
            <w:tcW w:w="2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6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March 31, 2026</w:t>
            </w:r>
          </w:p>
        </w:tc>
        <w:tc>
          <w:tcPr>
            <w:tcW w:w="20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356,775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108,939</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308,594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89,018</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356,775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118,268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381,754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158,240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March 31, 2025</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87,369</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290,072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116,492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7" w:lineRule="exact"/>
        <w:rPr>
          <w:sz w:val="20"/>
          <w:szCs w:val="20"/>
          <w:color w:val="auto"/>
        </w:rPr>
      </w:pPr>
    </w:p>
    <w:p>
      <w:pPr>
        <w:ind w:left="80" w:hanging="75"/>
        <w:spacing w:after="0"/>
        <w:tabs>
          <w:tab w:leader="none" w:pos="80"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Under the applicable regulatory capital standards, Newtek Bank remained “well-capitalized” under the prompt corrective action measures as of the reporting date, with capital ratios exceeding minimum regulatory requirements and surpassing the capital conservation buffer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Newtek Bank as of March 31, 2026, and 2025 are presented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6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March 31, 2026</w:t>
            </w:r>
          </w:p>
        </w:tc>
        <w:tc>
          <w:tcPr>
            <w:tcW w:w="200" w:type="dxa"/>
            <w:vAlign w:val="bottom"/>
          </w:tcPr>
          <w:p>
            <w:pPr>
              <w:spacing w:after="0"/>
              <w:rPr>
                <w:sz w:val="13"/>
                <w:szCs w:val="13"/>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170,832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75,091</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93,864</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100,037</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92,342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190,451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153,590</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March 31, 2025</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60,396</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61,544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75,747</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138,576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94,683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37" w:lineRule="exact"/>
        <w:rPr>
          <w:sz w:val="20"/>
          <w:szCs w:val="20"/>
          <w:color w:val="auto"/>
        </w:rPr>
      </w:pPr>
    </w:p>
    <w:p>
      <w:pPr>
        <w:ind w:left="80" w:hanging="75"/>
        <w:spacing w:after="0"/>
        <w:tabs>
          <w:tab w:leader="none" w:pos="80"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ATM Program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Original ATM Equity Distribution Agreement. The Original ATM Equity Distribution Agreement provided that the Company may offer and sell up to 3.0 million shares of Common Stock from time to time through the placement agents thereunder. The Original ATM Equity Distribution Agreement was amended and restated on June 6, 2025.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ATM Program during the three months ended March 31, 2026 and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ATM Program</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On March 13, 2026, the Company entered into a Securities Distribution Agreement (the “Securities Distribution Agreement”), by and among the Company, B. Riley Securities, Inc., Compass Point Research and Trading, LLC and Roth Capital Partners, LLC (collectively, the “Placement Agents”). Pursuant to the Securities Distribution Agreement, the Company may offer and sell up to $50.0 million aggregate principal amount (with respect to the Notes (as defined below)) and liquidation preference (with respect to the Depositary Shares (as defined below)) of its 8.50% Fixed Rate Senior Notes due 2029 (the “8.50% 2029 Notes”), 8.625% Fixed Rate Senior Notes due 2029 (the “8.625% 2029 Notes”) and/or 8.50% Fixed Rate Senior Notes due 2031 (the “2031 Notes,” and, together with the 8.50% 2029 Notes and the 8.625% 2029 Notes, the “Notes”) and its Depositary Shares, each representing a 1/40th interest in a share of 8.50% Fixed-Rate Reset Non-Cumulative Perpetual Preferred Stock (the “Depositary Shares,” and, together with the Notes, the “Securities”) from time to time through the Placement Agents acting as its sales agents in “at the market offerings” as defined in Rule 415 under the Securities Act of 1933, as amended, including sales made directly on or through Nasdaq Global Market® or any other existing trading market in the United States for the Company’s Securities, sales made to or through a market maker other than on an exchange or otherwise, directly to the Placement Agents as principals, in negotiated transactions at market prices prevailing at the time of sale or at prices related to such prevailing market prices and/or in any other method permitted by law. The Securities Distribution Agreement became effective as of March 12,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Securities Distribution Agreement during the three months ended March 31, 2026.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and Debt Repurchase Programs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On November 1, 2024, the Company’s Board approved a new stock repurchase program granting the Company authority to repurchase up to 1.0 million shares of Company common stock during the following twelve months. On November 7, 2025, the Company’s Board of Directors approved a twelve month extension of the stock repurchase program.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 In addition, on September 11, 2025, the Board approved a debt repurchase program granting the Company authority to repurchase up to $5.0 million aggregate principal amount of the Company’s 2029 Notes during the following six months. On April 24, 2026, the Board approved a debt repurchase program granting the Company authority to repurchase up to $5.0 million aggregate principal amount of the Company’s 2028 Notes and 2029 Notes during the following twelve months. Refer to NOTE 19—SUBSEQUENT EVENTS for additional information. The actual timing and amount of any repurchases under the debt repurchase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stock repurchase program during the three months ended March 31, 2026 and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activity under the debt repurchase program during the three months ended March 31,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Notes</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January 28, 2026, $7.9 million of 2026 Notes were tendered and exchanged for 2031 Notes in response to the Company’s offer to exchange the 2026 Notes for newly issued 2031 Notes. The 2031 Notes bear interest at a rate of 8.50% per year payable quarterly on February 1, May 1, August 1 and November 1 of each year, will mature on February 1, 2031, and may be redeemed at the Company’s option, in whole or in part at any time or from time to time on or after February 1, 2028 at a redemption price of 100% of the outstanding principal amount of the 2031 Notes to be redeemed plus accrued and unpaid interest payments otherwise payable thereon for the then-current quarterly interest period accrued to, but excluding, the date fixed for redemption. The 2031 Notes trade on the Nasdaq Global Market under the trading symbol “NEWTO.” At March 31, 2026, the Company was in compliance with all covenants related to the 2031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2029 8.50% Notes, which includes the underwriters’ exercise of the option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granted by the Company to purchase an additional $9.4 million in aggregate principal amount of the 2029 8.50% Notes. The 2029 8.5% Notes will mature on June 1, 2029. The Company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$69.6 million in proceeds, before expenses, from the sale of the 2029 8.50% Notes. The 2029 8.50% Notes bear interest at a rate of 8.50% per year payable quarterly on March 1, June 1, September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December 1 of each year, commencing on September 1, 2024, and trade on the Nasdaq Global Market under the trading symbol “NEWTG.” At March 31, 2026, the Company was in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all covenants related to the 2029 8.50% Notes.</w:t>
      </w:r>
    </w:p>
    <w:p>
      <w:pPr>
        <w:spacing w:after="0" w:line="18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On September 16, 2024, the Company completed a registered offering of $75.0 million aggregate principal amount of 2029 8.625% Notes. The 2029 8.625% Notes are scheduled to mature on October 15, 2029. The Company received $72.8 million in proceeds, before expenses, from the sale of the 2029 8.625% Notes. These Notes bear interest at a rate of 8.625% per year, payable quarterly on January 15, April 15, July 15, and October 15 each year, commencing on January 15, 2025, and trade on the Nasdaq Global Market under the trading symbol “NEWTH.” At March 31, 2026, the Company was in compliance with all covenants related to the 2029 8.625%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The 2028 Notes are scheduled to mature on September 1, 2028.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March 31, 2026, the Company was in compliance with all covenants related to the 2028 Notes.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In January 2021, the Company completed a registered offering of $115.0 million aggregate principal amount of 5.50% 2026 Notes. The sale of the 2026 Notes generated proceeds of approximately $111.3 million, net of underwriter's fees and expenses. The 2026 Notes are scheduled to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March 31, 2026, the Company was in compliance with all covenants related to the 2026 Notes.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The transactions were conducted pursuant to exemptions from the registration requirements of the Securities Act.</w:t>
      </w:r>
    </w:p>
    <w:p>
      <w:pPr>
        <w:spacing w:after="0" w:line="17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On January 28, 2026, $7.9 million of 2026 Notes were tendered and exchanged for 2031 Notes in response to the Company’s offer to exchange the 2026 Notes for newly issued 2031 Notes. Refer to 2031 Notes above for further detail.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2026, the Company repaid the remaining $87.1 million aggregate principal amount of 2026 Notes outstanding on the 2026 Notes maturity date.</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The 2031, 2029 and 2028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these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 for the 2026 Notes included covenants requiring the Company to comply with (regardless of whether it is subject to), amongst other things, the asset coverage requirements set forth in Section 18(a)(1)(A) of the 1940 Act as modified by Section 61(a) of the 1940 Act (or any successor provisions). At March 31, 2026, the Company was in compliance with all covenants related to the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2033 Notes</w:t>
      </w:r>
    </w:p>
    <w:p>
      <w:pPr>
        <w:spacing w:after="0" w:line="2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On February 18, 2026, the Company completed an exempt offering of $15.0 million aggregate principal amount of its 8.375% Notes due 2033 (the “ 2033 Notes” and the "Offering"). The Offering was consummated pursuant to the terms of a purchase agreement (the “Purchase Agreement”) dated February 17, 2026 between the Company and an institutional accredited investor (the “Purchaser”). The Purchase Agreement provided for the Note to be issued to the Purchaser in a private placement in reliance on Section 4(a)(2) of the Securities Act of 1933, as amended (the “Securities Act”). The Company relied upon this exemption from registration based in part on representations made by the Purchaser. The 2033 Notes have not been registered under the Securities Act and may not be offered or sold in the United States absent registration or an applicable exemption from registration. The net proceeds from the sale of the 2033 Notes were approximately $14.9 million. The Company intends to use the net proceeds from the sale of the 2033 Notes for general corporate purposes.</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 The 2033 Notes will be the Company’s direct unsecured obligation and ranks pari passu, or equal, with all outstanding and future unsecured unsubordinated indebtedness issued by the Company. The 2033 Notes will be effectively subordinated to the Company’s existing and future secured indebtedness to the extent of the value of the assets securing such indebtedness, and structurally subordinated to all existing and future indebtedness and other obligations of any of the Company’s subsidiaries. At March 31, 2026, the Company was in compliance with all covenants related to the 2033 Notes.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offering was consummated pursuant to the terms of a purchase agreement dated March 19, 2025 among the Company and 11 institutional accredited investors. The purchase agreement provided for the 2030 Notes to be issued to the Purchaser in a private placement in reliance on Section 4(a)(2) of the Securities Act. The 2030 Notes are scheduled to mature on April 1, 2030 and could be redeemed in whole or in part at any time. The 2030 Notes bear interest at a rate of 8.375% per year payable semiannually on April 1 and October 1 each year, beginning October 1, 2025.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4"/>
          <w:szCs w:val="14"/>
          <w:color w:val="auto"/>
        </w:rPr>
        <w:t>On January 23, 2023 the Company completed a private placement offering of $50.0 million aggregate principal amount of 8.125% notes due 2025. The net proceeds from the sale of the notes were approximately $48.94 million, after deducting estimated offering expenses payable by the Company. 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Webster Note</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September 26, 2025, the Company’s wholly-owned subsidiary NMS repaid in full all of the outstanding obligations under the Webster Credit Agreement, dated as of November 8, 2018. As a result, the Webster Credit Agreement and the other loan documents executed in connection therewith have been terminated, including the Parent Guaranty Agreement, dated as of November 8, 2018, by and between the Company and Webster Bank. No early termination penalties were incurred by the Company or the Loan Parties as a result of the termination. As a result of the termination, the Company recognized a $0.2 million loss on extinguishment of debt in the three and nine months ended September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Goldman Facility</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On September 26, 2025, NMS and its wholly-owned subsidiary, Mobil Money, LLC (collectively, the “Borrowers”), together with NBSH Holdings, LLC, the direct sole member of NMS, as guarantor, entered into a Credit and Guaranty Agreement (the “Goldman Credit Agreement”), with Private Credit at Goldman Sachs Alternatives ("Goldman") as Administrative Agent and Collateral Agent thereunder and the lenders party thereto from time to time (the “Lenders”). Pursuant to the terms of the Goldman Credit Agreement, the Lenders made available to the Borrowers term loans up to an aggregate principal amount of $90.0 million (the “Term Loans”) and a revolving facility up to an aggregate principal amount of $5.0 million (together with the Term Loans, collectively the “Goldman Facility”). The Goldman Facility will mature on September 26, 2030. The Company incurred approximately $1.3 million of deferred financing costs in connection with the Goldman Facility.</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September 26, 2025, the Borrowers drew down the full $90.0 million in Term Loans and used the proceeds to repay in full the outstanding amounts under the Webster Facility and pay transaction expenses related to the closing of the Goldman Facility. In addition, the Borrowers intend to use the proceeds to fund $58.5 million of loans to the Company. The Company intends to use the proceeds of such loans to repay and reduce the Company’s outstanding unsecured debt, repurchase Company common shares (subject to market conditions and the terms of existing or any future share repurchase authorizations by the Company’s board of directors) and for other general corporate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Pursuant to the terms of the guaranty under the Goldman Credit Agreement, NBSH has unconditionally guaranteed the prompt and unconditional payment of all of the Borrowers’ obligations under the Goldman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SPV I, II, and III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Newtek ALP Holdings’ subsidiaries (our indirect subsidiaries) SPV I, II, and III maintain credit facilities with third party lenders. SPV I had a Capital One facility with maximum borrowings of</w:t>
      </w:r>
    </w:p>
    <w:p>
      <w:pPr>
        <w:spacing w:after="0" w:line="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$60.0 million. Capital One’s commitment was scheduled to terminate in July 2027, with all amounts due under the SPV I Facility maturing in August 2028. On March 25, 2026 the SPV I Capital One Facility was fully repaid and terminated. SPV II has a Deutsche Bank facility with maximum borrowings $170.0 million. The Deutsche Bank Facility matures in December 2027. At March 31, 2026, total principal owed by SPV II was $5.1 million. SPV III has a One Florida Bank facility with maximum borrowings of $35.0 million. One Florida Bank’s facility matures in August 2028. At March 31, 2026, total principal owed by SPV III was $30.2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Payable - Securitization Trusts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assets in SBA 7(a) Unguaranteed Non-Affiliate Investments and reflects the associated financing in Borrowings on the Consolidated Statements of Financial Condition.</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assets in a private placement. The Class A and Class B notes received an “A” and “BBB-” rating by S&amp;P, respectively, and the final maturity date of the notes is December 2044. The Class A and Class B notes bear interest at a rate of adjusted SOFR plus 1.92% across both classes. NSBF has the right to call the 2021-1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NSBF has the right to call the 2022-1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NSBF has the right to call the 2023-1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4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March 31, 2026 and December 31, 2025:</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2"/>
        </w:trPr>
        <w:tc>
          <w:tcPr>
            <w:tcW w:w="7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Availability as of</w:t>
            </w:r>
          </w:p>
        </w:tc>
      </w:tr>
      <w:tr>
        <w:trPr>
          <w:trHeight w:val="171"/>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4"/>
                <w:szCs w:val="14"/>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4,196</w:t>
            </w:r>
          </w:p>
        </w:tc>
      </w:tr>
      <w:tr>
        <w:trPr>
          <w:trHeight w:val="35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24"/>
                <w:szCs w:val="24"/>
                <w:color w:val="auto"/>
              </w:rPr>
            </w:pPr>
          </w:p>
        </w:tc>
        <w:tc>
          <w:tcPr>
            <w:tcW w:w="1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9,591</w:t>
            </w: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350"/>
        </w:trPr>
        <w:tc>
          <w:tcPr>
            <w:tcW w:w="7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80" w:type="dxa"/>
            <w:vAlign w:val="bottom"/>
          </w:tcPr>
          <w:p>
            <w:pPr>
              <w:spacing w:after="0"/>
              <w:rPr>
                <w:sz w:val="24"/>
                <w:szCs w:val="24"/>
                <w:color w:val="auto"/>
              </w:rPr>
            </w:pPr>
          </w:p>
        </w:tc>
        <w:tc>
          <w:tcPr>
            <w:tcW w:w="1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375,599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279,618</w:t>
            </w:r>
          </w:p>
        </w:tc>
      </w:tr>
      <w:tr>
        <w:trPr>
          <w:trHeight w:val="181"/>
        </w:trPr>
        <w:tc>
          <w:tcPr>
            <w:tcW w:w="74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FHLB borrowing availability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66,311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63,296</w:t>
            </w:r>
          </w:p>
        </w:tc>
      </w:tr>
      <w:tr>
        <w:trPr>
          <w:trHeight w:val="180"/>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472,446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386,701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Availability as of March 31, 2026 and December 31, 2025 is based on collateral pledged as of that date.</w:t>
      </w:r>
    </w:p>
    <w:p>
      <w:pPr>
        <w:spacing w:after="0" w:line="15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 Company has restricted cash of $22.2 million as of March 31, 2026. NSBF holds $5.3 million of the Company’s restricted cash, which includes reserves in the event payments are insufficient to cover interest and/or principal with respect to securitizations and loan principal and interest collected which are due to loan participants. In addition, the Company has funded a $10.0 million account to fund certain of NSBF’s potential obligations to the SBA pursuant to the Wind-down Agreement. of which the Company is a guarantor. The majority of the Company’s remaining restricted cash is held by the parent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5"/>
        </w:trPr>
        <w:tc>
          <w:tcPr>
            <w:tcW w:w="7460" w:type="dxa"/>
            <w:vAlign w:val="bottom"/>
          </w:tcPr>
          <w:p>
            <w:pPr>
              <w:spacing w:after="0"/>
              <w:rPr>
                <w:sz w:val="23"/>
                <w:szCs w:val="23"/>
                <w:color w:val="auto"/>
              </w:rPr>
            </w:pPr>
          </w:p>
        </w:tc>
        <w:tc>
          <w:tcPr>
            <w:tcW w:w="314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23"/>
                <w:szCs w:val="23"/>
                <w:color w:val="auto"/>
              </w:rPr>
            </w:pPr>
          </w:p>
        </w:tc>
      </w:tr>
      <w:tr>
        <w:trPr>
          <w:trHeight w:val="171"/>
        </w:trPr>
        <w:tc>
          <w:tcPr>
            <w:tcW w:w="74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(257,460)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(60,704)</w:t>
            </w: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(85,262)</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(79,245)</w:t>
            </w: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435,447</w:t>
            </w:r>
          </w:p>
        </w:tc>
        <w:tc>
          <w:tcPr>
            <w:tcW w:w="10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w:t>
            </w: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restricted cash</w:t>
            </w:r>
          </w:p>
        </w:tc>
        <w:tc>
          <w:tcPr>
            <w:tcW w:w="1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(87,240)</w:t>
            </w: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Deconsolidation of cash and restricted cash from controlled investments related to business dispositions</w:t>
            </w:r>
          </w:p>
        </w:tc>
        <w:tc>
          <w:tcPr>
            <w:tcW w:w="1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1160" w:type="dxa"/>
            <w:vAlign w:val="bottom"/>
            <w:tcBorders>
              <w:top w:val="single" w:sz="8" w:color="auto"/>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294,134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operating activities used cash of $257.5 million, consisting primarily of (i) $268.0 million of funding loans held for sale and (ii) $51.1 million increase in settlement receivables. These uses of cash were partially offset by $118.9 million of proceeds from the sale of loans.</w:t>
      </w:r>
    </w:p>
    <w:p>
      <w:pPr>
        <w:spacing w:after="0" w:line="124"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4"/>
          <w:szCs w:val="14"/>
          <w:color w:val="auto"/>
        </w:rPr>
        <w:t>Cash used by investing activities was $85.3 million primarily comprised (i) $100.1 million in the net increase in loans held for investment, at cost and (ii) $8.4 million in purchases of available-for-sale securities. These uses were partially offset by (i) a $15.1 million principal received on loans held for investment, at fair value; and (ii) $9.5 million in maturities of available-for-sale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financing activities was $435.4 million consisting primarily of a (i) $439.5 million net increase in deposits; (ii) $273.1 million of proceeds related to residuals in securitizations;</w:t>
      </w:r>
    </w:p>
    <w:p>
      <w:pPr>
        <w:spacing w:after="0" w:line="23" w:lineRule="exact"/>
        <w:rPr>
          <w:sz w:val="20"/>
          <w:szCs w:val="20"/>
          <w:color w:val="auto"/>
        </w:rPr>
      </w:pPr>
    </w:p>
    <w:p>
      <w:pPr>
        <w:ind w:right="60" w:firstLine="5"/>
        <w:spacing w:after="0" w:line="266" w:lineRule="auto"/>
        <w:tabs>
          <w:tab w:leader="none" w:pos="24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 million of proceeds from the 2033 Notes; and (iv) $9.9 million of borrowings on bank notes payable. These sources of cash were partially offset by (i) $87.1 million repayment of the 2026 5.50% Notes; (ii) $13.3 million of principal payments related to Notes Payable - Securitization Trusts; (iii) $194.0 million repayment of bank notes payable; and (iv) $6.5 million of dividends 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Company’s obligations and commitments representing required and potential cash outflows include demand deposits, time deposits, unsecured senior notes, notes payable - securitization trusts, short-term and long-term advances from FHLB, other bank borrowings, and operating leases and other commitments as of March 31, 2026. Refer to “NOTE 10—DEPOSITS,” “NOTE 11— BORROWINGS,” and “NOTE 13—COMMITMENTS AND CONTINGENCIES.”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At March 31, 2026, the Company had $105.8 million of unfunded commitments consisting of $43.2 million in connection with its SBA 7(a) loans, $56.9 million in connection with its SBA 504 loans, and $5.7 million relating to commercial and industrial loans. The Company funds these commitments from the same sources it uses to fund its other loan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11—BORROWINGS to the consolidated financial statements for the amounts outstanding, line availability, and term. The Company is also a guarantor on an NMS term loan facility. At March 31, 2026,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account to secure these potential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March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at Fair Value</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 the exception of the guaranteed portion of SBA 7(a) loans HFS at FV which we categorize as Level 2,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spacing w:after="0" w:line="1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On a quarterly basis, management determines the fair values of the retained unguaranteed portions of SBA 7(a) loans HFI, and unrealized changes in FV are recognized in the income statement. The loans within this portfolio were originated by NSBF and are currently originated by Newtek Bank. NSBF ceased originating new loans in April 2023 when all new SBA 7(a) loan originations were transitioned to Newtek Bank. (See </w:t>
      </w:r>
      <w:r>
        <w:rPr>
          <w:rFonts w:ascii="Times New Roman" w:cs="Times New Roman" w:eastAsia="Times New Roman" w:hAnsi="Times New Roman"/>
          <w:sz w:val="14"/>
          <w:szCs w:val="14"/>
          <w:i w:val="1"/>
          <w:iCs w:val="1"/>
          <w:color w:val="auto"/>
        </w:rPr>
        <w:t>Historical Business Regulation and Taxation,</w:t>
      </w:r>
      <w:r>
        <w:rPr>
          <w:rFonts w:ascii="Times New Roman" w:cs="Times New Roman" w:eastAsia="Times New Roman" w:hAnsi="Times New Roman"/>
          <w:sz w:val="14"/>
          <w:szCs w:val="14"/>
          <w:color w:val="auto"/>
        </w:rPr>
        <w:t xml:space="preserve"> for a discussion of the wind-down of NSBF’s operations.)</w:t>
      </w:r>
    </w:p>
    <w:p>
      <w:pPr>
        <w:spacing w:after="0" w:line="15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originated SBA 504 loans HFS prior to the Acquisition through its nonbank subsidiaries. SBA 504 loans HFS held at NALH are accounted for under the FV option. Additionally, the existing government guaranteed portion of SBA 7(a) loans and certain SBA 504 loans held at Newtek Bank are also HFS at FV.</w:t>
      </w:r>
    </w:p>
    <w:p>
      <w:pPr>
        <w:spacing w:after="0" w:line="14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also originates C&amp;I LA loans (formerly referred to as ALP or nonconforming conventional loans), which are HFS. Historically, these were originated via our nonbank subsidiary but beginning in the first quarter of 2026 C&amp;I LA loans are originated at Newtek Bank. C&amp;I LA loans are carried at FV.</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16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For the quarterly period ended March 31, 2026, the Company accounted for servicing assets in accordance with ASC Topic 860-50 - Transfers and Servicing - Servicing Assets and Liabilities. The Company and Newtek Bank earn servicing fees primarily from the guaranteed portions of SBA 7(a),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16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13—COMMITMENTS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Residuals in Securitizations, at Fair Value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January 21, 2026, the Company’s subsidiary Newtek ALP Holdings closed a securitization pursuant to which it sold $251.9 million of Class A Notes, $35.9 million of Class B Notes, and $6.8 million of a Class C Note (collectively, the “2026-1 Notes”) issued by NALP Business Loan Trust 2026-1. The Notes are backed by $341.8 million of collateral, consisting of $284.4 million of Company originated ALP loans and a prefunding account to acquire additional ALP loans originated by the Company. The Class A Notes received a Morningstar DBRS rating of “A (low) (sf)” and were priced at a yield of 5.796%; the Class B Notes received a Morningstar DBRS rating of “BBB (sf)” and were priced at a yield of 7.296%; and the Class C Note received a Morningstar DBRS rating of “BB (sf)” and was priced at a yield of 10.146%. The 2026-1 Notes had a weighted average yield of 6.08% and an 86% advance rate.</w:t>
      </w:r>
    </w:p>
    <w:p>
      <w:pPr>
        <w:spacing w:after="0" w:line="16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The 2025-1 and the 2026-1 Trusts (collectively “the Unconsolidated Trusts”) meet the definition of a VIE and the Company holds a variable interest in the Unconsolidated Trusts, however, the Company is not considered the primary beneficiary of the Unconsolidated Trusts, because the power over the activities that have the most significant impact on the economic performance of the Unconsolidated Trusts is held by a single noteholder who has the unilateral ability to remove the Company, without cause, as decision maker over the activities that most significantly impact the economic performance of the Unconsolidated Trusts. Consequently the Company is not required to consolidate the Unconsolidated Trusts. The Company’s beneficial interest in the Unconsolidated Trusts is evidenced by NALH’s sole ownership of the Ownership Certificates and its beneficial interest in the credit risk of the securitized ALP Loans. Newtek ALP Holdings, the sponsor of the Unconsolidated Trusts, is a wholly owned subsidiary of the Company, therefore the Company effectively owns 100% of the equity interest in the Unconsolidated Trusts.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3—SECURITIZATIONS AND VARIABLE INTEREST ENTITIES.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Repurchase Program</w:t>
      </w:r>
    </w:p>
    <w:p>
      <w:pPr>
        <w:spacing w:after="0" w:line="16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April 24, 2026, the Board approved a debt repurchase program granting the Company authority to repurchase up to $5.0 million aggregate principal amount of the Company’s 2028 Notes and 2029 Notes during the following twelve months. The actual timing and amount of any repurchases under the debt repurchase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 The Company has not repurchased 2028 Notes or 2029 Notes under the debt repurchase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D2 Facility</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28, 2026, a wholly-owned subsidiary of the Company, Newtek Business Services Holdco 6, Inc. (the “NALH Borrower”), and its wholly-owned subsidiary NBL SPV IV, LLC (the “SPV Borrower”, and together with the NALH Borrower, the “Borrowers”), together with the Company as a guarantor thereunder, entered into a Term Loan Agreement (the “Loan Agreement”) with D2 Asset Based Credit Partners, LP, Inc. as the Initial Lender thereunder (the “Initial Lender”) and D2 Asset Services, LLC, as Agent thereunder. Pursuant to the terms of the Loan Agreement, the Initial Lender extended a term loan to the Borrowers in the aggregate principal amount of $20.9 million (the “ Loan”), which Loan may be increased by an additional $10.0 million, subject to the receipt of certain lender consent and the satisfaction of other conditions set forth in the Loan Agreement. As permitted under the Loan Agreement, NALH Borrower intends to distribute all or a portion of the proceeds of the Loan to the Company, which if received by the Company, would be used for general corporate purposes.</w:t>
      </w:r>
    </w:p>
    <w:p>
      <w:pPr>
        <w:spacing w:after="0" w:line="16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Loan will mature on April 28, 2029. The Loan Agreement also specifies certain events of default, the occurrence of which could require the immediate repayment of all outstanding amounts under the Loan Agreement. Pursuant to the terms of the Loan Agreement: (a) the SPV Borrower pledged certain loans owned by the SPV Borrower, and the NALH Borrower pledged its equity interests in the SPV Borrower, as security for the Loans; and (b) the Company unconditionally guaranteed the prompt and unconditional payment of all of the Borrowers’ obligations under the Loan Agreement, including all Loans extended under the Loan Agreement.</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has cash and cash equivalents, which includes cash and due from banks, restricted cash, and interest bearing deposits in banks, of $403.0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57"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March 31, 2026, cash deposits in excess of insured amounts totaled approximately $119.5 million. The Company and its non-bank subsidiaries have deposit accounts at Newtek Bank that total $77.3 million, of which $72.9 million is uninsured.</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March 31, 2026,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240" w:type="dxa"/>
            <w:vAlign w:val="bottom"/>
            <w:gridSpan w:val="4"/>
          </w:tcPr>
          <w:p>
            <w:pPr>
              <w:ind w:left="1340"/>
              <w:spacing w:after="0"/>
              <w:rPr>
                <w:sz w:val="20"/>
                <w:szCs w:val="20"/>
                <w:color w:val="auto"/>
              </w:rPr>
            </w:pPr>
            <w:r>
              <w:rPr>
                <w:rFonts w:ascii="Times New Roman" w:cs="Times New Roman" w:eastAsia="Times New Roman" w:hAnsi="Times New Roman"/>
                <w:sz w:val="11"/>
                <w:szCs w:val="11"/>
                <w:b w:val="1"/>
                <w:bCs w:val="1"/>
                <w:color w:val="auto"/>
              </w:rPr>
              <w:t>Estimated Increase/Decrease in Net Interest Income</w:t>
            </w:r>
          </w:p>
        </w:tc>
        <w:tc>
          <w:tcPr>
            <w:tcW w:w="3260" w:type="dxa"/>
            <w:vAlign w:val="bottom"/>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Estimated Percentage Change in EVE</w:t>
            </w:r>
          </w:p>
        </w:tc>
      </w:tr>
      <w:tr>
        <w:trPr>
          <w:trHeight w:val="153"/>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6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color w:val="auto"/>
              </w:rPr>
              <w:t>12 Months Beginning March 31, 2026</w:t>
            </w:r>
          </w:p>
        </w:tc>
        <w:tc>
          <w:tcPr>
            <w:tcW w:w="25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color w:val="auto"/>
              </w:rPr>
              <w:t>12 Months Beginning March 31, 2027</w:t>
            </w:r>
          </w:p>
        </w:tc>
        <w:tc>
          <w:tcPr>
            <w:tcW w:w="80" w:type="dxa"/>
            <w:vAlign w:val="bottom"/>
          </w:tcPr>
          <w:p>
            <w:pPr>
              <w:spacing w:after="0"/>
              <w:rPr>
                <w:sz w:val="13"/>
                <w:szCs w:val="13"/>
                <w:color w:val="auto"/>
              </w:rPr>
            </w:pPr>
          </w:p>
        </w:tc>
        <w:tc>
          <w:tcPr>
            <w:tcW w:w="3260" w:type="dxa"/>
            <w:vAlign w:val="bottom"/>
            <w:tcBorders>
              <w:top w:val="single" w:sz="8" w:color="auto"/>
            </w:tcBorders>
          </w:tcPr>
          <w:p>
            <w:pPr>
              <w:jc w:val="right"/>
              <w:ind w:right="1054"/>
              <w:spacing w:after="0"/>
              <w:rPr>
                <w:sz w:val="20"/>
                <w:szCs w:val="20"/>
                <w:color w:val="auto"/>
              </w:rPr>
            </w:pPr>
            <w:r>
              <w:rPr>
                <w:rFonts w:ascii="Times New Roman" w:cs="Times New Roman" w:eastAsia="Times New Roman" w:hAnsi="Times New Roman"/>
                <w:sz w:val="11"/>
                <w:szCs w:val="11"/>
                <w:color w:val="auto"/>
              </w:rPr>
              <w:t>As of March 31, 2026</w:t>
            </w:r>
          </w:p>
        </w:tc>
      </w:tr>
      <w:tr>
        <w:trPr>
          <w:trHeight w:val="177"/>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top w:val="single" w:sz="8" w:color="CCEEFF"/>
            </w:tcBorders>
            <w:shd w:val="clear" w:color="auto" w:fill="CCEEFF"/>
          </w:tcPr>
          <w:p>
            <w:pPr>
              <w:spacing w:after="0"/>
              <w:rPr>
                <w:sz w:val="15"/>
                <w:szCs w:val="15"/>
                <w:color w:val="auto"/>
              </w:rPr>
            </w:pPr>
          </w:p>
        </w:tc>
        <w:tc>
          <w:tcPr>
            <w:tcW w:w="3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5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25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3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5"/>
                <w:szCs w:val="15"/>
                <w:color w:val="auto"/>
              </w:rPr>
            </w:pPr>
          </w:p>
        </w:tc>
        <w:tc>
          <w:tcPr>
            <w:tcW w:w="2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3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(0.8)</w:t>
            </w:r>
          </w:p>
        </w:tc>
      </w:tr>
      <w:tr>
        <w:trPr>
          <w:trHeight w:val="184"/>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5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25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3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(0.7)</w:t>
            </w:r>
          </w:p>
        </w:tc>
      </w:tr>
    </w:tbl>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Evaluation of Disclosure Controls and Procedures: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March 31, 2026.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that evaluation, our Chief Executive Officer and Chief Financial Officer concluded that as of March 31, 2026, our disclosure controls and procedures were effective.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Refer to “NOTE 13—COMMITMENTS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Part I, “Item 1A. Risk Factors” in our 2025 Form 10-K, which could materially affect our business, financial condition and/or operating results. The risks described in our 2025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2025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24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1"/>
        </w:trPr>
        <w:tc>
          <w:tcPr>
            <w:tcW w:w="180" w:type="dxa"/>
            <w:vAlign w:val="bottom"/>
          </w:tcPr>
          <w:p>
            <w:pPr>
              <w:spacing w:after="0"/>
              <w:rPr>
                <w:rFonts w:ascii="Times New Roman" w:cs="Times New Roman" w:eastAsia="Times New Roman" w:hAnsi="Times New Roman"/>
                <w:sz w:val="14"/>
                <w:szCs w:val="14"/>
                <w:color w:val="0000FF"/>
                <w:w w:val="91"/>
              </w:rPr>
            </w:pPr>
            <w:hyperlink r:id="rId135">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960" w:type="dxa"/>
            <w:vAlign w:val="bottom"/>
            <w:gridSpan w:val="1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Articles of Incorporation of Newtek Business Services Corp. (Previously filed in connection with Pre-Effective Amendment No. 3 to the Registration</w:t>
              </w:r>
            </w:hyperlink>
          </w:p>
        </w:tc>
      </w:tr>
      <w:tr>
        <w:trPr>
          <w:trHeight w:val="118"/>
        </w:trPr>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8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Statement on Form N-2 (File No. 333-191499) filed on November 3, 2014, and incorporated by reference herein).</w:t>
              </w:r>
            </w:hyperlink>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6">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60" w:type="dxa"/>
            <w:vAlign w:val="bottom"/>
            <w:gridSpan w:val="14"/>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Amended Bylaws of NewtekOne, Inc. (Incorporated by reference to Exhibit 99.1 of NewtekOne, Inc’s Current Report on Form 8-K, filed January 24, 2023).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4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8"/>
        </w:trPr>
        <w:tc>
          <w:tcPr>
            <w:tcW w:w="180" w:type="dxa"/>
            <w:vAlign w:val="bottom"/>
          </w:tcPr>
          <w:p>
            <w:pPr>
              <w:spacing w:after="0"/>
              <w:rPr>
                <w:rFonts w:ascii="Times New Roman" w:cs="Times New Roman" w:eastAsia="Times New Roman" w:hAnsi="Times New Roman"/>
                <w:sz w:val="14"/>
                <w:szCs w:val="14"/>
                <w:color w:val="0000FF"/>
                <w:w w:val="91"/>
              </w:rPr>
            </w:pPr>
            <w:hyperlink r:id="rId137">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60" w:type="dxa"/>
            <w:vAlign w:val="bottom"/>
            <w:gridSpan w:val="1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Articles of Amendment to Newtek Business Services Corp.’s Charter (Incorporated by reference to Exhibit 99.1 to Newtek’s Current Report on Form 8-K filed January 17,</w:t>
              </w:r>
            </w:hyperlink>
          </w:p>
        </w:tc>
      </w:tr>
      <w:tr>
        <w:trPr>
          <w:trHeight w:val="118"/>
        </w:trPr>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5"/>
              </w:rPr>
            </w:pPr>
            <w:hyperlink r:id="rId137">
              <w:r>
                <w:rPr>
                  <w:rFonts w:ascii="Times New Roman" w:cs="Times New Roman" w:eastAsia="Times New Roman" w:hAnsi="Times New Roman"/>
                  <w:sz w:val="13"/>
                  <w:szCs w:val="13"/>
                  <w:color w:val="0000FF"/>
                  <w:w w:val="95"/>
                </w:rPr>
                <w:t>2025).</w:t>
              </w:r>
            </w:hyperlink>
          </w:p>
        </w:tc>
        <w:tc>
          <w:tcPr>
            <w:tcW w:w="144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8">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4</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60" w:type="dxa"/>
            <w:vAlign w:val="bottom"/>
            <w:gridSpan w:val="1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NewtekOne, Inc. Articles Supplementary, dated August 19, 2025. (Incorporated by reference to Exhibit 3.1 to Newtek’s Current Report on Form 8-K, filed August 21, 2025).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80" w:type="dxa"/>
            <w:vAlign w:val="bottom"/>
          </w:tcPr>
          <w:p>
            <w:pPr>
              <w:spacing w:after="0"/>
              <w:rPr>
                <w:rFonts w:ascii="Times New Roman" w:cs="Times New Roman" w:eastAsia="Times New Roman" w:hAnsi="Times New Roman"/>
                <w:sz w:val="14"/>
                <w:szCs w:val="14"/>
                <w:color w:val="0000FF"/>
                <w:w w:val="91"/>
              </w:rPr>
            </w:pPr>
            <w:hyperlink r:id="rId13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5</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60" w:type="dxa"/>
            <w:vAlign w:val="bottom"/>
            <w:gridSpan w:val="1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NewtekOne, Inc. Articles Supplementary, dated September 16, 2025. (Incorporated by reference to Exhibit 3.1 to Newtek’s Current Report on Form 8-K, filed September 18,</w:t>
              </w:r>
            </w:hyperlink>
          </w:p>
        </w:tc>
      </w:tr>
      <w:tr>
        <w:trPr>
          <w:trHeight w:val="118"/>
        </w:trPr>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5"/>
              </w:rPr>
            </w:pPr>
            <w:hyperlink r:id="rId139">
              <w:r>
                <w:rPr>
                  <w:rFonts w:ascii="Times New Roman" w:cs="Times New Roman" w:eastAsia="Times New Roman" w:hAnsi="Times New Roman"/>
                  <w:sz w:val="13"/>
                  <w:szCs w:val="13"/>
                  <w:color w:val="0000FF"/>
                  <w:w w:val="95"/>
                </w:rPr>
                <w:t>2025).</w:t>
              </w:r>
            </w:hyperlink>
          </w:p>
        </w:tc>
        <w:tc>
          <w:tcPr>
            <w:tcW w:w="144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40">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6</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60" w:type="dxa"/>
            <w:vAlign w:val="bottom"/>
            <w:gridSpan w:val="1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Articles of Amendment to the Amended and Restated Articles of Incorporation of NewtekOne, Inc. (Incorporated by reference to Exhibit 99.1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7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Form 8-K, filed June 18, 2024).</w:t>
              </w:r>
            </w:hyperlink>
          </w:p>
        </w:tc>
        <w:tc>
          <w:tcPr>
            <w:tcW w:w="8020" w:type="dxa"/>
            <w:vAlign w:val="bottom"/>
            <w:tcBorders>
              <w:top w:val="single" w:sz="8" w:color="0000FF"/>
            </w:tcBorders>
            <w:gridSpan w:val="10"/>
          </w:tcPr>
          <w:p>
            <w:pPr>
              <w:spacing w:after="0"/>
              <w:rPr>
                <w:sz w:val="10"/>
                <w:szCs w:val="10"/>
                <w:color w:val="auto"/>
              </w:rPr>
            </w:pPr>
          </w:p>
        </w:tc>
        <w:tc>
          <w:tcPr>
            <w:tcW w:w="140" w:type="dxa"/>
            <w:vAlign w:val="bottom"/>
          </w:tcPr>
          <w:p>
            <w:pPr>
              <w:spacing w:after="0"/>
              <w:rPr>
                <w:sz w:val="10"/>
                <w:szCs w:val="10"/>
                <w:color w:val="auto"/>
              </w:rPr>
            </w:pPr>
          </w:p>
        </w:tc>
      </w:tr>
      <w:tr>
        <w:trPr>
          <w:trHeight w:val="213"/>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14.</w:t>
            </w:r>
            <w:r>
              <w:rPr>
                <w:rFonts w:ascii="Times New Roman" w:cs="Times New Roman" w:eastAsia="Times New Roman" w:hAnsi="Times New Roman"/>
                <w:sz w:val="14"/>
                <w:szCs w:val="14"/>
                <w:u w:val="single" w:color="auto"/>
                <w:color w:val="0000FF"/>
                <w:w w:val="88"/>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Code of Business Conduct &amp; Ethics (revised).</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03"/>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pursuant to Rules 13a-14 and 15d-14(a), as adopted pursuant to Section 302 of the Sarbanes-Oxley Act of 2002, filed herewith.</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0" w:type="dxa"/>
            <w:vAlign w:val="bottom"/>
            <w:gridSpan w:val="8"/>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03"/>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Rules 13a-14 and 15d-14(a), as adopted pursuant to Section 302 of the Sarbanes-Oxley Act of 2002, furnished herewith.</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0" w:type="dxa"/>
            <w:vAlign w:val="bottom"/>
            <w:gridSpan w:val="8"/>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r>
      <w:tr>
        <w:trPr>
          <w:trHeight w:val="203"/>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pursuant to 18 U.S.C. Section 1350, as adopted pursuant to Section 906 of the Sarbanes-Oxley Act of 2002, filed herewith.</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0" w:type="dxa"/>
            <w:vAlign w:val="bottom"/>
            <w:gridSpan w:val="8"/>
            <w:shd w:val="clear" w:color="auto" w:fill="0000FF"/>
          </w:tcPr>
          <w:p>
            <w:pPr>
              <w:spacing w:after="0" w:line="20" w:lineRule="exact"/>
              <w:rPr>
                <w:sz w:val="1"/>
                <w:szCs w:val="1"/>
                <w:color w:val="auto"/>
              </w:rPr>
            </w:pPr>
          </w:p>
        </w:tc>
        <w:tc>
          <w:tcPr>
            <w:tcW w:w="540" w:type="dxa"/>
            <w:vAlign w:val="bottom"/>
            <w:tcBorders>
              <w:left w:val="single" w:sz="8" w:color="0000FF"/>
            </w:tcBorders>
            <w:gridSpan w:val="5"/>
          </w:tcPr>
          <w:p>
            <w:pPr>
              <w:spacing w:after="0" w:line="20" w:lineRule="exact"/>
              <w:rPr>
                <w:sz w:val="1"/>
                <w:szCs w:val="1"/>
                <w:color w:val="auto"/>
              </w:rPr>
            </w:pPr>
          </w:p>
        </w:tc>
      </w:tr>
      <w:tr>
        <w:trPr>
          <w:trHeight w:val="203"/>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60" w:lineRule="exact"/>
        <w:rPr>
          <w:sz w:val="20"/>
          <w:szCs w:val="20"/>
          <w:color w:val="auto"/>
        </w:rPr>
      </w:pPr>
    </w:p>
    <w:p>
      <w:pPr>
        <w:ind w:left="1240" w:right="140" w:hanging="1221"/>
        <w:spacing w:after="0" w:line="226" w:lineRule="auto"/>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Files Pursuant to Rule 405 of Regulation S-T: (i) the Consolidated Balance Sheets as of March 31, 2026 and December 31, 2025; (ii) the Consolidated Statements of Income for the three months ended March 31, 2026 and 2025; (iii) the Consolidated Statements of Changes in Shareholders’ Equity for the three months ended March 31, 2026 and 2025; (iv) the Consolidated Statements of Cash Flows for the three months ended March 31, 2026 and 2025; and (v) the Notes to the Consolidated Financial Statements.</w:t>
      </w:r>
    </w:p>
    <w:p>
      <w:pPr>
        <w:spacing w:after="0" w:line="41" w:lineRule="exact"/>
        <w:rPr>
          <w:sz w:val="20"/>
          <w:szCs w:val="20"/>
          <w:color w:val="auto"/>
        </w:rPr>
      </w:pPr>
    </w:p>
    <w:p>
      <w:pPr>
        <w:ind w:left="1240" w:hanging="1221"/>
        <w:spacing w:after="0"/>
        <w:tabs>
          <w:tab w:leader="none" w:pos="124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3"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May 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740" w:val="left"/>
          <w:tab w:leader="none" w:pos="8020" w:val="left"/>
        </w:tabs>
        <w:rPr>
          <w:sz w:val="20"/>
          <w:szCs w:val="20"/>
          <w:color w:val="auto"/>
        </w:rPr>
      </w:pPr>
      <w:r>
        <w:rPr>
          <w:rFonts w:ascii="Times New Roman" w:cs="Times New Roman" w:eastAsia="Times New Roman" w:hAnsi="Times New Roman"/>
          <w:sz w:val="14"/>
          <w:szCs w:val="14"/>
          <w:color w:val="auto"/>
        </w:rPr>
        <w:t>Date: May 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2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1"/>
          <w:szCs w:val="11"/>
          <w:b w:val="1"/>
          <w:bCs w:val="1"/>
          <w:color w:val="auto"/>
        </w:rPr>
        <w:t>Executive Vice President, Chief Financial Officer</w:t>
      </w:r>
    </w:p>
    <w:p>
      <w:pPr>
        <w:ind w:left="7100"/>
        <w:spacing w:after="0"/>
        <w:rPr>
          <w:sz w:val="20"/>
          <w:szCs w:val="20"/>
          <w:color w:val="auto"/>
        </w:rPr>
      </w:pPr>
      <w:r>
        <w:rPr>
          <w:rFonts w:ascii="Times New Roman" w:cs="Times New Roman" w:eastAsia="Times New Roman" w:hAnsi="Times New Roman"/>
          <w:sz w:val="11"/>
          <w:szCs w:val="11"/>
          <w:b w:val="1"/>
          <w:b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980"/>
          </w:cols>
          <w:pgMar w:left="300" w:top="127" w:right="619" w:bottom="1440"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May 8, 2026</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Frank M. DeMaria, certify that:</w:t>
      </w:r>
    </w:p>
    <w:p>
      <w:pPr>
        <w:spacing w:after="0" w:line="179" w:lineRule="exact"/>
        <w:rPr>
          <w:sz w:val="20"/>
          <w:szCs w:val="20"/>
          <w:color w:val="auto"/>
        </w:rPr>
      </w:pPr>
    </w:p>
    <w:p>
      <w:pPr>
        <w:ind w:left="500" w:hanging="145"/>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7560" w:val="left"/>
          <w:tab w:leader="none" w:pos="7880" w:val="left"/>
        </w:tabs>
        <w:rPr>
          <w:sz w:val="20"/>
          <w:szCs w:val="20"/>
          <w:color w:val="auto"/>
        </w:rPr>
      </w:pPr>
      <w:r>
        <w:rPr>
          <w:rFonts w:ascii="Times New Roman" w:cs="Times New Roman" w:eastAsia="Times New Roman" w:hAnsi="Times New Roman"/>
          <w:sz w:val="14"/>
          <w:szCs w:val="14"/>
          <w:color w:val="auto"/>
        </w:rPr>
        <w:t>Date: May 8, 2026</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1141"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March 31, 2026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May 8, 2026</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March 31, 2026 (the “Report”) of NewtekOne, Inc. (the “Company”), as filed with the Securities and Exchange Commission on the date hereof, I, Frank M. DeMaria,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285" w:lineRule="exact"/>
        <w:rPr>
          <w:sz w:val="20"/>
          <w:szCs w:val="20"/>
          <w:color w:val="auto"/>
        </w:rPr>
      </w:pPr>
    </w:p>
    <w:p>
      <w:pPr>
        <w:ind w:left="20"/>
        <w:spacing w:after="0"/>
        <w:tabs>
          <w:tab w:leader="none" w:pos="7620" w:val="left"/>
          <w:tab w:leader="none" w:pos="7920" w:val="left"/>
        </w:tabs>
        <w:rPr>
          <w:sz w:val="20"/>
          <w:szCs w:val="20"/>
          <w:color w:val="auto"/>
        </w:rPr>
      </w:pPr>
      <w:r>
        <w:rPr>
          <w:rFonts w:ascii="Times New Roman" w:cs="Times New Roman" w:eastAsia="Times New Roman" w:hAnsi="Times New Roman"/>
          <w:sz w:val="14"/>
          <w:szCs w:val="14"/>
          <w:color w:val="auto"/>
        </w:rPr>
        <w:t>Date: May 8, 2026</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bullet"/>
      <w:start w:val="1"/>
    </w:lvl>
  </w:abstractNum>
  <w:abstractNum w:abstractNumId="1">
    <w:nsid w:val="51EAD36B"/>
    <w:multiLevelType w:val="hybridMultilevel"/>
    <w:lvl w:ilvl="0">
      <w:lvlJc w:val="left"/>
      <w:lvlText w:val="1"/>
      <w:numFmt w:val="bullet"/>
      <w:start w:val="1"/>
    </w:lvl>
  </w:abstractNum>
  <w:abstractNum w:abstractNumId="2">
    <w:nsid w:val="2D517796"/>
    <w:multiLevelType w:val="hybridMultilevel"/>
    <w:lvl w:ilvl="0">
      <w:lvlJc w:val="left"/>
      <w:lvlText w:val="1"/>
      <w:numFmt w:val="bullet"/>
      <w:start w:val="1"/>
    </w:lvl>
  </w:abstractNum>
  <w:abstractNum w:abstractNumId="3">
    <w:nsid w:val="580BD78F"/>
    <w:multiLevelType w:val="hybridMultilevel"/>
    <w:lvl w:ilvl="0">
      <w:lvlJc w:val="left"/>
      <w:lvlText w:val="2"/>
      <w:numFmt w:val="bullet"/>
      <w:start w:val="1"/>
    </w:lvl>
  </w:abstractNum>
  <w:abstractNum w:abstractNumId="4">
    <w:nsid w:val="153EA438"/>
    <w:multiLevelType w:val="hybridMultilevel"/>
    <w:lvl w:ilvl="0">
      <w:lvlJc w:val="left"/>
      <w:lvlText w:val="1"/>
      <w:numFmt w:val="bullet"/>
      <w:start w:val="1"/>
    </w:lvl>
  </w:abstractNum>
  <w:abstractNum w:abstractNumId="5">
    <w:nsid w:val="3855585C"/>
    <w:multiLevelType w:val="hybridMultilevel"/>
    <w:lvl w:ilvl="0">
      <w:lvlJc w:val="left"/>
      <w:lvlText w:val="1"/>
      <w:numFmt w:val="bullet"/>
      <w:start w:val="1"/>
    </w:lvl>
  </w:abstractNum>
  <w:abstractNum w:abstractNumId="6">
    <w:nsid w:val="70A64E2A"/>
    <w:multiLevelType w:val="hybridMultilevel"/>
    <w:lvl w:ilvl="0">
      <w:lvlJc w:val="left"/>
      <w:lvlText w:val="1"/>
      <w:numFmt w:val="bullet"/>
      <w:start w:val="1"/>
    </w:lvl>
  </w:abstractNum>
  <w:abstractNum w:abstractNumId="7">
    <w:nsid w:val="6A2342EC"/>
    <w:multiLevelType w:val="hybridMultilevel"/>
    <w:lvl w:ilvl="0">
      <w:lvlJc w:val="left"/>
      <w:lvlText w:val="1"/>
      <w:numFmt w:val="bullet"/>
      <w:start w:val="1"/>
    </w:lvl>
  </w:abstractNum>
  <w:abstractNum w:abstractNumId="8">
    <w:nsid w:val="2A487CB0"/>
    <w:multiLevelType w:val="hybridMultilevel"/>
    <w:lvl w:ilvl="0">
      <w:lvlJc w:val="left"/>
      <w:lvlText w:val="2"/>
      <w:numFmt w:val="bullet"/>
      <w:start w:val="1"/>
    </w:lvl>
  </w:abstractNum>
  <w:abstractNum w:abstractNumId="9">
    <w:nsid w:val="1D4ED43B"/>
    <w:multiLevelType w:val="hybridMultilevel"/>
    <w:lvl w:ilvl="0">
      <w:lvlJc w:val="left"/>
      <w:lvlText w:val="1"/>
      <w:numFmt w:val="bullet"/>
      <w:start w:val="1"/>
    </w:lvl>
  </w:abstractNum>
  <w:abstractNum w:abstractNumId="10">
    <w:nsid w:val="725A06FB"/>
    <w:multiLevelType w:val="hybridMultilevel"/>
    <w:lvl w:ilvl="0">
      <w:lvlJc w:val="left"/>
      <w:lvlText w:val="2"/>
      <w:numFmt w:val="bullet"/>
      <w:start w:val="1"/>
    </w:lvl>
  </w:abstractNum>
  <w:abstractNum w:abstractNumId="11">
    <w:nsid w:val="2CD89A32"/>
    <w:multiLevelType w:val="hybridMultilevel"/>
    <w:lvl w:ilvl="0">
      <w:lvlJc w:val="left"/>
      <w:lvlText w:val="1"/>
      <w:numFmt w:val="bullet"/>
      <w:start w:val="1"/>
    </w:lvl>
  </w:abstractNum>
  <w:abstractNum w:abstractNumId="12">
    <w:nsid w:val="57E4CCAF"/>
    <w:multiLevelType w:val="hybridMultilevel"/>
    <w:lvl w:ilvl="0">
      <w:lvlJc w:val="left"/>
      <w:lvlText w:val="1"/>
      <w:numFmt w:val="bullet"/>
      <w:start w:val="1"/>
    </w:lvl>
  </w:abstractNum>
  <w:abstractNum w:abstractNumId="13">
    <w:nsid w:val="7A6D8D3C"/>
    <w:multiLevelType w:val="hybridMultilevel"/>
    <w:lvl w:ilvl="0">
      <w:lvlJc w:val="left"/>
      <w:lvlText w:val="1"/>
      <w:numFmt w:val="bullet"/>
      <w:start w:val="1"/>
    </w:lvl>
  </w:abstractNum>
  <w:abstractNum w:abstractNumId="14">
    <w:nsid w:val="4B588F54"/>
    <w:multiLevelType w:val="hybridMultilevel"/>
    <w:lvl w:ilvl="0">
      <w:lvlJc w:val="left"/>
      <w:lvlText w:val="2"/>
      <w:numFmt w:val="bullet"/>
      <w:start w:val="1"/>
    </w:lvl>
  </w:abstractNum>
  <w:abstractNum w:abstractNumId="15">
    <w:nsid w:val="542289EC"/>
    <w:multiLevelType w:val="hybridMultilevel"/>
    <w:lvl w:ilvl="0">
      <w:lvlJc w:val="left"/>
      <w:lvlText w:val="3"/>
      <w:numFmt w:val="bullet"/>
      <w:start w:val="1"/>
    </w:lvl>
  </w:abstractNum>
  <w:abstractNum w:abstractNumId="16">
    <w:nsid w:val="6DE91B18"/>
    <w:multiLevelType w:val="hybridMultilevel"/>
    <w:lvl w:ilvl="0">
      <w:lvlJc w:val="left"/>
      <w:lvlText w:val="4"/>
      <w:numFmt w:val="bullet"/>
      <w:start w:val="1"/>
    </w:lvl>
  </w:abstractNum>
  <w:abstractNum w:abstractNumId="17">
    <w:nsid w:val="38437FDB"/>
    <w:multiLevelType w:val="hybridMultilevel"/>
    <w:lvl w:ilvl="0">
      <w:lvlJc w:val="left"/>
      <w:lvlText w:val="5"/>
      <w:numFmt w:val="bullet"/>
      <w:start w:val="1"/>
    </w:lvl>
  </w:abstractNum>
  <w:abstractNum w:abstractNumId="18">
    <w:nsid w:val="7644A45C"/>
    <w:multiLevelType w:val="hybridMultilevel"/>
    <w:lvl w:ilvl="0">
      <w:lvlJc w:val="left"/>
      <w:lvlText w:val="1"/>
      <w:numFmt w:val="bullet"/>
      <w:start w:val="1"/>
    </w:lvl>
  </w:abstractNum>
  <w:abstractNum w:abstractNumId="19">
    <w:nsid w:val="32FFF902"/>
    <w:multiLevelType w:val="hybridMultilevel"/>
    <w:lvl w:ilvl="0">
      <w:lvlJc w:val="left"/>
      <w:lvlText w:val="2"/>
      <w:numFmt w:val="bullet"/>
      <w:start w:val="1"/>
    </w:lvl>
  </w:abstractNum>
  <w:abstractNum w:abstractNumId="20">
    <w:nsid w:val="684A481A"/>
    <w:multiLevelType w:val="hybridMultilevel"/>
    <w:lvl w:ilvl="0">
      <w:lvlJc w:val="left"/>
      <w:lvlText w:val="3"/>
      <w:numFmt w:val="bullet"/>
      <w:start w:val="1"/>
    </w:lvl>
  </w:abstractNum>
  <w:abstractNum w:abstractNumId="21">
    <w:nsid w:val="579478FE"/>
    <w:multiLevelType w:val="hybridMultilevel"/>
    <w:lvl w:ilvl="0">
      <w:lvlJc w:val="left"/>
      <w:lvlText w:val="4"/>
      <w:numFmt w:val="bullet"/>
      <w:start w:val="1"/>
    </w:lvl>
  </w:abstractNum>
  <w:abstractNum w:abstractNumId="22">
    <w:nsid w:val="749ABB43"/>
    <w:multiLevelType w:val="hybridMultilevel"/>
    <w:lvl w:ilvl="0">
      <w:lvlJc w:val="left"/>
      <w:lvlText w:val="5"/>
      <w:numFmt w:val="bullet"/>
      <w:start w:val="1"/>
    </w:lvl>
  </w:abstractNum>
  <w:abstractNum w:abstractNumId="23">
    <w:nsid w:val="3DC240FB"/>
    <w:multiLevelType w:val="hybridMultilevel"/>
    <w:lvl w:ilvl="0">
      <w:lvlJc w:val="left"/>
      <w:lvlText w:val="6"/>
      <w:numFmt w:val="bullet"/>
      <w:start w:val="1"/>
    </w:lvl>
  </w:abstractNum>
  <w:abstractNum w:abstractNumId="24">
    <w:nsid w:val="1BA026FA"/>
    <w:multiLevelType w:val="hybridMultilevel"/>
    <w:lvl w:ilvl="0">
      <w:lvlJc w:val="left"/>
      <w:lvlText w:val="1"/>
      <w:numFmt w:val="bullet"/>
      <w:start w:val="1"/>
    </w:lvl>
  </w:abstractNum>
  <w:abstractNum w:abstractNumId="25">
    <w:nsid w:val="79A1DEAA"/>
    <w:multiLevelType w:val="hybridMultilevel"/>
    <w:lvl w:ilvl="0">
      <w:lvlJc w:val="left"/>
      <w:lvlText w:val="3"/>
      <w:numFmt w:val="bullet"/>
      <w:start w:val="1"/>
    </w:lvl>
  </w:abstractNum>
  <w:abstractNum w:abstractNumId="26">
    <w:nsid w:val="75C6C33A"/>
    <w:multiLevelType w:val="hybridMultilevel"/>
    <w:lvl w:ilvl="0">
      <w:lvlJc w:val="left"/>
      <w:lvlText w:val="1"/>
      <w:numFmt w:val="bullet"/>
      <w:start w:val="1"/>
    </w:lvl>
  </w:abstractNum>
  <w:abstractNum w:abstractNumId="27">
    <w:nsid w:val="12E685FB"/>
    <w:multiLevelType w:val="hybridMultilevel"/>
    <w:lvl w:ilvl="0">
      <w:lvlJc w:val="left"/>
      <w:lvlText w:val="3"/>
      <w:numFmt w:val="bullet"/>
      <w:start w:val="1"/>
    </w:lvl>
  </w:abstractNum>
  <w:abstractNum w:abstractNumId="28">
    <w:nsid w:val="70C6A529"/>
    <w:multiLevelType w:val="hybridMultilevel"/>
    <w:lvl w:ilvl="0">
      <w:lvlJc w:val="left"/>
      <w:lvlText w:val="1"/>
      <w:numFmt w:val="bullet"/>
      <w:start w:val="1"/>
    </w:lvl>
  </w:abstractNum>
  <w:abstractNum w:abstractNumId="29">
    <w:nsid w:val="520EEDD1"/>
    <w:multiLevelType w:val="hybridMultilevel"/>
    <w:lvl w:ilvl="0">
      <w:lvlJc w:val="left"/>
      <w:lvlText w:val="1"/>
      <w:numFmt w:val="bullet"/>
      <w:start w:val="1"/>
    </w:lvl>
  </w:abstractNum>
  <w:abstractNum w:abstractNumId="30">
    <w:nsid w:val="374A3FE6"/>
    <w:multiLevelType w:val="hybridMultilevel"/>
    <w:lvl w:ilvl="0">
      <w:lvlJc w:val="left"/>
      <w:lvlText w:val="1"/>
      <w:numFmt w:val="bullet"/>
      <w:start w:val="1"/>
    </w:lvl>
  </w:abstractNum>
  <w:abstractNum w:abstractNumId="31">
    <w:nsid w:val="4F4EF005"/>
    <w:multiLevelType w:val="hybridMultilevel"/>
    <w:lvl w:ilvl="0">
      <w:lvlJc w:val="left"/>
      <w:lvlText w:val="2"/>
      <w:numFmt w:val="bullet"/>
      <w:start w:val="1"/>
    </w:lvl>
  </w:abstractNum>
  <w:abstractNum w:abstractNumId="32">
    <w:nsid w:val="23F9C13C"/>
    <w:multiLevelType w:val="hybridMultilevel"/>
    <w:lvl w:ilvl="0">
      <w:lvlJc w:val="left"/>
      <w:lvlText w:val="3"/>
      <w:numFmt w:val="bullet"/>
      <w:start w:val="1"/>
    </w:lvl>
  </w:abstractNum>
  <w:abstractNum w:abstractNumId="33">
    <w:nsid w:val="649BB77C"/>
    <w:multiLevelType w:val="hybridMultilevel"/>
    <w:lvl w:ilvl="0">
      <w:lvlJc w:val="left"/>
      <w:lvlText w:val="4"/>
      <w:numFmt w:val="bullet"/>
      <w:start w:val="1"/>
    </w:lvl>
  </w:abstractNum>
  <w:abstractNum w:abstractNumId="34">
    <w:nsid w:val="275AC794"/>
    <w:multiLevelType w:val="hybridMultilevel"/>
    <w:lvl w:ilvl="0">
      <w:lvlJc w:val="left"/>
      <w:lvlText w:val="1"/>
      <w:numFmt w:val="bullet"/>
      <w:start w:val="1"/>
    </w:lvl>
  </w:abstractNum>
  <w:abstractNum w:abstractNumId="35">
    <w:nsid w:val="39386575"/>
    <w:multiLevelType w:val="hybridMultilevel"/>
    <w:lvl w:ilvl="0">
      <w:lvlJc w:val="left"/>
      <w:lvlText w:val="2"/>
      <w:numFmt w:val="bullet"/>
      <w:start w:val="1"/>
    </w:lvl>
  </w:abstractNum>
  <w:abstractNum w:abstractNumId="36">
    <w:nsid w:val="1CF10FD8"/>
    <w:multiLevelType w:val="hybridMultilevel"/>
    <w:lvl w:ilvl="0">
      <w:lvlJc w:val="left"/>
      <w:lvlText w:val="3"/>
      <w:numFmt w:val="bullet"/>
      <w:start w:val="1"/>
    </w:lvl>
  </w:abstractNum>
  <w:abstractNum w:abstractNumId="37">
    <w:nsid w:val="180115BE"/>
    <w:multiLevelType w:val="hybridMultilevel"/>
    <w:lvl w:ilvl="0">
      <w:lvlJc w:val="left"/>
      <w:lvlText w:val="4"/>
      <w:numFmt w:val="bullet"/>
      <w:start w:val="1"/>
    </w:lvl>
  </w:abstractNum>
  <w:abstractNum w:abstractNumId="38">
    <w:nsid w:val="235BA861"/>
    <w:multiLevelType w:val="hybridMultilevel"/>
    <w:lvl w:ilvl="0">
      <w:lvlJc w:val="left"/>
      <w:lvlText w:val="5"/>
      <w:numFmt w:val="bullet"/>
      <w:start w:val="1"/>
    </w:lvl>
  </w:abstractNum>
  <w:abstractNum w:abstractNumId="39">
    <w:nsid w:val="47398C89"/>
    <w:multiLevelType w:val="hybridMultilevel"/>
    <w:lvl w:ilvl="0">
      <w:lvlJc w:val="left"/>
      <w:lvlText w:val="6"/>
      <w:numFmt w:val="bullet"/>
      <w:start w:val="1"/>
    </w:lvl>
  </w:abstractNum>
  <w:abstractNum w:abstractNumId="40">
    <w:nsid w:val="354FE9F9"/>
    <w:multiLevelType w:val="hybridMultilevel"/>
    <w:lvl w:ilvl="0">
      <w:lvlJc w:val="left"/>
      <w:lvlText w:val="1"/>
      <w:numFmt w:val="bullet"/>
      <w:start w:val="1"/>
    </w:lvl>
  </w:abstractNum>
  <w:abstractNum w:abstractNumId="41">
    <w:nsid w:val="15B5AF5C"/>
    <w:multiLevelType w:val="hybridMultilevel"/>
    <w:lvl w:ilvl="0">
      <w:lvlJc w:val="left"/>
      <w:lvlText w:val="2"/>
      <w:numFmt w:val="bullet"/>
      <w:start w:val="1"/>
    </w:lvl>
  </w:abstractNum>
  <w:abstractNum w:abstractNumId="42">
    <w:nsid w:val="741226BB"/>
    <w:multiLevelType w:val="hybridMultilevel"/>
    <w:lvl w:ilvl="0">
      <w:lvlJc w:val="left"/>
      <w:lvlText w:val="3"/>
      <w:numFmt w:val="bullet"/>
      <w:start w:val="1"/>
    </w:lvl>
  </w:abstractNum>
  <w:abstractNum w:abstractNumId="43">
    <w:nsid w:val="D34B6A8"/>
    <w:multiLevelType w:val="hybridMultilevel"/>
    <w:lvl w:ilvl="0">
      <w:lvlJc w:val="left"/>
      <w:lvlText w:val="1"/>
      <w:numFmt w:val="bullet"/>
      <w:start w:val="1"/>
    </w:lvl>
  </w:abstractNum>
  <w:abstractNum w:abstractNumId="44">
    <w:nsid w:val="10233C99"/>
    <w:multiLevelType w:val="hybridMultilevel"/>
    <w:lvl w:ilvl="0">
      <w:lvlJc w:val="left"/>
      <w:lvlText w:val="1"/>
      <w:numFmt w:val="bullet"/>
      <w:start w:val="1"/>
    </w:lvl>
  </w:abstractNum>
  <w:abstractNum w:abstractNumId="45">
    <w:nsid w:val="3F6AB60F"/>
    <w:multiLevelType w:val="hybridMultilevel"/>
    <w:lvl w:ilvl="0">
      <w:lvlJc w:val="left"/>
      <w:lvlText w:val="2"/>
      <w:numFmt w:val="bullet"/>
      <w:start w:val="1"/>
    </w:lvl>
  </w:abstractNum>
  <w:abstractNum w:abstractNumId="46">
    <w:nsid w:val="61574095"/>
    <w:multiLevelType w:val="hybridMultilevel"/>
    <w:lvl w:ilvl="0">
      <w:lvlJc w:val="left"/>
      <w:lvlText w:val="4"/>
      <w:numFmt w:val="bullet"/>
      <w:start w:val="1"/>
    </w:lvl>
  </w:abstractNum>
  <w:abstractNum w:abstractNumId="47">
    <w:nsid w:val="7E0C57B1"/>
    <w:multiLevelType w:val="hybridMultilevel"/>
    <w:lvl w:ilvl="0">
      <w:lvlJc w:val="left"/>
      <w:lvlText w:val="5"/>
      <w:numFmt w:val="bullet"/>
      <w:start w:val="1"/>
    </w:lvl>
  </w:abstractNum>
  <w:abstractNum w:abstractNumId="48">
    <w:nsid w:val="77AE35EB"/>
    <w:multiLevelType w:val="hybridMultilevel"/>
    <w:lvl w:ilvl="0">
      <w:lvlJc w:val="left"/>
      <w:lvlText w:val="1"/>
      <w:numFmt w:val="bullet"/>
      <w:start w:val="1"/>
    </w:lvl>
  </w:abstractNum>
  <w:abstractNum w:abstractNumId="49">
    <w:nsid w:val="579BE4F1"/>
    <w:multiLevelType w:val="hybridMultilevel"/>
    <w:lvl w:ilvl="0">
      <w:lvlJc w:val="left"/>
      <w:lvlText w:val="\endash "/>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bullet"/>
      <w:start w:val="1"/>
    </w:lvl>
  </w:abstractNum>
  <w:abstractNum w:abstractNumId="53">
    <w:nsid w:val="25A70BF7"/>
    <w:multiLevelType w:val="hybridMultilevel"/>
    <w:lvl w:ilvl="0">
      <w:lvlJc w:val="left"/>
      <w:lvlText w:val="1"/>
      <w:numFmt w:val="bullet"/>
      <w:start w:val="1"/>
    </w:lvl>
  </w:abstractNum>
  <w:abstractNum w:abstractNumId="54">
    <w:nsid w:val="1DBABF00"/>
    <w:multiLevelType w:val="hybridMultilevel"/>
    <w:lvl w:ilvl="0">
      <w:lvlJc w:val="left"/>
      <w:lvlText w:val="1"/>
      <w:numFmt w:val="bullet"/>
      <w:start w:val="1"/>
    </w:lvl>
  </w:abstractNum>
  <w:abstractNum w:abstractNumId="55">
    <w:nsid w:val="4AD084E9"/>
    <w:multiLevelType w:val="hybridMultilevel"/>
    <w:lvl w:ilvl="0">
      <w:lvlJc w:val="left"/>
      <w:lvlText w:val="2"/>
      <w:numFmt w:val="bullet"/>
      <w:start w:val="1"/>
    </w:lvl>
  </w:abstractNum>
  <w:abstractNum w:abstractNumId="56">
    <w:nsid w:val="1F48EAA1"/>
    <w:multiLevelType w:val="hybridMultilevel"/>
    <w:lvl w:ilvl="0">
      <w:lvlJc w:val="left"/>
      <w:lvlText w:val="3"/>
      <w:numFmt w:val="bullet"/>
      <w:start w:val="1"/>
    </w:lvl>
  </w:abstractNum>
  <w:abstractNum w:abstractNumId="57">
    <w:nsid w:val="1381823A"/>
    <w:multiLevelType w:val="hybridMultilevel"/>
    <w:lvl w:ilvl="0">
      <w:lvlJc w:val="left"/>
      <w:lvlText w:val="4"/>
      <w:numFmt w:val="bullet"/>
      <w:start w:val="1"/>
    </w:lvl>
  </w:abstractNum>
  <w:abstractNum w:abstractNumId="58">
    <w:nsid w:val="5DB70AE5"/>
    <w:multiLevelType w:val="hybridMultilevel"/>
    <w:lvl w:ilvl="0">
      <w:lvlJc w:val="left"/>
      <w:lvlText w:val="5"/>
      <w:numFmt w:val="bullet"/>
      <w:start w:val="1"/>
    </w:lvl>
  </w:abstractNum>
  <w:abstractNum w:abstractNumId="59">
    <w:nsid w:val="100F8FCA"/>
    <w:multiLevelType w:val="hybridMultilevel"/>
    <w:lvl w:ilvl="0">
      <w:lvlJc w:val="left"/>
      <w:lvlText w:val="6"/>
      <w:numFmt w:val="bullet"/>
      <w:start w:val="1"/>
    </w:lvl>
  </w:abstractNum>
  <w:abstractNum w:abstractNumId="60">
    <w:nsid w:val="6590700B"/>
    <w:multiLevelType w:val="hybridMultilevel"/>
    <w:lvl w:ilvl="0">
      <w:lvlJc w:val="left"/>
      <w:lvlText w:val="1"/>
      <w:numFmt w:val="bullet"/>
      <w:start w:val="1"/>
    </w:lvl>
  </w:abstractNum>
  <w:abstractNum w:abstractNumId="61">
    <w:nsid w:val="15014ACB"/>
    <w:multiLevelType w:val="hybridMultilevel"/>
    <w:lvl w:ilvl="0">
      <w:lvlJc w:val="left"/>
      <w:lvlText w:val="2"/>
      <w:numFmt w:val="bullet"/>
      <w:start w:val="1"/>
    </w:lvl>
  </w:abstractNum>
  <w:abstractNum w:abstractNumId="62">
    <w:nsid w:val="5F5E7FD0"/>
    <w:multiLevelType w:val="hybridMultilevel"/>
    <w:lvl w:ilvl="0">
      <w:lvlJc w:val="left"/>
      <w:lvlText w:val="3"/>
      <w:numFmt w:val="bullet"/>
      <w:start w:val="1"/>
    </w:lvl>
  </w:abstractNum>
  <w:abstractNum w:abstractNumId="63">
    <w:nsid w:val="98A3148"/>
    <w:multiLevelType w:val="hybridMultilevel"/>
    <w:lvl w:ilvl="0">
      <w:lvlJc w:val="left"/>
      <w:lvlText w:val="4"/>
      <w:numFmt w:val="bullet"/>
      <w:start w:val="1"/>
    </w:lvl>
  </w:abstractNum>
  <w:abstractNum w:abstractNumId="64">
    <w:nsid w:val="799D0247"/>
    <w:multiLevelType w:val="hybridMultilevel"/>
    <w:lvl w:ilvl="0">
      <w:lvlJc w:val="left"/>
      <w:lvlText w:val="5"/>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bullet"/>
      <w:start w:val="1"/>
    </w:lvl>
  </w:abstractNum>
  <w:abstractNum w:abstractNumId="67">
    <w:nsid w:val="168E121F"/>
    <w:multiLevelType w:val="hybridMultilevel"/>
    <w:lvl w:ilvl="0">
      <w:lvlJc w:val="left"/>
      <w:lvlText w:val="1"/>
      <w:numFmt w:val="bullet"/>
      <w:start w:val="1"/>
    </w:lvl>
  </w:abstractNum>
  <w:abstractNum w:abstractNumId="68">
    <w:nsid w:val="1EBA5D23"/>
    <w:multiLevelType w:val="hybridMultilevel"/>
    <w:lvl w:ilvl="0">
      <w:lvlJc w:val="left"/>
      <w:lvlText w:val="1"/>
      <w:numFmt w:val="bullet"/>
      <w:start w:val="1"/>
    </w:lvl>
  </w:abstractNum>
  <w:abstractNum w:abstractNumId="69">
    <w:nsid w:val="661E3F1E"/>
    <w:multiLevelType w:val="hybridMultilevel"/>
    <w:lvl w:ilvl="0">
      <w:lvlJc w:val="left"/>
      <w:lvlText w:val="(%1)"/>
      <w:numFmt w:val="lowerRoman"/>
      <w:start w:val="3"/>
    </w:lvl>
  </w:abstractNum>
  <w:abstractNum w:abstractNumId="70">
    <w:nsid w:val="5DC79EA8"/>
    <w:multiLevelType w:val="hybridMultilevel"/>
    <w:lvl w:ilvl="0">
      <w:lvlJc w:val="left"/>
      <w:lvlText w:val="%1"/>
      <w:numFmt w:val="decimal"/>
      <w:start w:val="101"/>
    </w:lvl>
  </w:abstractNum>
  <w:abstractNum w:abstractNumId="71">
    <w:nsid w:val="540A471C"/>
    <w:multiLevelType w:val="hybridMultilevel"/>
    <w:lvl w:ilvl="0">
      <w:lvlJc w:val="left"/>
      <w:lvlText w:val="*"/>
      <w:numFmt w:val="bullet"/>
      <w:start w:val="1"/>
    </w:lvl>
    <w:lvl w:ilvl="1">
      <w:lvlJc w:val="left"/>
      <w:lvlText w:val="%2"/>
      <w:numFmt w:val="decimal"/>
      <w:start w:val="104"/>
    </w:lvl>
  </w:abstractNum>
  <w:abstractNum w:abstractNumId="72">
    <w:nsid w:val="7BD3EE7B"/>
    <w:multiLevelType w:val="hybridMultilevel"/>
    <w:lvl w:ilvl="0">
      <w:lvlJc w:val="left"/>
      <w:lvlText w:val="**"/>
      <w:numFmt w:val="bullet"/>
      <w:start w:val="1"/>
    </w:lvl>
    <w:lvl w:ilvl="1">
      <w:lvlJc w:val="left"/>
      <w:lvlText w:val="%2"/>
      <w:numFmt w:val="decimal"/>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35" Type="http://schemas.openxmlformats.org/officeDocument/2006/relationships/hyperlink" Target="https://www.sec.gov/Archives/edgar/data/1587987/000119312514394101/d804521dex99a.htm" TargetMode="External"/><Relationship Id="rId136" Type="http://schemas.openxmlformats.org/officeDocument/2006/relationships/hyperlink" Target="https://www.sec.gov/Archives/edgar/data/1587987/000158798723000021/bylaws-01132023.htm" TargetMode="External"/><Relationship Id="rId137" Type="http://schemas.openxmlformats.org/officeDocument/2006/relationships/hyperlink" Target="https://www.sec.gov/ix?doc=/Archives/edgar/data/0001587987/000158798723000014/newt-20230117.htm" TargetMode="External"/><Relationship Id="rId138" Type="http://schemas.openxmlformats.org/officeDocument/2006/relationships/hyperlink" Target="https://www.sec.gov/Archives/edgar/data/1587987/000158798725000157/exhibit31.htm" TargetMode="External"/><Relationship Id="rId139" Type="http://schemas.openxmlformats.org/officeDocument/2006/relationships/hyperlink" Target="https://www.sec.gov/Archives/edgar/data/1587987/000158798725000169/newtekone-september2025a.htm" TargetMode="External"/><Relationship Id="rId140" Type="http://schemas.openxmlformats.org/officeDocument/2006/relationships/hyperlink" Target="https://www.sec.gov/ix?doc=/Archives/edgar/data/1587987/000158798724000135/newt-2024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2026-05-08T15:22:54Z</dcterms:created>
  <dcterms:modified xsi:type="dcterms:W3CDTF">2026-05-08T15:22:54Z</dcterms:modified>
</cp:coreProperties>
</file>