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16" w:lineRule="exact"/>
        <w:rPr>
          <w:sz w:val="24"/>
          <w:szCs w:val="24"/>
          <w:color w:val="auto"/>
        </w:rPr>
      </w:pPr>
    </w:p>
    <w:p>
      <w:pPr>
        <w:ind w:left="200" w:hanging="194"/>
        <w:spacing w:after="0"/>
        <w:tabs>
          <w:tab w:leader="none" w:pos="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4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quarterly period ended June 30, 2025</w:t>
      </w:r>
    </w:p>
    <w:p>
      <w:pPr>
        <w:spacing w:after="0" w:line="2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240"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highlight w:val="black"/>
        </w:rPr>
        <w:t xml:space="preserve">o </w:t>
      </w: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transition period from _____to____</w:t>
      </w:r>
      <w:r>
        <w:rPr>
          <w:rFonts w:ascii="Times New Roman" w:cs="Times New Roman" w:eastAsia="Times New Roman" w:hAnsi="Times New Roman"/>
          <w:sz w:val="18"/>
          <w:szCs w:val="18"/>
          <w:b w:val="1"/>
          <w:bCs w:val="1"/>
          <w:color w:val="auto"/>
        </w:rPr>
        <w:t>_</w:t>
      </w:r>
    </w:p>
    <w:p>
      <w:pPr>
        <w:spacing w:after="0" w:line="21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814-01035</w:t>
      </w:r>
    </w:p>
    <w:p>
      <w:pPr>
        <w:spacing w:after="0" w:line="2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2"/>
          <w:szCs w:val="42"/>
          <w:b w:val="1"/>
          <w:bCs w:val="1"/>
          <w:color w:val="auto"/>
        </w:rPr>
        <w:t>NEWTEKONE, INC.</w:t>
      </w:r>
    </w:p>
    <w:p>
      <w:pPr>
        <w:spacing w:after="0" w:line="3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13" w:lineRule="exact"/>
        <w:rPr>
          <w:sz w:val="24"/>
          <w:szCs w:val="24"/>
          <w:color w:val="auto"/>
        </w:rPr>
      </w:pPr>
    </w:p>
    <w:tbl>
      <w:tblPr>
        <w:tblLayout w:type="fixed"/>
        <w:tblInd w:w="860" w:type="dxa"/>
        <w:tblCellMar>
          <w:top w:w="0" w:type="dxa"/>
          <w:left w:w="0" w:type="dxa"/>
          <w:bottom w:w="0" w:type="dxa"/>
          <w:right w:w="0" w:type="dxa"/>
        </w:tblCellMar>
      </w:tblPr>
      <w:tr>
        <w:trPr>
          <w:trHeight w:val="223"/>
        </w:trPr>
        <w:tc>
          <w:tcPr>
            <w:tcW w:w="5200" w:type="dxa"/>
            <w:vAlign w:val="bottom"/>
          </w:tcPr>
          <w:p>
            <w:pPr>
              <w:jc w:val="center"/>
              <w:ind w:right="1281"/>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3400" w:type="dxa"/>
            <w:vAlign w:val="bottom"/>
          </w:tcPr>
          <w:p>
            <w:pPr>
              <w:jc w:val="right"/>
              <w:ind w:right="521"/>
              <w:spacing w:after="0"/>
              <w:rPr>
                <w:sz w:val="20"/>
                <w:szCs w:val="20"/>
                <w:color w:val="auto"/>
              </w:rPr>
            </w:pPr>
            <w:r>
              <w:rPr>
                <w:rFonts w:ascii="Times New Roman" w:cs="Times New Roman" w:eastAsia="Times New Roman" w:hAnsi="Times New Roman"/>
                <w:sz w:val="18"/>
                <w:szCs w:val="18"/>
                <w:b w:val="1"/>
                <w:bCs w:val="1"/>
                <w:color w:val="auto"/>
              </w:rPr>
              <w:t>46-3755188</w:t>
            </w:r>
          </w:p>
        </w:tc>
      </w:tr>
      <w:tr>
        <w:trPr>
          <w:trHeight w:val="184"/>
        </w:trPr>
        <w:tc>
          <w:tcPr>
            <w:tcW w:w="5200" w:type="dxa"/>
            <w:vAlign w:val="bottom"/>
          </w:tcPr>
          <w:p>
            <w:pPr>
              <w:jc w:val="center"/>
              <w:ind w:right="1281"/>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400" w:type="dxa"/>
            <w:vAlign w:val="bottom"/>
          </w:tcPr>
          <w:p>
            <w:pPr>
              <w:jc w:val="center"/>
              <w:ind w:left="1281"/>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92"/>
        </w:trPr>
        <w:tc>
          <w:tcPr>
            <w:tcW w:w="5200" w:type="dxa"/>
            <w:vAlign w:val="bottom"/>
          </w:tcPr>
          <w:p>
            <w:pPr>
              <w:jc w:val="center"/>
              <w:ind w:right="1281"/>
              <w:spacing w:after="0"/>
              <w:rPr>
                <w:sz w:val="20"/>
                <w:szCs w:val="20"/>
                <w:color w:val="auto"/>
              </w:rPr>
            </w:pPr>
            <w:r>
              <w:rPr>
                <w:rFonts w:ascii="Times New Roman" w:cs="Times New Roman" w:eastAsia="Times New Roman" w:hAnsi="Times New Roman"/>
                <w:sz w:val="18"/>
                <w:szCs w:val="18"/>
                <w:b w:val="1"/>
                <w:bCs w:val="1"/>
                <w:color w:val="auto"/>
                <w:w w:val="97"/>
              </w:rPr>
              <w:t>4800 T Rex Avenue, Suite 120, Boca Raton, Florida</w:t>
            </w:r>
          </w:p>
        </w:tc>
        <w:tc>
          <w:tcPr>
            <w:tcW w:w="3400" w:type="dxa"/>
            <w:vAlign w:val="bottom"/>
          </w:tcPr>
          <w:p>
            <w:pPr>
              <w:jc w:val="right"/>
              <w:ind w:right="721"/>
              <w:spacing w:after="0"/>
              <w:rPr>
                <w:sz w:val="20"/>
                <w:szCs w:val="20"/>
                <w:color w:val="auto"/>
              </w:rPr>
            </w:pPr>
            <w:r>
              <w:rPr>
                <w:rFonts w:ascii="Times New Roman" w:cs="Times New Roman" w:eastAsia="Times New Roman" w:hAnsi="Times New Roman"/>
                <w:sz w:val="18"/>
                <w:szCs w:val="18"/>
                <w:b w:val="1"/>
                <w:bCs w:val="1"/>
                <w:color w:val="auto"/>
              </w:rPr>
              <w:t>33431</w:t>
            </w:r>
          </w:p>
        </w:tc>
      </w:tr>
      <w:tr>
        <w:trPr>
          <w:trHeight w:val="184"/>
        </w:trPr>
        <w:tc>
          <w:tcPr>
            <w:tcW w:w="5200" w:type="dxa"/>
            <w:vAlign w:val="bottom"/>
          </w:tcPr>
          <w:p>
            <w:pPr>
              <w:jc w:val="center"/>
              <w:ind w:right="1281"/>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400" w:type="dxa"/>
            <w:vAlign w:val="bottom"/>
          </w:tcPr>
          <w:p>
            <w:pPr>
              <w:jc w:val="center"/>
              <w:ind w:left="1261"/>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9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(212) 356-9500</w:t>
      </w:r>
    </w:p>
    <w:p>
      <w:pPr>
        <w:spacing w:after="0" w:line="2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9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2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1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6"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4220" w:type="dxa"/>
            <w:vAlign w:val="bottom"/>
            <w:gridSpan w:val="2"/>
          </w:tcPr>
          <w:p>
            <w:pPr>
              <w:ind w:left="14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Trading Symbol(s)</w:t>
            </w:r>
          </w:p>
        </w:tc>
        <w:tc>
          <w:tcPr>
            <w:tcW w:w="4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 of each exchange on which registered</w:t>
            </w:r>
          </w:p>
        </w:tc>
      </w:tr>
      <w:tr>
        <w:trPr>
          <w:trHeight w:val="213"/>
        </w:trPr>
        <w:tc>
          <w:tcPr>
            <w:tcW w:w="4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Common Stock, par value $0.02 per share</w:t>
            </w:r>
          </w:p>
        </w:tc>
        <w:tc>
          <w:tcPr>
            <w:tcW w:w="100" w:type="dxa"/>
            <w:vAlign w:val="bottom"/>
          </w:tcPr>
          <w:p>
            <w:pPr>
              <w:spacing w:after="0"/>
              <w:rPr>
                <w:sz w:val="18"/>
                <w:szCs w:val="18"/>
                <w:color w:val="auto"/>
              </w:rPr>
            </w:pPr>
          </w:p>
        </w:tc>
        <w:tc>
          <w:tcPr>
            <w:tcW w:w="2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NEWT</w:t>
            </w:r>
          </w:p>
        </w:tc>
        <w:tc>
          <w:tcPr>
            <w:tcW w:w="100" w:type="dxa"/>
            <w:vAlign w:val="bottom"/>
          </w:tcPr>
          <w:p>
            <w:pPr>
              <w:spacing w:after="0"/>
              <w:rPr>
                <w:sz w:val="18"/>
                <w:szCs w:val="18"/>
                <w:color w:val="auto"/>
              </w:rPr>
            </w:pPr>
          </w:p>
        </w:tc>
        <w:tc>
          <w:tcPr>
            <w:tcW w:w="4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Nasdaq Global Market LLC</w:t>
            </w:r>
          </w:p>
        </w:tc>
      </w:tr>
      <w:tr>
        <w:trPr>
          <w:trHeight w:val="225"/>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5.50% Notes due 2026</w:t>
            </w:r>
          </w:p>
        </w:tc>
        <w:tc>
          <w:tcPr>
            <w:tcW w:w="2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NEWTZ</w:t>
            </w:r>
          </w:p>
        </w:tc>
        <w:tc>
          <w:tcPr>
            <w:tcW w:w="4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Nasdaq Global Market LLC</w:t>
            </w:r>
          </w:p>
        </w:tc>
      </w:tr>
      <w:tr>
        <w:trPr>
          <w:trHeight w:val="225"/>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8.00% Notes due 2028</w:t>
            </w:r>
          </w:p>
        </w:tc>
        <w:tc>
          <w:tcPr>
            <w:tcW w:w="2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NEWTI</w:t>
            </w:r>
          </w:p>
        </w:tc>
        <w:tc>
          <w:tcPr>
            <w:tcW w:w="4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Nasdaq Global Market LLC</w:t>
            </w:r>
          </w:p>
        </w:tc>
      </w:tr>
      <w:tr>
        <w:trPr>
          <w:trHeight w:val="225"/>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8.50% Notes due 2029</w:t>
            </w:r>
          </w:p>
        </w:tc>
        <w:tc>
          <w:tcPr>
            <w:tcW w:w="2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NEWTG</w:t>
            </w:r>
          </w:p>
        </w:tc>
        <w:tc>
          <w:tcPr>
            <w:tcW w:w="4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Nasdaq Global Market LLC</w:t>
            </w:r>
          </w:p>
        </w:tc>
      </w:tr>
      <w:tr>
        <w:trPr>
          <w:trHeight w:val="229"/>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8.625% Notes due 2029</w:t>
            </w:r>
          </w:p>
        </w:tc>
        <w:tc>
          <w:tcPr>
            <w:tcW w:w="2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NEWTH</w:t>
            </w:r>
          </w:p>
        </w:tc>
        <w:tc>
          <w:tcPr>
            <w:tcW w:w="4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Nasdaq Global Market LLC</w:t>
            </w:r>
          </w:p>
        </w:tc>
      </w:tr>
    </w:tbl>
    <w:p>
      <w:pPr>
        <w:spacing w:after="0" w:line="300" w:lineRule="exact"/>
        <w:rPr>
          <w:sz w:val="24"/>
          <w:szCs w:val="24"/>
          <w:color w:val="auto"/>
        </w:rPr>
      </w:pPr>
    </w:p>
    <w:p>
      <w:pPr>
        <w:ind w:right="100"/>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past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8" w:lineRule="exact"/>
        <w:rPr>
          <w:sz w:val="24"/>
          <w:szCs w:val="24"/>
          <w:color w:val="auto"/>
        </w:rPr>
      </w:pPr>
    </w:p>
    <w:p>
      <w:pPr>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and post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8" w:lineRule="exact"/>
        <w:rPr>
          <w:sz w:val="24"/>
          <w:szCs w:val="24"/>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523875</wp:posOffset>
            </wp:positionV>
            <wp:extent cx="716026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044" w:right="379" w:bottom="144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29"/>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80" w:type="dxa"/>
            <w:vAlign w:val="bottom"/>
          </w:tcPr>
          <w:p>
            <w:pPr>
              <w:ind w:left="1740"/>
              <w:spacing w:after="0"/>
              <w:rPr>
                <w:sz w:val="20"/>
                <w:szCs w:val="20"/>
                <w:color w:val="auto"/>
              </w:rPr>
            </w:pPr>
            <w:r>
              <w:rPr>
                <w:rFonts w:ascii="Wingdings" w:cs="Wingdings" w:eastAsia="Wingdings" w:hAnsi="Wingdings"/>
                <w:sz w:val="18"/>
                <w:szCs w:val="18"/>
                <w:b w:val="1"/>
                <w:bCs w:val="1"/>
                <w:color w:val="auto"/>
              </w:rPr>
              <w:t>o</w:t>
            </w: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Accelerated Filer</w:t>
            </w:r>
          </w:p>
        </w:tc>
        <w:tc>
          <w:tcPr>
            <w:tcW w:w="1740" w:type="dxa"/>
            <w:vAlign w:val="bottom"/>
          </w:tcPr>
          <w:p>
            <w:pPr>
              <w:ind w:left="1560"/>
              <w:spacing w:after="0"/>
              <w:rPr>
                <w:sz w:val="20"/>
                <w:szCs w:val="20"/>
                <w:color w:val="auto"/>
              </w:rPr>
            </w:pPr>
            <w:r>
              <w:rPr>
                <w:rFonts w:ascii="Wingdings" w:cs="Wingdings" w:eastAsia="Wingdings" w:hAnsi="Wingdings"/>
                <w:sz w:val="18"/>
                <w:szCs w:val="18"/>
                <w:b w:val="1"/>
                <w:bCs w:val="1"/>
                <w:color w:val="auto"/>
                <w:w w:val="83"/>
              </w:rPr>
              <w:t>x</w:t>
            </w:r>
          </w:p>
        </w:tc>
      </w:tr>
      <w:tr>
        <w:trPr>
          <w:trHeight w:val="278"/>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80" w:type="dxa"/>
            <w:vAlign w:val="bottom"/>
          </w:tcPr>
          <w:p>
            <w:pPr>
              <w:ind w:left="1740"/>
              <w:spacing w:after="0"/>
              <w:rPr>
                <w:sz w:val="20"/>
                <w:szCs w:val="20"/>
                <w:color w:val="auto"/>
              </w:rPr>
            </w:pPr>
            <w:r>
              <w:rPr>
                <w:rFonts w:ascii="Wingdings" w:cs="Wingdings" w:eastAsia="Wingdings" w:hAnsi="Wingdings"/>
                <w:sz w:val="18"/>
                <w:szCs w:val="18"/>
                <w:b w:val="1"/>
                <w:bCs w:val="1"/>
                <w:color w:val="auto"/>
              </w:rPr>
              <w:t>o</w:t>
            </w: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740" w:type="dxa"/>
            <w:vAlign w:val="bottom"/>
          </w:tcPr>
          <w:p>
            <w:pPr>
              <w:ind w:left="1560"/>
              <w:spacing w:after="0"/>
              <w:rPr>
                <w:sz w:val="20"/>
                <w:szCs w:val="20"/>
                <w:color w:val="auto"/>
              </w:rPr>
            </w:pPr>
            <w:r>
              <w:rPr>
                <w:rFonts w:ascii="Wingdings" w:cs="Wingdings" w:eastAsia="Wingdings" w:hAnsi="Wingdings"/>
                <w:sz w:val="18"/>
                <w:szCs w:val="18"/>
                <w:b w:val="1"/>
                <w:bCs w:val="1"/>
                <w:color w:val="auto"/>
                <w:w w:val="99"/>
              </w:rPr>
              <w:t>o</w:t>
            </w:r>
          </w:p>
        </w:tc>
      </w:tr>
      <w:tr>
        <w:trPr>
          <w:trHeight w:val="278"/>
        </w:trPr>
        <w:tc>
          <w:tcPr>
            <w:tcW w:w="3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740" w:type="dxa"/>
            <w:vAlign w:val="bottom"/>
          </w:tcPr>
          <w:p>
            <w:pPr>
              <w:ind w:left="1560"/>
              <w:spacing w:after="0"/>
              <w:rPr>
                <w:sz w:val="20"/>
                <w:szCs w:val="20"/>
                <w:color w:val="auto"/>
              </w:rPr>
            </w:pPr>
            <w:r>
              <w:rPr>
                <w:rFonts w:ascii="Wingdings" w:cs="Wingdings" w:eastAsia="Wingdings" w:hAnsi="Wingdings"/>
                <w:sz w:val="18"/>
                <w:szCs w:val="18"/>
                <w:b w:val="1"/>
                <w:bCs w:val="1"/>
                <w:color w:val="auto"/>
                <w:w w:val="99"/>
              </w:rPr>
              <w:t>o</w:t>
            </w:r>
          </w:p>
        </w:tc>
      </w:tr>
    </w:tbl>
    <w:p>
      <w:pPr>
        <w:spacing w:after="0" w:line="6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or accounting standards provided pursuant to Section 13(a) of the Exchange Act. </w:t>
      </w:r>
      <w:r>
        <w:rPr>
          <w:rFonts w:ascii="Wingdings" w:cs="Wingdings" w:eastAsia="Wingdings" w:hAnsi="Wingdings"/>
          <w:sz w:val="18"/>
          <w:szCs w:val="18"/>
          <w:b w:val="1"/>
          <w:bCs w:val="1"/>
          <w:color w:val="auto"/>
        </w:rPr>
        <w:t>o</w:t>
      </w:r>
    </w:p>
    <w:p>
      <w:pPr>
        <w:spacing w:after="0" w:line="368"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August 7, 2025, there were 26,321,852 shares outstanding of the registrant’s Common Stock, par value $0.02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698500</wp:posOffset>
            </wp:positionV>
            <wp:extent cx="716026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40"/>
          </w:cols>
          <w:pgMar w:left="320" w:top="1007" w:right="5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1"/>
        </w:trPr>
        <w:tc>
          <w:tcPr>
            <w:tcW w:w="1300" w:type="dxa"/>
            <w:vAlign w:val="bottom"/>
          </w:tcPr>
          <w:p>
            <w:pPr>
              <w:spacing w:after="0"/>
              <w:rPr>
                <w:sz w:val="23"/>
                <w:szCs w:val="23"/>
                <w:color w:val="auto"/>
              </w:rPr>
            </w:pPr>
          </w:p>
        </w:tc>
        <w:tc>
          <w:tcPr>
            <w:tcW w:w="828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Defined Terms</w:t>
            </w:r>
          </w:p>
        </w:tc>
        <w:tc>
          <w:tcPr>
            <w:tcW w:w="1660" w:type="dxa"/>
            <w:vAlign w:val="bottom"/>
            <w:gridSpan w:val="3"/>
          </w:tcPr>
          <w:p>
            <w:pPr>
              <w:jc w:val="right"/>
              <w:ind w:right="11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5"/>
        </w:trPr>
        <w:tc>
          <w:tcPr>
            <w:tcW w:w="1300" w:type="dxa"/>
            <w:vAlign w:val="bottom"/>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40" w:type="dxa"/>
            <w:vAlign w:val="bottom"/>
            <w:gridSpan w:val="18"/>
          </w:tcPr>
          <w:p>
            <w:pPr>
              <w:jc w:val="center"/>
              <w:ind w:right="2980"/>
              <w:spacing w:after="0" w:line="205" w:lineRule="exact"/>
              <w:rPr>
                <w:sz w:val="20"/>
                <w:szCs w:val="20"/>
                <w:color w:val="auto"/>
              </w:rPr>
            </w:pPr>
            <w:r>
              <w:rPr>
                <w:rFonts w:ascii="Times New Roman" w:cs="Times New Roman" w:eastAsia="Times New Roman" w:hAnsi="Times New Roman"/>
                <w:sz w:val="18"/>
                <w:szCs w:val="18"/>
                <w:b w:val="1"/>
                <w:bCs w:val="1"/>
                <w:color w:val="0000FF"/>
                <w:w w:val="96"/>
              </w:rPr>
              <w:t>PART I - FINANCIAL INFORMATION</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15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6"/>
              </w:rPr>
              <w:t>Financial Statements:</w:t>
            </w:r>
          </w:p>
        </w:tc>
        <w:tc>
          <w:tcPr>
            <w:tcW w:w="720" w:type="dxa"/>
            <w:vAlign w:val="bottom"/>
            <w:gridSpan w:val="2"/>
          </w:tcPr>
          <w:p>
            <w:pPr>
              <w:spacing w:after="0"/>
              <w:rPr>
                <w:sz w:val="22"/>
                <w:szCs w:val="22"/>
                <w:color w:val="auto"/>
              </w:rPr>
            </w:pPr>
          </w:p>
        </w:tc>
        <w:tc>
          <w:tcPr>
            <w:tcW w:w="3060" w:type="dxa"/>
            <w:vAlign w:val="bottom"/>
            <w:tcBorders>
              <w:top w:val="single" w:sz="8" w:color="0000FF"/>
            </w:tcBorders>
            <w:gridSpan w:val="7"/>
          </w:tcPr>
          <w:p>
            <w:pPr>
              <w:spacing w:after="0"/>
              <w:rPr>
                <w:sz w:val="22"/>
                <w:szCs w:val="22"/>
                <w:color w:val="auto"/>
              </w:rPr>
            </w:pPr>
          </w:p>
        </w:tc>
        <w:tc>
          <w:tcPr>
            <w:tcW w:w="2980" w:type="dxa"/>
            <w:vAlign w:val="bottom"/>
            <w:gridSpan w:val="11"/>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2"/>
                <w:szCs w:val="22"/>
                <w:color w:val="auto"/>
              </w:rPr>
            </w:pPr>
          </w:p>
        </w:tc>
        <w:tc>
          <w:tcPr>
            <w:tcW w:w="742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w w:val="97"/>
              </w:rPr>
              <w:t>Consolidated Statements of Financial Condition as of June 30, 2025 (Unaudited) and December 31, 2024</w:t>
            </w:r>
          </w:p>
        </w:tc>
        <w:tc>
          <w:tcPr>
            <w:tcW w:w="860" w:type="dxa"/>
            <w:vAlign w:val="bottom"/>
            <w:gridSpan w:val="4"/>
          </w:tcPr>
          <w:p>
            <w:pPr>
              <w:spacing w:after="0"/>
              <w:rPr>
                <w:sz w:val="22"/>
                <w:szCs w:val="22"/>
                <w:color w:val="auto"/>
              </w:rPr>
            </w:pPr>
          </w:p>
        </w:tc>
        <w:tc>
          <w:tcPr>
            <w:tcW w:w="1660" w:type="dxa"/>
            <w:vAlign w:val="bottom"/>
            <w:gridSpan w:val="3"/>
          </w:tcPr>
          <w:p>
            <w:pPr>
              <w:jc w:val="right"/>
              <w:ind w:right="11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2"/>
                <w:szCs w:val="22"/>
                <w:color w:val="auto"/>
              </w:rPr>
            </w:pPr>
          </w:p>
        </w:tc>
        <w:tc>
          <w:tcPr>
            <w:tcW w:w="828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Consolidated Statements of Income for the three and six months ended June 30, 2025 and 2024 (Unaudited)</w:t>
            </w:r>
          </w:p>
        </w:tc>
        <w:tc>
          <w:tcPr>
            <w:tcW w:w="1660" w:type="dxa"/>
            <w:vAlign w:val="bottom"/>
            <w:gridSpan w:val="3"/>
          </w:tcPr>
          <w:p>
            <w:pPr>
              <w:jc w:val="right"/>
              <w:ind w:right="1120"/>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1300" w:type="dxa"/>
            <w:vAlign w:val="bottom"/>
          </w:tcPr>
          <w:p>
            <w:pPr>
              <w:spacing w:after="0"/>
              <w:rPr>
                <w:sz w:val="22"/>
                <w:szCs w:val="22"/>
                <w:color w:val="auto"/>
              </w:rPr>
            </w:pPr>
          </w:p>
        </w:tc>
        <w:tc>
          <w:tcPr>
            <w:tcW w:w="828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for the three and six months ended June 30, 2025 and 2024</w:t>
            </w:r>
          </w:p>
        </w:tc>
        <w:tc>
          <w:tcPr>
            <w:tcW w:w="1660" w:type="dxa"/>
            <w:vAlign w:val="bottom"/>
            <w:gridSpan w:val="3"/>
            <w:vMerge w:val="restart"/>
          </w:tcPr>
          <w:p>
            <w:pPr>
              <w:jc w:val="right"/>
              <w:ind w:right="11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152"/>
        </w:trPr>
        <w:tc>
          <w:tcPr>
            <w:tcW w:w="1300" w:type="dxa"/>
            <w:vAlign w:val="bottom"/>
          </w:tcPr>
          <w:p>
            <w:pPr>
              <w:spacing w:after="0"/>
              <w:rPr>
                <w:sz w:val="13"/>
                <w:szCs w:val="13"/>
                <w:color w:val="auto"/>
              </w:rPr>
            </w:pPr>
          </w:p>
        </w:tc>
        <w:tc>
          <w:tcPr>
            <w:tcW w:w="7860" w:type="dxa"/>
            <w:vAlign w:val="bottom"/>
            <w:tcBorders>
              <w:top w:val="single" w:sz="8" w:color="0000FF"/>
            </w:tcBorders>
            <w:gridSpan w:val="29"/>
          </w:tcPr>
          <w:p>
            <w:pPr>
              <w:spacing w:after="0" w:line="138" w:lineRule="exact"/>
              <w:rPr>
                <w:sz w:val="20"/>
                <w:szCs w:val="20"/>
                <w:color w:val="auto"/>
              </w:rPr>
            </w:pPr>
            <w:r>
              <w:rPr>
                <w:rFonts w:ascii="Times New Roman" w:cs="Times New Roman" w:eastAsia="Times New Roman" w:hAnsi="Times New Roman"/>
                <w:sz w:val="15"/>
                <w:szCs w:val="15"/>
                <w:color w:val="0000FF"/>
              </w:rPr>
              <w:t>(Unaudited)</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1300" w:type="dxa"/>
            <w:vAlign w:val="bottom"/>
          </w:tcPr>
          <w:p>
            <w:pPr>
              <w:spacing w:after="0"/>
              <w:rPr>
                <w:sz w:val="23"/>
                <w:szCs w:val="23"/>
                <w:color w:val="auto"/>
              </w:rPr>
            </w:pPr>
          </w:p>
        </w:tc>
        <w:tc>
          <w:tcPr>
            <w:tcW w:w="828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w w:val="99"/>
              </w:rPr>
              <w:t>Consolidated Statements of Changes in Shareholders’ Equity for the three and six months ended June 30, 2025 and</w:t>
            </w:r>
          </w:p>
        </w:tc>
        <w:tc>
          <w:tcPr>
            <w:tcW w:w="1660" w:type="dxa"/>
            <w:vAlign w:val="bottom"/>
            <w:gridSpan w:val="3"/>
            <w:vMerge w:val="restart"/>
          </w:tcPr>
          <w:p>
            <w:pPr>
              <w:jc w:val="right"/>
              <w:ind w:right="1120"/>
              <w:spacing w:after="0"/>
              <w:rPr>
                <w:sz w:val="20"/>
                <w:szCs w:val="20"/>
                <w:color w:val="auto"/>
              </w:rPr>
            </w:pPr>
            <w:r>
              <w:rPr>
                <w:rFonts w:ascii="Times New Roman" w:cs="Times New Roman" w:eastAsia="Times New Roman" w:hAnsi="Times New Roman"/>
                <w:sz w:val="18"/>
                <w:szCs w:val="18"/>
                <w:color w:val="0000FF"/>
              </w:rPr>
              <w:t>13</w:t>
            </w:r>
          </w:p>
        </w:tc>
        <w:tc>
          <w:tcPr>
            <w:tcW w:w="0" w:type="dxa"/>
            <w:vAlign w:val="bottom"/>
          </w:tcPr>
          <w:p>
            <w:pPr>
              <w:spacing w:after="0"/>
              <w:rPr>
                <w:sz w:val="1"/>
                <w:szCs w:val="1"/>
                <w:color w:val="auto"/>
              </w:rPr>
            </w:pPr>
          </w:p>
        </w:tc>
      </w:tr>
      <w:tr>
        <w:trPr>
          <w:trHeight w:val="152"/>
        </w:trPr>
        <w:tc>
          <w:tcPr>
            <w:tcW w:w="1300" w:type="dxa"/>
            <w:vAlign w:val="bottom"/>
          </w:tcPr>
          <w:p>
            <w:pPr>
              <w:spacing w:after="0"/>
              <w:rPr>
                <w:sz w:val="13"/>
                <w:szCs w:val="13"/>
                <w:color w:val="auto"/>
              </w:rPr>
            </w:pPr>
          </w:p>
        </w:tc>
        <w:tc>
          <w:tcPr>
            <w:tcW w:w="8100" w:type="dxa"/>
            <w:vAlign w:val="bottom"/>
            <w:tcBorders>
              <w:top w:val="single" w:sz="8" w:color="0000FF"/>
            </w:tcBorders>
            <w:gridSpan w:val="30"/>
          </w:tcPr>
          <w:p>
            <w:pPr>
              <w:spacing w:after="0" w:line="138" w:lineRule="exact"/>
              <w:rPr>
                <w:sz w:val="20"/>
                <w:szCs w:val="20"/>
                <w:color w:val="auto"/>
              </w:rPr>
            </w:pPr>
            <w:r>
              <w:rPr>
                <w:rFonts w:ascii="Times New Roman" w:cs="Times New Roman" w:eastAsia="Times New Roman" w:hAnsi="Times New Roman"/>
                <w:sz w:val="15"/>
                <w:szCs w:val="15"/>
                <w:color w:val="0000FF"/>
              </w:rPr>
              <w:t xml:space="preserve">2024 </w:t>
            </w:r>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FF"/>
              </w:rPr>
              <w:t>Unaudited)</w:t>
            </w:r>
          </w:p>
        </w:tc>
        <w:tc>
          <w:tcPr>
            <w:tcW w:w="180" w:type="dxa"/>
            <w:vAlign w:val="bottom"/>
          </w:tcPr>
          <w:p>
            <w:pPr>
              <w:spacing w:after="0"/>
              <w:rPr>
                <w:sz w:val="13"/>
                <w:szCs w:val="13"/>
                <w:color w:val="auto"/>
              </w:rPr>
            </w:pPr>
          </w:p>
        </w:tc>
        <w:tc>
          <w:tcPr>
            <w:tcW w:w="16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1300" w:type="dxa"/>
            <w:vAlign w:val="bottom"/>
          </w:tcPr>
          <w:p>
            <w:pPr>
              <w:spacing w:after="0"/>
              <w:rPr>
                <w:sz w:val="23"/>
                <w:szCs w:val="23"/>
                <w:color w:val="auto"/>
              </w:rPr>
            </w:pPr>
          </w:p>
        </w:tc>
        <w:tc>
          <w:tcPr>
            <w:tcW w:w="828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six months ended June 30, 2025 and 2024 (Unaudited)</w:t>
            </w:r>
          </w:p>
        </w:tc>
        <w:tc>
          <w:tcPr>
            <w:tcW w:w="1660" w:type="dxa"/>
            <w:vAlign w:val="bottom"/>
            <w:gridSpan w:val="3"/>
          </w:tcPr>
          <w:p>
            <w:pPr>
              <w:jc w:val="right"/>
              <w:ind w:right="1120"/>
              <w:spacing w:after="0"/>
              <w:rPr>
                <w:sz w:val="20"/>
                <w:szCs w:val="20"/>
                <w:color w:val="auto"/>
              </w:rPr>
            </w:pPr>
            <w:r>
              <w:rPr>
                <w:rFonts w:ascii="Times New Roman" w:cs="Times New Roman" w:eastAsia="Times New Roman" w:hAnsi="Times New Roman"/>
                <w:sz w:val="18"/>
                <w:szCs w:val="18"/>
                <w:color w:val="0000FF"/>
              </w:rPr>
              <w:t>15</w:t>
            </w: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2"/>
                <w:szCs w:val="22"/>
                <w:color w:val="auto"/>
              </w:rPr>
            </w:pPr>
          </w:p>
        </w:tc>
        <w:tc>
          <w:tcPr>
            <w:tcW w:w="398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7"/>
              </w:rPr>
              <w:t>Notes to Consolidated Financial Statements (Unaudited)</w:t>
            </w:r>
          </w:p>
        </w:tc>
        <w:tc>
          <w:tcPr>
            <w:tcW w:w="2320" w:type="dxa"/>
            <w:vAlign w:val="bottom"/>
            <w:tcBorders>
              <w:top w:val="single" w:sz="8" w:color="0000FF"/>
            </w:tcBorders>
            <w:gridSpan w:val="5"/>
          </w:tcPr>
          <w:p>
            <w:pPr>
              <w:spacing w:after="0"/>
              <w:rPr>
                <w:sz w:val="22"/>
                <w:szCs w:val="22"/>
                <w:color w:val="auto"/>
              </w:rPr>
            </w:pPr>
          </w:p>
        </w:tc>
        <w:tc>
          <w:tcPr>
            <w:tcW w:w="60" w:type="dxa"/>
            <w:vAlign w:val="bottom"/>
            <w:gridSpan w:val="2"/>
          </w:tcPr>
          <w:p>
            <w:pPr>
              <w:spacing w:after="0"/>
              <w:rPr>
                <w:sz w:val="22"/>
                <w:szCs w:val="22"/>
                <w:color w:val="auto"/>
              </w:rPr>
            </w:pPr>
          </w:p>
        </w:tc>
        <w:tc>
          <w:tcPr>
            <w:tcW w:w="840" w:type="dxa"/>
            <w:vAlign w:val="bottom"/>
            <w:tcBorders>
              <w:top w:val="single" w:sz="8" w:color="0000FF"/>
            </w:tcBorders>
            <w:gridSpan w:val="3"/>
          </w:tcPr>
          <w:p>
            <w:pPr>
              <w:spacing w:after="0"/>
              <w:rPr>
                <w:sz w:val="22"/>
                <w:szCs w:val="22"/>
                <w:color w:val="auto"/>
              </w:rPr>
            </w:pPr>
          </w:p>
        </w:tc>
        <w:tc>
          <w:tcPr>
            <w:tcW w:w="1080" w:type="dxa"/>
            <w:vAlign w:val="bottom"/>
            <w:gridSpan w:val="5"/>
          </w:tcPr>
          <w:p>
            <w:pPr>
              <w:spacing w:after="0"/>
              <w:rPr>
                <w:sz w:val="22"/>
                <w:szCs w:val="22"/>
                <w:color w:val="auto"/>
              </w:rPr>
            </w:pPr>
          </w:p>
        </w:tc>
        <w:tc>
          <w:tcPr>
            <w:tcW w:w="1660" w:type="dxa"/>
            <w:vAlign w:val="bottom"/>
            <w:gridSpan w:val="3"/>
          </w:tcPr>
          <w:p>
            <w:pPr>
              <w:jc w:val="right"/>
              <w:ind w:right="1120"/>
              <w:spacing w:after="0"/>
              <w:rPr>
                <w:sz w:val="20"/>
                <w:szCs w:val="20"/>
                <w:color w:val="auto"/>
              </w:rPr>
            </w:pPr>
            <w:r>
              <w:rPr>
                <w:rFonts w:ascii="Times New Roman" w:cs="Times New Roman" w:eastAsia="Times New Roman" w:hAnsi="Times New Roman"/>
                <w:sz w:val="18"/>
                <w:szCs w:val="18"/>
                <w:color w:val="0000FF"/>
              </w:rPr>
              <w:t>17</w:t>
            </w:r>
          </w:p>
        </w:tc>
        <w:tc>
          <w:tcPr>
            <w:tcW w:w="0" w:type="dxa"/>
            <w:vAlign w:val="bottom"/>
          </w:tcPr>
          <w:p>
            <w:pPr>
              <w:spacing w:after="0"/>
              <w:rPr>
                <w:sz w:val="1"/>
                <w:szCs w:val="1"/>
                <w:color w:val="auto"/>
              </w:rPr>
            </w:pPr>
          </w:p>
        </w:tc>
      </w:tr>
      <w:tr>
        <w:trPr>
          <w:trHeight w:val="258"/>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632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7"/>
              </w:rPr>
              <w:t>Management’s Discussion and Analysis of Financial Condition and Results of Operations</w:t>
            </w:r>
          </w:p>
        </w:tc>
        <w:tc>
          <w:tcPr>
            <w:tcW w:w="1960" w:type="dxa"/>
            <w:vAlign w:val="bottom"/>
            <w:gridSpan w:val="9"/>
          </w:tcPr>
          <w:p>
            <w:pPr>
              <w:spacing w:after="0"/>
              <w:rPr>
                <w:sz w:val="22"/>
                <w:szCs w:val="22"/>
                <w:color w:val="auto"/>
              </w:rPr>
            </w:pPr>
          </w:p>
        </w:tc>
        <w:tc>
          <w:tcPr>
            <w:tcW w:w="1660" w:type="dxa"/>
            <w:vAlign w:val="bottom"/>
            <w:gridSpan w:val="3"/>
          </w:tcPr>
          <w:p>
            <w:pPr>
              <w:jc w:val="right"/>
              <w:ind w:right="1120"/>
              <w:spacing w:after="0"/>
              <w:rPr>
                <w:sz w:val="20"/>
                <w:szCs w:val="20"/>
                <w:color w:val="auto"/>
              </w:rPr>
            </w:pPr>
            <w:r>
              <w:rPr>
                <w:rFonts w:ascii="Times New Roman" w:cs="Times New Roman" w:eastAsia="Times New Roman" w:hAnsi="Times New Roman"/>
                <w:sz w:val="18"/>
                <w:szCs w:val="18"/>
                <w:color w:val="0000FF"/>
              </w:rPr>
              <w:t>63</w:t>
            </w:r>
          </w:p>
        </w:tc>
        <w:tc>
          <w:tcPr>
            <w:tcW w:w="0" w:type="dxa"/>
            <w:vAlign w:val="bottom"/>
          </w:tcPr>
          <w:p>
            <w:pPr>
              <w:spacing w:after="0"/>
              <w:rPr>
                <w:sz w:val="1"/>
                <w:szCs w:val="1"/>
                <w:color w:val="auto"/>
              </w:rPr>
            </w:pPr>
          </w:p>
        </w:tc>
      </w:tr>
      <w:tr>
        <w:trPr>
          <w:trHeight w:val="258"/>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2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7"/>
              </w:rPr>
              <w:t>Quantitative and Qualitative Disclosures About Market Risk</w:t>
            </w:r>
          </w:p>
        </w:tc>
        <w:tc>
          <w:tcPr>
            <w:tcW w:w="4020" w:type="dxa"/>
            <w:vAlign w:val="bottom"/>
            <w:gridSpan w:val="13"/>
          </w:tcPr>
          <w:p>
            <w:pPr>
              <w:spacing w:after="0"/>
              <w:rPr>
                <w:sz w:val="22"/>
                <w:szCs w:val="22"/>
                <w:color w:val="auto"/>
              </w:rPr>
            </w:pPr>
          </w:p>
        </w:tc>
        <w:tc>
          <w:tcPr>
            <w:tcW w:w="1660" w:type="dxa"/>
            <w:vAlign w:val="bottom"/>
            <w:gridSpan w:val="3"/>
          </w:tcPr>
          <w:p>
            <w:pPr>
              <w:jc w:val="right"/>
              <w:ind w:right="1120"/>
              <w:spacing w:after="0"/>
              <w:rPr>
                <w:sz w:val="20"/>
                <w:szCs w:val="20"/>
                <w:color w:val="auto"/>
              </w:rPr>
            </w:pPr>
            <w:r>
              <w:rPr>
                <w:rFonts w:ascii="Times New Roman" w:cs="Times New Roman" w:eastAsia="Times New Roman" w:hAnsi="Times New Roman"/>
                <w:sz w:val="18"/>
                <w:szCs w:val="18"/>
                <w:color w:val="0000FF"/>
              </w:rPr>
              <w:t>102</w:t>
            </w:r>
          </w:p>
        </w:tc>
        <w:tc>
          <w:tcPr>
            <w:tcW w:w="0" w:type="dxa"/>
            <w:vAlign w:val="bottom"/>
          </w:tcPr>
          <w:p>
            <w:pPr>
              <w:spacing w:after="0"/>
              <w:rPr>
                <w:sz w:val="1"/>
                <w:szCs w:val="1"/>
                <w:color w:val="auto"/>
              </w:rPr>
            </w:pPr>
          </w:p>
        </w:tc>
      </w:tr>
      <w:tr>
        <w:trPr>
          <w:trHeight w:val="258"/>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828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660" w:type="dxa"/>
            <w:vAlign w:val="bottom"/>
            <w:gridSpan w:val="3"/>
          </w:tcPr>
          <w:p>
            <w:pPr>
              <w:jc w:val="right"/>
              <w:ind w:right="1120"/>
              <w:spacing w:after="0"/>
              <w:rPr>
                <w:sz w:val="20"/>
                <w:szCs w:val="20"/>
                <w:color w:val="auto"/>
              </w:rPr>
            </w:pPr>
            <w:r>
              <w:rPr>
                <w:rFonts w:ascii="Times New Roman" w:cs="Times New Roman" w:eastAsia="Times New Roman" w:hAnsi="Times New Roman"/>
                <w:sz w:val="18"/>
                <w:szCs w:val="18"/>
                <w:color w:val="0000FF"/>
              </w:rPr>
              <w:t>104</w:t>
            </w: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2"/>
                <w:szCs w:val="22"/>
                <w:color w:val="auto"/>
              </w:rPr>
            </w:pPr>
          </w:p>
        </w:tc>
        <w:tc>
          <w:tcPr>
            <w:tcW w:w="3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20" w:type="dxa"/>
            <w:vAlign w:val="bottom"/>
            <w:gridSpan w:val="17"/>
          </w:tcPr>
          <w:p>
            <w:pPr>
              <w:jc w:val="center"/>
              <w:ind w:right="2980"/>
              <w:spacing w:after="0"/>
              <w:rPr>
                <w:sz w:val="20"/>
                <w:szCs w:val="20"/>
                <w:color w:val="auto"/>
              </w:rPr>
            </w:pPr>
            <w:r>
              <w:rPr>
                <w:rFonts w:ascii="Times New Roman" w:cs="Times New Roman" w:eastAsia="Times New Roman" w:hAnsi="Times New Roman"/>
                <w:sz w:val="18"/>
                <w:szCs w:val="18"/>
                <w:b w:val="1"/>
                <w:bCs w:val="1"/>
                <w:color w:val="0000FF"/>
                <w:w w:val="96"/>
              </w:rPr>
              <w:t>PART II - OTHER INFORMATION</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13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1100" w:type="dxa"/>
            <w:vAlign w:val="bottom"/>
            <w:gridSpan w:val="5"/>
          </w:tcPr>
          <w:p>
            <w:pPr>
              <w:spacing w:after="0"/>
              <w:rPr>
                <w:sz w:val="22"/>
                <w:szCs w:val="22"/>
                <w:color w:val="auto"/>
              </w:rPr>
            </w:pPr>
          </w:p>
        </w:tc>
        <w:tc>
          <w:tcPr>
            <w:tcW w:w="2760" w:type="dxa"/>
            <w:vAlign w:val="bottom"/>
            <w:tcBorders>
              <w:top w:val="single" w:sz="8" w:color="0000FF"/>
            </w:tcBorders>
            <w:gridSpan w:val="4"/>
          </w:tcPr>
          <w:p>
            <w:pPr>
              <w:spacing w:after="0"/>
              <w:rPr>
                <w:sz w:val="22"/>
                <w:szCs w:val="22"/>
                <w:color w:val="auto"/>
              </w:rPr>
            </w:pPr>
          </w:p>
        </w:tc>
        <w:tc>
          <w:tcPr>
            <w:tcW w:w="3120" w:type="dxa"/>
            <w:vAlign w:val="bottom"/>
            <w:gridSpan w:val="12"/>
          </w:tcPr>
          <w:p>
            <w:pPr>
              <w:spacing w:after="0"/>
              <w:rPr>
                <w:sz w:val="22"/>
                <w:szCs w:val="22"/>
                <w:color w:val="auto"/>
              </w:rPr>
            </w:pPr>
          </w:p>
        </w:tc>
        <w:tc>
          <w:tcPr>
            <w:tcW w:w="1660" w:type="dxa"/>
            <w:vAlign w:val="bottom"/>
            <w:gridSpan w:val="3"/>
          </w:tcPr>
          <w:p>
            <w:pPr>
              <w:jc w:val="right"/>
              <w:ind w:right="1120"/>
              <w:spacing w:after="0"/>
              <w:rPr>
                <w:sz w:val="20"/>
                <w:szCs w:val="20"/>
                <w:color w:val="auto"/>
              </w:rPr>
            </w:pPr>
            <w:r>
              <w:rPr>
                <w:rFonts w:ascii="Times New Roman" w:cs="Times New Roman" w:eastAsia="Times New Roman" w:hAnsi="Times New Roman"/>
                <w:sz w:val="18"/>
                <w:szCs w:val="18"/>
                <w:color w:val="0000FF"/>
              </w:rPr>
              <w:t>106</w:t>
            </w:r>
          </w:p>
        </w:tc>
        <w:tc>
          <w:tcPr>
            <w:tcW w:w="0" w:type="dxa"/>
            <w:vAlign w:val="bottom"/>
          </w:tcPr>
          <w:p>
            <w:pPr>
              <w:spacing w:after="0"/>
              <w:rPr>
                <w:sz w:val="1"/>
                <w:szCs w:val="1"/>
                <w:color w:val="auto"/>
              </w:rPr>
            </w:pPr>
          </w:p>
        </w:tc>
      </w:tr>
      <w:tr>
        <w:trPr>
          <w:trHeight w:val="258"/>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8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4"/>
              </w:rPr>
              <w:t>Risk Factors</w:t>
            </w:r>
          </w:p>
        </w:tc>
        <w:tc>
          <w:tcPr>
            <w:tcW w:w="7400" w:type="dxa"/>
            <w:vAlign w:val="bottom"/>
            <w:gridSpan w:val="25"/>
          </w:tcPr>
          <w:p>
            <w:pPr>
              <w:spacing w:after="0"/>
              <w:rPr>
                <w:sz w:val="22"/>
                <w:szCs w:val="22"/>
                <w:color w:val="auto"/>
              </w:rPr>
            </w:pPr>
          </w:p>
        </w:tc>
        <w:tc>
          <w:tcPr>
            <w:tcW w:w="1660" w:type="dxa"/>
            <w:vAlign w:val="bottom"/>
            <w:gridSpan w:val="3"/>
          </w:tcPr>
          <w:p>
            <w:pPr>
              <w:jc w:val="right"/>
              <w:ind w:right="1120"/>
              <w:spacing w:after="0"/>
              <w:rPr>
                <w:sz w:val="20"/>
                <w:szCs w:val="20"/>
                <w:color w:val="auto"/>
              </w:rPr>
            </w:pPr>
            <w:r>
              <w:rPr>
                <w:rFonts w:ascii="Times New Roman" w:cs="Times New Roman" w:eastAsia="Times New Roman" w:hAnsi="Times New Roman"/>
                <w:sz w:val="18"/>
                <w:szCs w:val="18"/>
                <w:color w:val="0000FF"/>
              </w:rPr>
              <w:t>106</w:t>
            </w:r>
          </w:p>
        </w:tc>
        <w:tc>
          <w:tcPr>
            <w:tcW w:w="0" w:type="dxa"/>
            <w:vAlign w:val="bottom"/>
          </w:tcPr>
          <w:p>
            <w:pPr>
              <w:spacing w:after="0"/>
              <w:rPr>
                <w:sz w:val="1"/>
                <w:szCs w:val="1"/>
                <w:color w:val="auto"/>
              </w:rPr>
            </w:pPr>
          </w:p>
        </w:tc>
      </w:tr>
      <w:tr>
        <w:trPr>
          <w:trHeight w:val="258"/>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828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660" w:type="dxa"/>
            <w:vAlign w:val="bottom"/>
            <w:gridSpan w:val="3"/>
          </w:tcPr>
          <w:p>
            <w:pPr>
              <w:jc w:val="right"/>
              <w:ind w:right="1120"/>
              <w:spacing w:after="0"/>
              <w:rPr>
                <w:sz w:val="20"/>
                <w:szCs w:val="20"/>
                <w:color w:val="auto"/>
              </w:rPr>
            </w:pPr>
            <w:r>
              <w:rPr>
                <w:rFonts w:ascii="Times New Roman" w:cs="Times New Roman" w:eastAsia="Times New Roman" w:hAnsi="Times New Roman"/>
                <w:sz w:val="18"/>
                <w:szCs w:val="18"/>
                <w:color w:val="0000FF"/>
              </w:rPr>
              <w:t>106</w:t>
            </w:r>
          </w:p>
        </w:tc>
        <w:tc>
          <w:tcPr>
            <w:tcW w:w="0" w:type="dxa"/>
            <w:vAlign w:val="bottom"/>
          </w:tcPr>
          <w:p>
            <w:pPr>
              <w:spacing w:after="0"/>
              <w:rPr>
                <w:sz w:val="1"/>
                <w:szCs w:val="1"/>
                <w:color w:val="auto"/>
              </w:rPr>
            </w:pPr>
          </w:p>
        </w:tc>
      </w:tr>
      <w:tr>
        <w:trPr>
          <w:trHeight w:val="258"/>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24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040" w:type="dxa"/>
            <w:vAlign w:val="bottom"/>
            <w:gridSpan w:val="14"/>
          </w:tcPr>
          <w:p>
            <w:pPr>
              <w:spacing w:after="0"/>
              <w:rPr>
                <w:sz w:val="22"/>
                <w:szCs w:val="22"/>
                <w:color w:val="auto"/>
              </w:rPr>
            </w:pPr>
          </w:p>
        </w:tc>
        <w:tc>
          <w:tcPr>
            <w:tcW w:w="1660" w:type="dxa"/>
            <w:vAlign w:val="bottom"/>
            <w:gridSpan w:val="3"/>
          </w:tcPr>
          <w:p>
            <w:pPr>
              <w:jc w:val="right"/>
              <w:ind w:right="1120"/>
              <w:spacing w:after="0"/>
              <w:rPr>
                <w:sz w:val="20"/>
                <w:szCs w:val="20"/>
                <w:color w:val="auto"/>
              </w:rPr>
            </w:pPr>
            <w:r>
              <w:rPr>
                <w:rFonts w:ascii="Times New Roman" w:cs="Times New Roman" w:eastAsia="Times New Roman" w:hAnsi="Times New Roman"/>
                <w:sz w:val="18"/>
                <w:szCs w:val="18"/>
                <w:color w:val="0000FF"/>
              </w:rPr>
              <w:t>106</w:t>
            </w:r>
          </w:p>
        </w:tc>
        <w:tc>
          <w:tcPr>
            <w:tcW w:w="0" w:type="dxa"/>
            <w:vAlign w:val="bottom"/>
          </w:tcPr>
          <w:p>
            <w:pPr>
              <w:spacing w:after="0"/>
              <w:rPr>
                <w:sz w:val="1"/>
                <w:szCs w:val="1"/>
                <w:color w:val="auto"/>
              </w:rPr>
            </w:pPr>
          </w:p>
        </w:tc>
      </w:tr>
      <w:tr>
        <w:trPr>
          <w:trHeight w:val="258"/>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226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020" w:type="dxa"/>
            <w:vAlign w:val="bottom"/>
            <w:gridSpan w:val="17"/>
          </w:tcPr>
          <w:p>
            <w:pPr>
              <w:spacing w:after="0"/>
              <w:rPr>
                <w:sz w:val="22"/>
                <w:szCs w:val="22"/>
                <w:color w:val="auto"/>
              </w:rPr>
            </w:pPr>
          </w:p>
        </w:tc>
        <w:tc>
          <w:tcPr>
            <w:tcW w:w="1660" w:type="dxa"/>
            <w:vAlign w:val="bottom"/>
            <w:gridSpan w:val="3"/>
          </w:tcPr>
          <w:p>
            <w:pPr>
              <w:jc w:val="right"/>
              <w:ind w:right="1120"/>
              <w:spacing w:after="0"/>
              <w:rPr>
                <w:sz w:val="20"/>
                <w:szCs w:val="20"/>
                <w:color w:val="auto"/>
              </w:rPr>
            </w:pPr>
            <w:r>
              <w:rPr>
                <w:rFonts w:ascii="Times New Roman" w:cs="Times New Roman" w:eastAsia="Times New Roman" w:hAnsi="Times New Roman"/>
                <w:sz w:val="18"/>
                <w:szCs w:val="18"/>
                <w:color w:val="0000FF"/>
              </w:rPr>
              <w:t>106</w:t>
            </w:r>
          </w:p>
        </w:tc>
        <w:tc>
          <w:tcPr>
            <w:tcW w:w="0" w:type="dxa"/>
            <w:vAlign w:val="bottom"/>
          </w:tcPr>
          <w:p>
            <w:pPr>
              <w:spacing w:after="0"/>
              <w:rPr>
                <w:sz w:val="1"/>
                <w:szCs w:val="1"/>
                <w:color w:val="auto"/>
              </w:rPr>
            </w:pPr>
          </w:p>
        </w:tc>
      </w:tr>
      <w:tr>
        <w:trPr>
          <w:trHeight w:val="258"/>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128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5"/>
              </w:rPr>
              <w:t>Other Information</w:t>
            </w:r>
          </w:p>
        </w:tc>
        <w:tc>
          <w:tcPr>
            <w:tcW w:w="440" w:type="dxa"/>
            <w:vAlign w:val="bottom"/>
            <w:tcBorders>
              <w:top w:val="single" w:sz="8" w:color="0000FF"/>
            </w:tcBorders>
            <w:gridSpan w:val="3"/>
          </w:tcPr>
          <w:p>
            <w:pPr>
              <w:spacing w:after="0"/>
              <w:rPr>
                <w:sz w:val="22"/>
                <w:szCs w:val="22"/>
                <w:color w:val="auto"/>
              </w:rPr>
            </w:pPr>
          </w:p>
        </w:tc>
        <w:tc>
          <w:tcPr>
            <w:tcW w:w="6560" w:type="dxa"/>
            <w:vAlign w:val="bottom"/>
            <w:gridSpan w:val="19"/>
          </w:tcPr>
          <w:p>
            <w:pPr>
              <w:spacing w:after="0"/>
              <w:rPr>
                <w:sz w:val="22"/>
                <w:szCs w:val="22"/>
                <w:color w:val="auto"/>
              </w:rPr>
            </w:pPr>
          </w:p>
        </w:tc>
        <w:tc>
          <w:tcPr>
            <w:tcW w:w="1660" w:type="dxa"/>
            <w:vAlign w:val="bottom"/>
            <w:gridSpan w:val="3"/>
          </w:tcPr>
          <w:p>
            <w:pPr>
              <w:jc w:val="right"/>
              <w:ind w:right="1120"/>
              <w:spacing w:after="0"/>
              <w:rPr>
                <w:sz w:val="20"/>
                <w:szCs w:val="20"/>
                <w:color w:val="auto"/>
              </w:rPr>
            </w:pPr>
            <w:r>
              <w:rPr>
                <w:rFonts w:ascii="Times New Roman" w:cs="Times New Roman" w:eastAsia="Times New Roman" w:hAnsi="Times New Roman"/>
                <w:sz w:val="18"/>
                <w:szCs w:val="18"/>
                <w:color w:val="0000FF"/>
              </w:rPr>
              <w:t>106</w:t>
            </w:r>
          </w:p>
        </w:tc>
        <w:tc>
          <w:tcPr>
            <w:tcW w:w="0" w:type="dxa"/>
            <w:vAlign w:val="bottom"/>
          </w:tcPr>
          <w:p>
            <w:pPr>
              <w:spacing w:after="0"/>
              <w:rPr>
                <w:sz w:val="1"/>
                <w:szCs w:val="1"/>
                <w:color w:val="auto"/>
              </w:rPr>
            </w:pPr>
          </w:p>
        </w:tc>
      </w:tr>
      <w:tr>
        <w:trPr>
          <w:trHeight w:val="258"/>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5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3"/>
              </w:rPr>
              <w:t>Exhibits</w:t>
            </w:r>
          </w:p>
        </w:tc>
        <w:tc>
          <w:tcPr>
            <w:tcW w:w="7700" w:type="dxa"/>
            <w:vAlign w:val="bottom"/>
            <w:gridSpan w:val="28"/>
          </w:tcPr>
          <w:p>
            <w:pPr>
              <w:spacing w:after="0"/>
              <w:rPr>
                <w:sz w:val="22"/>
                <w:szCs w:val="22"/>
                <w:color w:val="auto"/>
              </w:rPr>
            </w:pPr>
          </w:p>
        </w:tc>
        <w:tc>
          <w:tcPr>
            <w:tcW w:w="1660" w:type="dxa"/>
            <w:vAlign w:val="bottom"/>
            <w:gridSpan w:val="3"/>
          </w:tcPr>
          <w:p>
            <w:pPr>
              <w:jc w:val="right"/>
              <w:ind w:right="1120"/>
              <w:spacing w:after="0"/>
              <w:rPr>
                <w:sz w:val="20"/>
                <w:szCs w:val="20"/>
                <w:color w:val="auto"/>
              </w:rPr>
            </w:pPr>
            <w:r>
              <w:rPr>
                <w:rFonts w:ascii="Times New Roman" w:cs="Times New Roman" w:eastAsia="Times New Roman" w:hAnsi="Times New Roman"/>
                <w:sz w:val="18"/>
                <w:szCs w:val="18"/>
                <w:color w:val="0000FF"/>
              </w:rPr>
              <w:t>107</w:t>
            </w: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2"/>
                <w:szCs w:val="22"/>
                <w:color w:val="auto"/>
              </w:rPr>
            </w:pPr>
          </w:p>
        </w:tc>
        <w:tc>
          <w:tcPr>
            <w:tcW w:w="828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660" w:type="dxa"/>
            <w:vAlign w:val="bottom"/>
            <w:gridSpan w:val="3"/>
          </w:tcPr>
          <w:p>
            <w:pPr>
              <w:jc w:val="right"/>
              <w:ind w:right="1120"/>
              <w:spacing w:after="0"/>
              <w:rPr>
                <w:sz w:val="20"/>
                <w:szCs w:val="20"/>
                <w:color w:val="auto"/>
              </w:rPr>
            </w:pPr>
            <w:r>
              <w:rPr>
                <w:rFonts w:ascii="Times New Roman" w:cs="Times New Roman" w:eastAsia="Times New Roman" w:hAnsi="Times New Roman"/>
                <w:sz w:val="18"/>
                <w:szCs w:val="18"/>
                <w:color w:val="0000FF"/>
              </w:rPr>
              <w:t>108</w:t>
            </w:r>
          </w:p>
        </w:tc>
        <w:tc>
          <w:tcPr>
            <w:tcW w:w="0" w:type="dxa"/>
            <w:vAlign w:val="bottom"/>
          </w:tcPr>
          <w:p>
            <w:pPr>
              <w:spacing w:after="0"/>
              <w:rPr>
                <w:sz w:val="1"/>
                <w:szCs w:val="1"/>
                <w:color w:val="auto"/>
              </w:rPr>
            </w:pPr>
          </w:p>
        </w:tc>
      </w:tr>
      <w:tr>
        <w:trPr>
          <w:trHeight w:val="978"/>
        </w:trPr>
        <w:tc>
          <w:tcPr>
            <w:tcW w:w="1300" w:type="dxa"/>
            <w:vAlign w:val="bottom"/>
            <w:tcBorders>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Defined Terms</w:t>
      </w:r>
    </w:p>
    <w:p>
      <w:pPr>
        <w:spacing w:after="0" w:line="244"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color w:val="auto"/>
        </w:rPr>
        <w:t>We have used “we,” “us,” “our,” “our company,” and “the Company” to refer to NewtekOne, Inc. and its subsidiaries in this report. We also have used several other terms in this report, which are explained or defined below:</w:t>
      </w:r>
    </w:p>
    <w:tbl>
      <w:tblPr>
        <w:tblLayout w:type="fixed"/>
        <w:tblInd w:w="0" w:type="dxa"/>
        <w:tblCellMar>
          <w:top w:w="0" w:type="dxa"/>
          <w:left w:w="0" w:type="dxa"/>
          <w:bottom w:w="0" w:type="dxa"/>
          <w:right w:w="0" w:type="dxa"/>
        </w:tblCellMar>
      </w:tblPr>
      <w:tr>
        <w:trPr>
          <w:trHeight w:val="231"/>
        </w:trPr>
        <w:tc>
          <w:tcPr>
            <w:tcW w:w="30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Terms</w:t>
            </w:r>
          </w:p>
        </w:tc>
        <w:tc>
          <w:tcPr>
            <w:tcW w:w="8220" w:type="dxa"/>
            <w:vAlign w:val="bottom"/>
            <w:tcBorders>
              <w:bottom w:val="single" w:sz="8" w:color="CCEEFF"/>
            </w:tcBorders>
          </w:tcPr>
          <w:p>
            <w:pPr>
              <w:spacing w:after="0"/>
              <w:rPr>
                <w:sz w:val="20"/>
                <w:szCs w:val="20"/>
                <w:color w:val="auto"/>
              </w:rPr>
            </w:pPr>
          </w:p>
        </w:tc>
      </w:tr>
      <w:tr>
        <w:trPr>
          <w:trHeight w:val="218"/>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1940</w:t>
            </w:r>
          </w:p>
        </w:tc>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Company Act of 1940, as amended</w:t>
            </w:r>
          </w:p>
        </w:tc>
      </w:tr>
      <w:tr>
        <w:trPr>
          <w:trHeight w:val="225"/>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2017-1 Trust</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Newtek Small Business Loan Trust, Series 2017-1, terminated in February 2023</w:t>
            </w:r>
          </w:p>
        </w:tc>
      </w:tr>
      <w:tr>
        <w:trPr>
          <w:trHeight w:val="225"/>
        </w:trPr>
        <w:tc>
          <w:tcPr>
            <w:tcW w:w="3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2018-1 Trust</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Newtek Small Business Loan Trust, Series 2018-1, terminated in October 2024</w:t>
            </w:r>
          </w:p>
        </w:tc>
      </w:tr>
      <w:tr>
        <w:trPr>
          <w:trHeight w:val="225"/>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2019-1 Trust</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Newtek Small Business Loan Trust, Series 2019-1, terminated in October 2024</w:t>
            </w:r>
          </w:p>
        </w:tc>
      </w:tr>
      <w:tr>
        <w:trPr>
          <w:trHeight w:val="225"/>
        </w:trPr>
        <w:tc>
          <w:tcPr>
            <w:tcW w:w="3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2021-1 Trust</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Newtek Small Business Loan Trust, Series 2021-1</w:t>
            </w:r>
          </w:p>
        </w:tc>
      </w:tr>
      <w:tr>
        <w:trPr>
          <w:trHeight w:val="225"/>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2022-1 Trust</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Newtek Small Business Loan Trust, Series 2022-1</w:t>
            </w:r>
          </w:p>
        </w:tc>
      </w:tr>
      <w:tr>
        <w:trPr>
          <w:trHeight w:val="225"/>
        </w:trPr>
        <w:tc>
          <w:tcPr>
            <w:tcW w:w="3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2023-1 Trust</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Newtek Small Business Loan Trust, Series 2023-1</w:t>
            </w:r>
          </w:p>
        </w:tc>
      </w:tr>
      <w:tr>
        <w:trPr>
          <w:trHeight w:val="225"/>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2025-1 Trust</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NALP Business Loan Trust, Series 2025-1</w:t>
            </w:r>
          </w:p>
        </w:tc>
      </w:tr>
      <w:tr>
        <w:trPr>
          <w:trHeight w:val="225"/>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2024</w:t>
            </w:r>
          </w:p>
        </w:tc>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5.75% Notes due 2024, matured August 1, 2024</w:t>
            </w:r>
          </w:p>
        </w:tc>
      </w:tr>
      <w:tr>
        <w:trPr>
          <w:trHeight w:val="225"/>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2025</w:t>
            </w: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5.00% Notes</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5.00% Notes due 2025, matured March 31, 2025</w:t>
            </w:r>
          </w:p>
        </w:tc>
      </w:tr>
      <w:tr>
        <w:trPr>
          <w:trHeight w:val="225"/>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2025</w:t>
            </w:r>
          </w:p>
        </w:tc>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8.125% Notes</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8.125% Notes due 2025, exchanged for 2027 Notes</w:t>
            </w:r>
          </w:p>
        </w:tc>
      </w:tr>
      <w:tr>
        <w:trPr>
          <w:trHeight w:val="225"/>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2025</w:t>
            </w: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Collectively, the 2025 5.00% Notes and 2025 8.125% Notes</w:t>
            </w:r>
          </w:p>
        </w:tc>
      </w:tr>
      <w:tr>
        <w:trPr>
          <w:trHeight w:val="225"/>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2026</w:t>
            </w:r>
          </w:p>
        </w:tc>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5.50% Notes due 2026</w:t>
            </w:r>
          </w:p>
        </w:tc>
      </w:tr>
      <w:tr>
        <w:trPr>
          <w:trHeight w:val="225"/>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2027</w:t>
            </w: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8.125% Notes due 2027</w:t>
            </w:r>
          </w:p>
        </w:tc>
      </w:tr>
      <w:tr>
        <w:trPr>
          <w:trHeight w:val="225"/>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2028</w:t>
            </w:r>
          </w:p>
        </w:tc>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8.00% Notes due 2028</w:t>
            </w:r>
          </w:p>
        </w:tc>
      </w:tr>
      <w:tr>
        <w:trPr>
          <w:trHeight w:val="225"/>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2029</w:t>
            </w: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8.50% Notes</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8.50% Notes due 2029</w:t>
            </w:r>
          </w:p>
        </w:tc>
      </w:tr>
      <w:tr>
        <w:trPr>
          <w:trHeight w:val="225"/>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2029</w:t>
            </w:r>
          </w:p>
        </w:tc>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8.625% Notes</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8.625% Notes due 2029</w:t>
            </w:r>
          </w:p>
        </w:tc>
      </w:tr>
      <w:tr>
        <w:trPr>
          <w:trHeight w:val="225"/>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2029</w:t>
            </w: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Collectively, the 2029 8.50% Notes and 2029 8.625% Notes</w:t>
            </w:r>
          </w:p>
        </w:tc>
      </w:tr>
      <w:tr>
        <w:trPr>
          <w:trHeight w:val="225"/>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2030</w:t>
            </w:r>
          </w:p>
        </w:tc>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8.375% Notes due 2030</w:t>
            </w:r>
          </w:p>
        </w:tc>
      </w:tr>
      <w:tr>
        <w:trPr>
          <w:trHeight w:val="225"/>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ABL</w:t>
            </w:r>
          </w:p>
        </w:tc>
        <w:tc>
          <w:tcPr>
            <w:tcW w:w="2620" w:type="dxa"/>
            <w:vAlign w:val="bottom"/>
          </w:tcPr>
          <w:p>
            <w:pPr>
              <w:spacing w:after="0"/>
              <w:rPr>
                <w:sz w:val="19"/>
                <w:szCs w:val="19"/>
                <w:color w:val="auto"/>
              </w:rPr>
            </w:pP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based lending</w:t>
            </w:r>
          </w:p>
        </w:tc>
      </w:tr>
      <w:tr>
        <w:trPr>
          <w:trHeight w:val="225"/>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ACL</w:t>
            </w:r>
          </w:p>
        </w:tc>
        <w:tc>
          <w:tcPr>
            <w:tcW w:w="2620" w:type="dxa"/>
            <w:vAlign w:val="bottom"/>
            <w:shd w:val="clear" w:color="auto" w:fill="CCEEFF"/>
          </w:tcPr>
          <w:p>
            <w:pPr>
              <w:spacing w:after="0"/>
              <w:rPr>
                <w:sz w:val="19"/>
                <w:szCs w:val="19"/>
                <w:color w:val="auto"/>
              </w:rPr>
            </w:pP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r>
      <w:tr>
        <w:trPr>
          <w:trHeight w:val="172"/>
        </w:trPr>
        <w:tc>
          <w:tcPr>
            <w:tcW w:w="3020" w:type="dxa"/>
            <w:vAlign w:val="bottom"/>
            <w:gridSpan w:val="2"/>
          </w:tcPr>
          <w:p>
            <w:pPr>
              <w:ind w:left="20"/>
              <w:spacing w:after="0" w:line="172" w:lineRule="exact"/>
              <w:rPr>
                <w:sz w:val="20"/>
                <w:szCs w:val="20"/>
                <w:color w:val="auto"/>
              </w:rPr>
            </w:pPr>
            <w:r>
              <w:rPr>
                <w:rFonts w:ascii="Times New Roman" w:cs="Times New Roman" w:eastAsia="Times New Roman" w:hAnsi="Times New Roman"/>
                <w:sz w:val="18"/>
                <w:szCs w:val="18"/>
                <w:color w:val="auto"/>
              </w:rPr>
              <w:t>Acquisition</w:t>
            </w:r>
          </w:p>
        </w:tc>
        <w:tc>
          <w:tcPr>
            <w:tcW w:w="822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w w:val="99"/>
              </w:rPr>
              <w:t>The Company’s Acquisition of NBNYC, pursuant to which the Company acquired from the NBNYC shareholders</w:t>
            </w:r>
          </w:p>
        </w:tc>
      </w:tr>
      <w:tr>
        <w:trPr>
          <w:trHeight w:val="233"/>
        </w:trPr>
        <w:tc>
          <w:tcPr>
            <w:tcW w:w="4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of the issued and outstanding stock of NBNYC</w:t>
            </w: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ALP</w:t>
            </w:r>
          </w:p>
        </w:tc>
        <w:tc>
          <w:tcPr>
            <w:tcW w:w="2620" w:type="dxa"/>
            <w:vAlign w:val="bottom"/>
            <w:shd w:val="clear" w:color="auto" w:fill="CCEEFF"/>
          </w:tcPr>
          <w:p>
            <w:pPr>
              <w:spacing w:after="0"/>
              <w:rPr>
                <w:sz w:val="19"/>
                <w:szCs w:val="19"/>
                <w:color w:val="auto"/>
              </w:rPr>
            </w:pP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Alternative Lending Program</w:t>
            </w:r>
          </w:p>
        </w:tc>
      </w:tr>
      <w:tr>
        <w:trPr>
          <w:trHeight w:val="225"/>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ASC</w:t>
            </w:r>
          </w:p>
        </w:tc>
        <w:tc>
          <w:tcPr>
            <w:tcW w:w="2620" w:type="dxa"/>
            <w:vAlign w:val="bottom"/>
          </w:tcPr>
          <w:p>
            <w:pPr>
              <w:spacing w:after="0"/>
              <w:rPr>
                <w:sz w:val="19"/>
                <w:szCs w:val="19"/>
                <w:color w:val="auto"/>
              </w:rPr>
            </w:pP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Standards Codification, as issued by the FASB</w:t>
            </w:r>
          </w:p>
        </w:tc>
      </w:tr>
      <w:tr>
        <w:trPr>
          <w:trHeight w:val="225"/>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ASU</w:t>
            </w:r>
          </w:p>
        </w:tc>
        <w:tc>
          <w:tcPr>
            <w:tcW w:w="2620" w:type="dxa"/>
            <w:vAlign w:val="bottom"/>
            <w:shd w:val="clear" w:color="auto" w:fill="CCEEFF"/>
          </w:tcPr>
          <w:p>
            <w:pPr>
              <w:spacing w:after="0"/>
              <w:rPr>
                <w:sz w:val="19"/>
                <w:szCs w:val="19"/>
                <w:color w:val="auto"/>
              </w:rPr>
            </w:pP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Accounting Standards Updates, as issued by the FASB</w:t>
            </w:r>
          </w:p>
        </w:tc>
      </w:tr>
      <w:tr>
        <w:trPr>
          <w:trHeight w:val="172"/>
        </w:trPr>
        <w:tc>
          <w:tcPr>
            <w:tcW w:w="3020" w:type="dxa"/>
            <w:vAlign w:val="bottom"/>
            <w:gridSpan w:val="2"/>
          </w:tcPr>
          <w:p>
            <w:pPr>
              <w:ind w:left="20"/>
              <w:spacing w:after="0" w:line="172" w:lineRule="exact"/>
              <w:rPr>
                <w:sz w:val="20"/>
                <w:szCs w:val="20"/>
                <w:color w:val="auto"/>
              </w:rPr>
            </w:pPr>
            <w:r>
              <w:rPr>
                <w:rFonts w:ascii="Times New Roman" w:cs="Times New Roman" w:eastAsia="Times New Roman" w:hAnsi="Times New Roman"/>
                <w:sz w:val="18"/>
                <w:szCs w:val="18"/>
                <w:color w:val="auto"/>
              </w:rPr>
              <w:t>Original ATM Equity Distribution</w:t>
            </w:r>
          </w:p>
        </w:tc>
        <w:tc>
          <w:tcPr>
            <w:tcW w:w="822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w w:val="98"/>
              </w:rPr>
              <w:t>The Original ATM Equity Distribution Agreement, dated November 17, 2023, by and among the Company and the</w:t>
            </w:r>
          </w:p>
        </w:tc>
      </w:tr>
      <w:tr>
        <w:trPr>
          <w:trHeight w:val="233"/>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Agreement</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placement agents</w:t>
            </w:r>
          </w:p>
        </w:tc>
      </w:tr>
      <w:tr>
        <w:trPr>
          <w:trHeight w:val="176"/>
        </w:trPr>
        <w:tc>
          <w:tcPr>
            <w:tcW w:w="30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Amended and Restated Equity</w:t>
            </w:r>
          </w:p>
        </w:tc>
        <w:tc>
          <w:tcPr>
            <w:tcW w:w="82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The Amended and Restated Equity Distribution Agreement, dated June 6, 2025, by and among the Company and</w:t>
            </w:r>
          </w:p>
        </w:tc>
      </w:tr>
      <w:tr>
        <w:trPr>
          <w:trHeight w:val="238"/>
        </w:trPr>
        <w:tc>
          <w:tcPr>
            <w:tcW w:w="3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Agreement</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placement agents</w:t>
            </w:r>
          </w:p>
        </w:tc>
      </w:tr>
      <w:tr>
        <w:trPr>
          <w:trHeight w:val="225"/>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BDC</w:t>
            </w:r>
          </w:p>
        </w:tc>
        <w:tc>
          <w:tcPr>
            <w:tcW w:w="2620" w:type="dxa"/>
            <w:vAlign w:val="bottom"/>
          </w:tcPr>
          <w:p>
            <w:pPr>
              <w:spacing w:after="0"/>
              <w:rPr>
                <w:sz w:val="19"/>
                <w:szCs w:val="19"/>
                <w:color w:val="auto"/>
              </w:rPr>
            </w:pP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Business Development Company under the 1940 Act</w:t>
            </w:r>
          </w:p>
        </w:tc>
      </w:tr>
      <w:tr>
        <w:trPr>
          <w:trHeight w:val="225"/>
        </w:trPr>
        <w:tc>
          <w:tcPr>
            <w:tcW w:w="3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BHCA</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 Holding Company Act of 1956</w:t>
            </w:r>
          </w:p>
        </w:tc>
      </w:tr>
      <w:tr>
        <w:trPr>
          <w:trHeight w:val="225"/>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Board</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Company's board of directors</w:t>
            </w:r>
          </w:p>
        </w:tc>
      </w:tr>
      <w:tr>
        <w:trPr>
          <w:trHeight w:val="225"/>
        </w:trPr>
        <w:tc>
          <w:tcPr>
            <w:tcW w:w="3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One</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One Bank, National Association</w:t>
            </w:r>
          </w:p>
        </w:tc>
      </w:tr>
      <w:tr>
        <w:trPr>
          <w:trHeight w:val="225"/>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C&amp;I</w:t>
            </w:r>
          </w:p>
        </w:tc>
        <w:tc>
          <w:tcPr>
            <w:tcW w:w="2620" w:type="dxa"/>
            <w:vAlign w:val="bottom"/>
          </w:tcPr>
          <w:p>
            <w:pPr>
              <w:spacing w:after="0"/>
              <w:rPr>
                <w:sz w:val="19"/>
                <w:szCs w:val="19"/>
                <w:color w:val="auto"/>
              </w:rPr>
            </w:pP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Conventional commercial and industrial loans</w:t>
            </w:r>
          </w:p>
        </w:tc>
      </w:tr>
      <w:tr>
        <w:trPr>
          <w:trHeight w:val="225"/>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4"/>
              </w:rPr>
              <w:t>Code</w:t>
            </w:r>
          </w:p>
        </w:tc>
        <w:tc>
          <w:tcPr>
            <w:tcW w:w="2620" w:type="dxa"/>
            <w:vAlign w:val="bottom"/>
            <w:shd w:val="clear" w:color="auto" w:fill="CCEEFF"/>
          </w:tcPr>
          <w:p>
            <w:pPr>
              <w:spacing w:after="0"/>
              <w:rPr>
                <w:sz w:val="19"/>
                <w:szCs w:val="19"/>
                <w:color w:val="auto"/>
              </w:rPr>
            </w:pP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 Revenue Code of 1986, as amended</w:t>
            </w:r>
          </w:p>
        </w:tc>
      </w:tr>
      <w:tr>
        <w:trPr>
          <w:trHeight w:val="225"/>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CODM</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Operating Decision Maker</w:t>
            </w:r>
          </w:p>
        </w:tc>
      </w:tr>
      <w:tr>
        <w:trPr>
          <w:trHeight w:val="225"/>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w:t>
            </w:r>
          </w:p>
        </w:tc>
        <w:tc>
          <w:tcPr>
            <w:tcW w:w="2620" w:type="dxa"/>
            <w:vAlign w:val="bottom"/>
            <w:shd w:val="clear" w:color="auto" w:fill="CCEEFF"/>
          </w:tcPr>
          <w:p>
            <w:pPr>
              <w:spacing w:after="0"/>
              <w:rPr>
                <w:sz w:val="19"/>
                <w:szCs w:val="19"/>
                <w:color w:val="auto"/>
              </w:rPr>
            </w:pP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r>
      <w:tr>
        <w:trPr>
          <w:trHeight w:val="225"/>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Deutsche Bank</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Deutsche Bank AG</w:t>
            </w:r>
          </w:p>
        </w:tc>
      </w:tr>
      <w:tr>
        <w:trPr>
          <w:trHeight w:val="225"/>
        </w:trPr>
        <w:tc>
          <w:tcPr>
            <w:tcW w:w="3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DRIP</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Company's former dividend reinvestment plan</w:t>
            </w:r>
          </w:p>
        </w:tc>
      </w:tr>
      <w:tr>
        <w:trPr>
          <w:trHeight w:val="225"/>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before interest, taxes, depreciation and amortization</w:t>
            </w:r>
          </w:p>
        </w:tc>
      </w:tr>
      <w:tr>
        <w:trPr>
          <w:trHeight w:val="225"/>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2015</w:t>
            </w:r>
          </w:p>
        </w:tc>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Incentive Plan</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Company's 2015 Stock Incentive Plan</w:t>
            </w:r>
          </w:p>
        </w:tc>
      </w:tr>
      <w:tr>
        <w:trPr>
          <w:trHeight w:val="225"/>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2023</w:t>
            </w: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Incentive Plan</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Company’s 2023 Stock Incentive Plan</w:t>
            </w:r>
          </w:p>
        </w:tc>
      </w:tr>
      <w:tr>
        <w:trPr>
          <w:trHeight w:val="225"/>
        </w:trPr>
        <w:tc>
          <w:tcPr>
            <w:tcW w:w="3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Purchase Program</w:t>
            </w:r>
          </w:p>
        </w:tc>
      </w:tr>
      <w:tr>
        <w:trPr>
          <w:trHeight w:val="225"/>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Exchange Act</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Exchange Act of 1934, as amended</w:t>
            </w:r>
          </w:p>
        </w:tc>
      </w:tr>
      <w:tr>
        <w:trPr>
          <w:trHeight w:val="225"/>
        </w:trPr>
        <w:tc>
          <w:tcPr>
            <w:tcW w:w="3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FASB</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607"/>
        </w:trPr>
        <w:tc>
          <w:tcPr>
            <w:tcW w:w="4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22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4</w:t>
            </w:r>
          </w:p>
        </w:tc>
      </w:tr>
      <w:tr>
        <w:trPr>
          <w:trHeight w:val="351"/>
        </w:trPr>
        <w:tc>
          <w:tcPr>
            <w:tcW w:w="40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8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9"/>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Reserve</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Board of Governors of the Federal Reserve System</w:t>
            </w:r>
          </w:p>
        </w:tc>
      </w:tr>
      <w:tr>
        <w:trPr>
          <w:trHeight w:val="225"/>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FDIC</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Deposit Insurance Corporation</w:t>
            </w:r>
          </w:p>
        </w:tc>
      </w:tr>
      <w:tr>
        <w:trPr>
          <w:trHeight w:val="225"/>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FV</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w:t>
            </w:r>
          </w:p>
        </w:tc>
      </w:tr>
      <w:tr>
        <w:trPr>
          <w:trHeight w:val="225"/>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HFI</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Held for investment</w:t>
            </w:r>
          </w:p>
        </w:tc>
      </w:tr>
      <w:tr>
        <w:trPr>
          <w:trHeight w:val="225"/>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HFS</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Held for sale</w:t>
            </w:r>
          </w:p>
        </w:tc>
      </w:tr>
      <w:tr>
        <w:trPr>
          <w:trHeight w:val="225"/>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LCM</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Lower of amortized cost basis or fair value</w:t>
            </w:r>
          </w:p>
        </w:tc>
      </w:tr>
      <w:tr>
        <w:trPr>
          <w:trHeight w:val="225"/>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LTV</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Loan-to-Value</w:t>
            </w:r>
          </w:p>
        </w:tc>
      </w:tr>
      <w:tr>
        <w:trPr>
          <w:trHeight w:val="225"/>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NAV</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 Value</w:t>
            </w:r>
          </w:p>
        </w:tc>
      </w:tr>
      <w:tr>
        <w:trPr>
          <w:trHeight w:val="225"/>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NBNYC</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National Bank of New York City, which has been renamed Newtek Bank, National Association</w:t>
            </w:r>
          </w:p>
        </w:tc>
      </w:tr>
      <w:tr>
        <w:trPr>
          <w:trHeight w:val="225"/>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NOO</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Non-owner occupied</w:t>
            </w:r>
          </w:p>
        </w:tc>
      </w:tr>
      <w:tr>
        <w:trPr>
          <w:trHeight w:val="225"/>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OCC</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of the Comptroller of the Currency</w:t>
            </w:r>
          </w:p>
        </w:tc>
      </w:tr>
      <w:tr>
        <w:trPr>
          <w:trHeight w:val="225"/>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PCD</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Purchased Financial Assets with Credit Deterioration</w:t>
            </w:r>
          </w:p>
        </w:tc>
      </w:tr>
      <w:tr>
        <w:trPr>
          <w:trHeight w:val="225"/>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PLP</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Lenders Program, as authorized by the SBA</w:t>
            </w:r>
          </w:p>
        </w:tc>
      </w:tr>
      <w:tr>
        <w:trPr>
          <w:trHeight w:val="225"/>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PPP</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Paycheck Protection Program</w:t>
            </w:r>
          </w:p>
        </w:tc>
      </w:tr>
      <w:tr>
        <w:trPr>
          <w:trHeight w:val="225"/>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Regulated investment company under the Code</w:t>
            </w:r>
          </w:p>
        </w:tc>
      </w:tr>
      <w:tr>
        <w:trPr>
          <w:trHeight w:val="225"/>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S&amp;P</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Standard and Poor's</w:t>
            </w:r>
          </w:p>
        </w:tc>
      </w:tr>
      <w:tr>
        <w:trPr>
          <w:trHeight w:val="225"/>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SBA</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Small Business Administration</w:t>
            </w:r>
          </w:p>
        </w:tc>
      </w:tr>
      <w:tr>
        <w:trPr>
          <w:trHeight w:val="225"/>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Securities and Exchange Commission</w:t>
            </w:r>
          </w:p>
        </w:tc>
      </w:tr>
      <w:tr>
        <w:trPr>
          <w:trHeight w:val="225"/>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SMB</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Small-and-medium sized businesses; revenue from $1.0 million to $100.0 million</w:t>
            </w:r>
          </w:p>
        </w:tc>
      </w:tr>
      <w:tr>
        <w:trPr>
          <w:trHeight w:val="225"/>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SOFR</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Overnight Financing Rate</w:t>
            </w:r>
          </w:p>
        </w:tc>
      </w:tr>
      <w:tr>
        <w:trPr>
          <w:trHeight w:val="172"/>
        </w:trPr>
        <w:tc>
          <w:tcPr>
            <w:tcW w:w="302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SPV I Capital One Facility</w:t>
            </w:r>
          </w:p>
        </w:tc>
        <w:tc>
          <w:tcPr>
            <w:tcW w:w="822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Revolving Credit and Security Agreement between NBL SPV I, LLC, a wholly-owned subsidiary of NALH, and</w:t>
            </w:r>
          </w:p>
        </w:tc>
      </w:tr>
      <w:tr>
        <w:trPr>
          <w:trHeight w:val="233"/>
        </w:trPr>
        <w:tc>
          <w:tcPr>
            <w:tcW w:w="3020" w:type="dxa"/>
            <w:vAlign w:val="bottom"/>
          </w:tcPr>
          <w:p>
            <w:pPr>
              <w:spacing w:after="0"/>
              <w:rPr>
                <w:sz w:val="20"/>
                <w:szCs w:val="20"/>
                <w:color w:val="auto"/>
              </w:rPr>
            </w:pP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One</w:t>
            </w:r>
          </w:p>
        </w:tc>
      </w:tr>
      <w:tr>
        <w:trPr>
          <w:trHeight w:val="176"/>
        </w:trPr>
        <w:tc>
          <w:tcPr>
            <w:tcW w:w="30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SPV II Deutsche Bank Facility</w:t>
            </w:r>
          </w:p>
        </w:tc>
        <w:tc>
          <w:tcPr>
            <w:tcW w:w="82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w w:val="99"/>
              </w:rPr>
              <w:t>Revolving Credit and Security Agreement between NBL SPV II, LLC, a wholly-owned subsidiary of NALH, and</w:t>
            </w:r>
          </w:p>
        </w:tc>
      </w:tr>
      <w:tr>
        <w:trPr>
          <w:trHeight w:val="238"/>
        </w:trPr>
        <w:tc>
          <w:tcPr>
            <w:tcW w:w="3020" w:type="dxa"/>
            <w:vAlign w:val="bottom"/>
            <w:shd w:val="clear" w:color="auto" w:fill="CCEEFF"/>
          </w:tcPr>
          <w:p>
            <w:pPr>
              <w:spacing w:after="0"/>
              <w:rPr>
                <w:sz w:val="20"/>
                <w:szCs w:val="20"/>
                <w:color w:val="auto"/>
              </w:rPr>
            </w:pP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Deutsche Bank</w:t>
            </w:r>
          </w:p>
        </w:tc>
      </w:tr>
      <w:tr>
        <w:trPr>
          <w:trHeight w:val="172"/>
        </w:trPr>
        <w:tc>
          <w:tcPr>
            <w:tcW w:w="302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SPV III One Florida Bank Facility</w:t>
            </w:r>
          </w:p>
        </w:tc>
        <w:tc>
          <w:tcPr>
            <w:tcW w:w="822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w w:val="99"/>
              </w:rPr>
              <w:t>Revolving Credit and Security Agreement between NBL SPV III, LLC, a wholly-owned subsidiary of NALH, and</w:t>
            </w:r>
          </w:p>
        </w:tc>
      </w:tr>
      <w:tr>
        <w:trPr>
          <w:trHeight w:val="233"/>
        </w:trPr>
        <w:tc>
          <w:tcPr>
            <w:tcW w:w="3020" w:type="dxa"/>
            <w:vAlign w:val="bottom"/>
          </w:tcPr>
          <w:p>
            <w:pPr>
              <w:spacing w:after="0"/>
              <w:rPr>
                <w:sz w:val="20"/>
                <w:szCs w:val="20"/>
                <w:color w:val="auto"/>
              </w:rPr>
            </w:pP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One Florida Bank</w:t>
            </w:r>
          </w:p>
        </w:tc>
      </w:tr>
      <w:tr>
        <w:trPr>
          <w:trHeight w:val="229"/>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Trustee</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Bank, National Association</w:t>
            </w:r>
          </w:p>
        </w:tc>
      </w:tr>
      <w:tr>
        <w:trPr>
          <w:trHeight w:val="225"/>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TSO II</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TSO II Booster Aggregator, L.P.</w:t>
            </w:r>
          </w:p>
        </w:tc>
      </w:tr>
      <w:tr>
        <w:trPr>
          <w:trHeight w:val="225"/>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GAAP or GAAP</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Generally accepted accounting principles in the United States</w:t>
            </w:r>
          </w:p>
        </w:tc>
      </w:tr>
      <w:tr>
        <w:trPr>
          <w:trHeight w:val="225"/>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VIE</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Interest Entity</w:t>
            </w:r>
          </w:p>
        </w:tc>
      </w:tr>
      <w:tr>
        <w:trPr>
          <w:trHeight w:val="225"/>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Webster</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Webster Bank, N.A.</w:t>
            </w:r>
          </w:p>
        </w:tc>
      </w:tr>
      <w:tr>
        <w:trPr>
          <w:trHeight w:val="225"/>
        </w:trPr>
        <w:tc>
          <w:tcPr>
            <w:tcW w:w="3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Subsidiaries</w:t>
            </w:r>
          </w:p>
        </w:tc>
        <w:tc>
          <w:tcPr>
            <w:tcW w:w="8220" w:type="dxa"/>
            <w:vAlign w:val="bottom"/>
            <w:tcBorders>
              <w:bottom w:val="single" w:sz="8" w:color="CCEEFF"/>
            </w:tcBorders>
          </w:tcPr>
          <w:p>
            <w:pPr>
              <w:spacing w:after="0"/>
              <w:rPr>
                <w:sz w:val="19"/>
                <w:szCs w:val="19"/>
                <w:color w:val="auto"/>
              </w:rPr>
            </w:pPr>
          </w:p>
        </w:tc>
      </w:tr>
      <w:tr>
        <w:trPr>
          <w:trHeight w:val="21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NSBF</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Newtek Small Business Finance, LLC</w:t>
            </w:r>
          </w:p>
        </w:tc>
      </w:tr>
      <w:tr>
        <w:trPr>
          <w:trHeight w:val="172"/>
        </w:trPr>
        <w:tc>
          <w:tcPr>
            <w:tcW w:w="302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NBL</w:t>
            </w:r>
          </w:p>
        </w:tc>
        <w:tc>
          <w:tcPr>
            <w:tcW w:w="822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w w:val="99"/>
              </w:rPr>
              <w:t>Newtek Business Lending, LLC, a former wholly-owned subsidiary of Newtek Bank, merged into SBL on May 2,</w:t>
            </w:r>
          </w:p>
        </w:tc>
      </w:tr>
      <w:tr>
        <w:trPr>
          <w:trHeight w:val="233"/>
        </w:trPr>
        <w:tc>
          <w:tcPr>
            <w:tcW w:w="3020" w:type="dxa"/>
            <w:vAlign w:val="bottom"/>
          </w:tcPr>
          <w:p>
            <w:pPr>
              <w:spacing w:after="0"/>
              <w:rPr>
                <w:sz w:val="20"/>
                <w:szCs w:val="20"/>
                <w:color w:val="auto"/>
              </w:rPr>
            </w:pP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r>
      <w:tr>
        <w:trPr>
          <w:trHeight w:val="176"/>
        </w:trPr>
        <w:tc>
          <w:tcPr>
            <w:tcW w:w="30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NCL</w:t>
            </w:r>
          </w:p>
        </w:tc>
        <w:tc>
          <w:tcPr>
            <w:tcW w:w="82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w w:val="99"/>
              </w:rPr>
              <w:t>Newtek Commercial Lending, Inc., a former wholly-owned subsidiary of NewtekOne Inc., merged into NALH on</w:t>
            </w:r>
          </w:p>
        </w:tc>
      </w:tr>
      <w:tr>
        <w:trPr>
          <w:trHeight w:val="238"/>
        </w:trPr>
        <w:tc>
          <w:tcPr>
            <w:tcW w:w="3020" w:type="dxa"/>
            <w:vAlign w:val="bottom"/>
            <w:shd w:val="clear" w:color="auto" w:fill="CCEEFF"/>
          </w:tcPr>
          <w:p>
            <w:pPr>
              <w:spacing w:after="0"/>
              <w:rPr>
                <w:sz w:val="20"/>
                <w:szCs w:val="20"/>
                <w:color w:val="auto"/>
              </w:rPr>
            </w:pP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13, 2025</w:t>
            </w:r>
          </w:p>
        </w:tc>
      </w:tr>
      <w:tr>
        <w:trPr>
          <w:trHeight w:val="225"/>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Newtek Bank</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Newtek Bank, National Association</w:t>
            </w:r>
          </w:p>
        </w:tc>
      </w:tr>
      <w:tr>
        <w:trPr>
          <w:trHeight w:val="225"/>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NALH or Newtek ALP Holdings</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Newtek Business Services Holdco 6, Inc.</w:t>
            </w:r>
          </w:p>
        </w:tc>
      </w:tr>
      <w:tr>
        <w:trPr>
          <w:trHeight w:val="225"/>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NMS</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Newtek Merchant Solutions, LLC, a wholly-owned subsidiary of NBC</w:t>
            </w:r>
          </w:p>
        </w:tc>
      </w:tr>
      <w:tr>
        <w:trPr>
          <w:trHeight w:val="225"/>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Mobil Money</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Mobil Money, LLC, a wholly-owned subsidiary of NMS</w:t>
            </w:r>
          </w:p>
        </w:tc>
      </w:tr>
      <w:tr>
        <w:trPr>
          <w:trHeight w:val="172"/>
        </w:trPr>
        <w:tc>
          <w:tcPr>
            <w:tcW w:w="302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NTS</w:t>
            </w:r>
          </w:p>
        </w:tc>
        <w:tc>
          <w:tcPr>
            <w:tcW w:w="822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w w:val="98"/>
              </w:rPr>
              <w:t>Newtek Technology Solutions, Inc., a former wholly-owned subsidiary of the Company, sold to IPM on January 2,</w:t>
            </w:r>
          </w:p>
        </w:tc>
      </w:tr>
      <w:tr>
        <w:trPr>
          <w:trHeight w:val="233"/>
        </w:trPr>
        <w:tc>
          <w:tcPr>
            <w:tcW w:w="3020" w:type="dxa"/>
            <w:vAlign w:val="bottom"/>
          </w:tcPr>
          <w:p>
            <w:pPr>
              <w:spacing w:after="0"/>
              <w:rPr>
                <w:sz w:val="20"/>
                <w:szCs w:val="20"/>
                <w:color w:val="auto"/>
              </w:rPr>
            </w:pP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r>
      <w:tr>
        <w:trPr>
          <w:trHeight w:val="229"/>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NBC</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CDS Business Services, Inc. dba Newtek Business Credit Solutions</w:t>
            </w:r>
          </w:p>
        </w:tc>
      </w:tr>
      <w:tr>
        <w:trPr>
          <w:trHeight w:val="225"/>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SBL</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Small Business Lending, LLC, a wholly-owned subsidiary of Newtek Bank</w:t>
            </w:r>
          </w:p>
        </w:tc>
      </w:tr>
      <w:tr>
        <w:trPr>
          <w:trHeight w:val="225"/>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PMT</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PMTWorks Payroll, LLC, dba Newtek Payroll and Benefits Solutions</w:t>
            </w:r>
          </w:p>
        </w:tc>
      </w:tr>
      <w:tr>
        <w:trPr>
          <w:trHeight w:val="225"/>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NIA</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Newtek Insurance Agency, LLC</w:t>
            </w:r>
          </w:p>
        </w:tc>
      </w:tr>
      <w:tr>
        <w:trPr>
          <w:trHeight w:val="225"/>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TAM</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Titanium Asset Management, LLC</w:t>
            </w:r>
          </w:p>
        </w:tc>
      </w:tr>
      <w:tr>
        <w:trPr>
          <w:trHeight w:val="229"/>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w:t>
            </w: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 on Cloud, LLC, dba Newtek Payment Systems, an 88.34% owned consolidated subsidiary</w:t>
            </w:r>
          </w:p>
        </w:tc>
      </w:tr>
      <w:tr>
        <w:trPr>
          <w:trHeight w:val="603"/>
        </w:trPr>
        <w:tc>
          <w:tcPr>
            <w:tcW w:w="3020" w:type="dxa"/>
            <w:vAlign w:val="bottom"/>
          </w:tcPr>
          <w:p>
            <w:pPr>
              <w:spacing w:after="0"/>
              <w:rPr>
                <w:sz w:val="24"/>
                <w:szCs w:val="24"/>
                <w:color w:val="auto"/>
              </w:rPr>
            </w:pPr>
          </w:p>
        </w:tc>
        <w:tc>
          <w:tcPr>
            <w:tcW w:w="822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5</w:t>
            </w:r>
          </w:p>
        </w:tc>
      </w:tr>
      <w:tr>
        <w:trPr>
          <w:trHeight w:val="351"/>
        </w:trPr>
        <w:tc>
          <w:tcPr>
            <w:tcW w:w="3020" w:type="dxa"/>
            <w:vAlign w:val="bottom"/>
            <w:tcBorders>
              <w:bottom w:val="single" w:sz="8" w:color="9A9A9A"/>
            </w:tcBorders>
          </w:tcPr>
          <w:p>
            <w:pPr>
              <w:spacing w:after="0"/>
              <w:rPr>
                <w:sz w:val="24"/>
                <w:szCs w:val="24"/>
                <w:color w:val="auto"/>
              </w:rPr>
            </w:pPr>
          </w:p>
        </w:tc>
        <w:tc>
          <w:tcPr>
            <w:tcW w:w="8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5" w:name="page6"/>
    <w:bookmarkEnd w:id="5"/>
    <w:p>
      <w:pPr>
        <w:ind w:left="20"/>
        <w:spacing w:after="0"/>
        <w:rPr>
          <w:sz w:val="20"/>
          <w:szCs w:val="20"/>
          <w:color w:val="auto"/>
        </w:rPr>
      </w:pPr>
      <w:r>
        <w:rPr>
          <w:rFonts w:ascii="Times New Roman" w:cs="Times New Roman" w:eastAsia="Times New Roman" w:hAnsi="Times New Roman"/>
          <w:sz w:val="18"/>
          <w:szCs w:val="18"/>
          <w:b w:val="1"/>
          <w:bCs w:val="1"/>
          <w:color w:val="auto"/>
        </w:rPr>
        <w:t>Joint Ventures and Non-Control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-126365</wp:posOffset>
            </wp:positionV>
            <wp:extent cx="7134860" cy="142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NCL JV</w:t>
            </w:r>
          </w:p>
        </w:tc>
        <w:tc>
          <w:tcPr>
            <w:tcW w:w="898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Newtek Conventional Lending, LLC, a 50% owned joint venture</w:t>
            </w:r>
          </w:p>
        </w:tc>
      </w:tr>
      <w:tr>
        <w:trPr>
          <w:trHeight w:val="225"/>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TSO JV</w:t>
            </w:r>
          </w:p>
        </w:tc>
        <w:tc>
          <w:tcPr>
            <w:tcW w:w="8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Newtek-TSO II Conventional Credit Partners, LP, a 50% owned joint venture</w:t>
            </w:r>
          </w:p>
        </w:tc>
      </w:tr>
      <w:tr>
        <w:trPr>
          <w:trHeight w:val="225"/>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IPM</w:t>
            </w:r>
          </w:p>
        </w:tc>
        <w:tc>
          <w:tcPr>
            <w:tcW w:w="89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Intelligent Protection Management Corp., formerly Paltalk, Inc. (PALT)</w:t>
            </w:r>
          </w:p>
        </w:tc>
      </w:tr>
      <w:tr>
        <w:trPr>
          <w:trHeight w:val="225"/>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IPM Preferred Stock</w:t>
            </w:r>
          </w:p>
        </w:tc>
        <w:tc>
          <w:tcPr>
            <w:tcW w:w="8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4.0 million shares of IPM Series A Non-Voting Common Equivalent Stock</w:t>
            </w:r>
          </w:p>
        </w:tc>
      </w:tr>
      <w:tr>
        <w:trPr>
          <w:trHeight w:val="845"/>
        </w:trPr>
        <w:tc>
          <w:tcPr>
            <w:tcW w:w="2260" w:type="dxa"/>
            <w:vAlign w:val="bottom"/>
          </w:tcPr>
          <w:p>
            <w:pPr>
              <w:spacing w:after="0"/>
              <w:rPr>
                <w:sz w:val="24"/>
                <w:szCs w:val="24"/>
                <w:color w:val="auto"/>
              </w:rPr>
            </w:pPr>
          </w:p>
        </w:tc>
        <w:tc>
          <w:tcPr>
            <w:tcW w:w="8980" w:type="dxa"/>
            <w:vAlign w:val="bottom"/>
          </w:tcPr>
          <w:p>
            <w:pPr>
              <w:ind w:left="3320"/>
              <w:spacing w:after="0"/>
              <w:rPr>
                <w:sz w:val="20"/>
                <w:szCs w:val="20"/>
                <w:color w:val="auto"/>
              </w:rPr>
            </w:pPr>
            <w:r>
              <w:rPr>
                <w:rFonts w:ascii="Times New Roman" w:cs="Times New Roman" w:eastAsia="Times New Roman" w:hAnsi="Times New Roman"/>
                <w:sz w:val="18"/>
                <w:szCs w:val="18"/>
                <w:color w:val="auto"/>
              </w:rPr>
              <w:t>6</w:t>
            </w:r>
          </w:p>
        </w:tc>
      </w:tr>
      <w:tr>
        <w:trPr>
          <w:trHeight w:val="351"/>
        </w:trPr>
        <w:tc>
          <w:tcPr>
            <w:tcW w:w="2260" w:type="dxa"/>
            <w:vAlign w:val="bottom"/>
            <w:tcBorders>
              <w:bottom w:val="single" w:sz="8" w:color="9A9A9A"/>
            </w:tcBorders>
          </w:tcPr>
          <w:p>
            <w:pPr>
              <w:spacing w:after="0"/>
              <w:rPr>
                <w:sz w:val="24"/>
                <w:szCs w:val="24"/>
                <w:color w:val="auto"/>
              </w:rPr>
            </w:pPr>
          </w:p>
        </w:tc>
        <w:tc>
          <w:tcPr>
            <w:tcW w:w="8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4"/>
        </w:trPr>
        <w:tc>
          <w:tcPr>
            <w:tcW w:w="74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0000FF"/>
              </w:rPr>
              <w:t>Table of Contents</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8"/>
        </w:trPr>
        <w:tc>
          <w:tcPr>
            <w:tcW w:w="200" w:type="dxa"/>
            <w:vAlign w:val="bottom"/>
            <w:tcBorders>
              <w:top w:val="single" w:sz="8" w:color="0000FF"/>
            </w:tcBorders>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6280" w:type="dxa"/>
            <w:vAlign w:val="bottom"/>
          </w:tcPr>
          <w:p>
            <w:pPr>
              <w:jc w:val="center"/>
              <w:ind w:left="2472"/>
              <w:spacing w:after="0"/>
              <w:rPr>
                <w:sz w:val="20"/>
                <w:szCs w:val="20"/>
                <w:color w:val="auto"/>
              </w:rPr>
            </w:pPr>
            <w:r>
              <w:rPr>
                <w:rFonts w:ascii="Times New Roman" w:cs="Times New Roman" w:eastAsia="Times New Roman" w:hAnsi="Times New Roman"/>
                <w:sz w:val="18"/>
                <w:szCs w:val="18"/>
                <w:b w:val="1"/>
                <w:bCs w:val="1"/>
                <w:color w:val="auto"/>
                <w:w w:val="96"/>
              </w:rPr>
              <w:t>PART I—FINANCIAL INFORMATION</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7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80" w:type="dxa"/>
            <w:vAlign w:val="bottom"/>
          </w:tcPr>
          <w:p>
            <w:pPr>
              <w:jc w:val="center"/>
              <w:ind w:left="2492"/>
              <w:spacing w:after="0"/>
              <w:rPr>
                <w:sz w:val="20"/>
                <w:szCs w:val="20"/>
                <w:color w:val="auto"/>
              </w:rPr>
            </w:pPr>
            <w:r>
              <w:rPr>
                <w:rFonts w:ascii="Times New Roman" w:cs="Times New Roman" w:eastAsia="Times New Roman" w:hAnsi="Times New Roman"/>
                <w:sz w:val="18"/>
                <w:szCs w:val="18"/>
                <w:b w:val="1"/>
                <w:bCs w:val="1"/>
                <w:color w:val="auto"/>
                <w:w w:val="97"/>
              </w:rPr>
              <w:t>NEWTEKONE, INC. AND SUBSIDIARIES</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0" w:type="dxa"/>
            <w:vAlign w:val="bottom"/>
            <w:gridSpan w:val="4"/>
          </w:tcPr>
          <w:p>
            <w:pPr>
              <w:jc w:val="center"/>
              <w:ind w:left="752"/>
              <w:spacing w:after="0" w:line="178" w:lineRule="exact"/>
              <w:rPr>
                <w:sz w:val="20"/>
                <w:szCs w:val="20"/>
                <w:color w:val="auto"/>
              </w:rPr>
            </w:pPr>
            <w:r>
              <w:rPr>
                <w:rFonts w:ascii="Times New Roman" w:cs="Times New Roman" w:eastAsia="Times New Roman" w:hAnsi="Times New Roman"/>
                <w:sz w:val="18"/>
                <w:szCs w:val="18"/>
                <w:b w:val="1"/>
                <w:bCs w:val="1"/>
                <w:color w:val="auto"/>
                <w:w w:val="96"/>
              </w:rPr>
              <w:t>CONSOLIDATED STATEMENTS OF FINANCIAL CONDITION</w:t>
            </w:r>
          </w:p>
        </w:tc>
        <w:tc>
          <w:tcPr>
            <w:tcW w:w="1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80" w:type="dxa"/>
            <w:vAlign w:val="bottom"/>
          </w:tcPr>
          <w:p>
            <w:pPr>
              <w:jc w:val="center"/>
              <w:ind w:left="2492"/>
              <w:spacing w:after="0"/>
              <w:rPr>
                <w:sz w:val="20"/>
                <w:szCs w:val="20"/>
                <w:color w:val="auto"/>
              </w:rPr>
            </w:pPr>
            <w:r>
              <w:rPr>
                <w:rFonts w:ascii="Times New Roman" w:cs="Times New Roman" w:eastAsia="Times New Roman" w:hAnsi="Times New Roman"/>
                <w:sz w:val="18"/>
                <w:szCs w:val="18"/>
                <w:b w:val="1"/>
                <w:bCs w:val="1"/>
                <w:color w:val="auto"/>
                <w:w w:val="97"/>
              </w:rPr>
              <w:t>(In Thousands, except for Per Share Data)</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6"/>
        </w:trPr>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40" w:type="dxa"/>
            <w:vAlign w:val="bottom"/>
          </w:tcPr>
          <w:p>
            <w:pPr>
              <w:spacing w:after="0"/>
              <w:rPr>
                <w:sz w:val="24"/>
                <w:szCs w:val="24"/>
                <w:color w:val="auto"/>
              </w:rPr>
            </w:pPr>
          </w:p>
        </w:tc>
        <w:tc>
          <w:tcPr>
            <w:tcW w:w="1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80" w:type="dxa"/>
            <w:vAlign w:val="bottom"/>
            <w:vMerge w:val="restart"/>
          </w:tcPr>
          <w:p>
            <w:pPr>
              <w:ind w:left="23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0" w:type="dxa"/>
            <w:vAlign w:val="bottom"/>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due from banks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Restricted cash (amounts related to VIEs of $6.3 million and $6.3 million, respectively)</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28,226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0" w:type="dxa"/>
            <w:vAlign w:val="bottom"/>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bearing deposits in banks</w:t>
            </w: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180,013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346,207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0" w:type="dxa"/>
            <w:vAlign w:val="bottom"/>
          </w:tcPr>
          <w:p>
            <w:pPr>
              <w:spacing w:after="0"/>
              <w:rPr>
                <w:sz w:val="18"/>
                <w:szCs w:val="18"/>
                <w:color w:val="auto"/>
              </w:rPr>
            </w:pPr>
          </w:p>
        </w:tc>
        <w:tc>
          <w:tcPr>
            <w:tcW w:w="7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381,374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0" w:type="dxa"/>
            <w:vAlign w:val="bottom"/>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Debt securities available-for-sale, at fair value</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Loans held for sale, at fair value</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514,609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372,286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0" w:type="dxa"/>
            <w:vAlign w:val="bottom"/>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Loans held for sale, at LCM</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58,803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00" w:type="dxa"/>
            <w:vAlign w:val="bottom"/>
          </w:tcPr>
          <w:p>
            <w:pPr>
              <w:spacing w:after="0"/>
              <w:rPr>
                <w:sz w:val="14"/>
                <w:szCs w:val="14"/>
                <w:color w:val="auto"/>
              </w:rPr>
            </w:pPr>
          </w:p>
        </w:tc>
        <w:tc>
          <w:tcPr>
            <w:tcW w:w="7280" w:type="dxa"/>
            <w:vAlign w:val="bottom"/>
            <w:gridSpan w:val="2"/>
          </w:tcPr>
          <w:p>
            <w:pPr>
              <w:ind w:left="120"/>
              <w:spacing w:after="0" w:line="172" w:lineRule="exact"/>
              <w:rPr>
                <w:sz w:val="20"/>
                <w:szCs w:val="20"/>
                <w:color w:val="auto"/>
              </w:rPr>
            </w:pPr>
            <w:r>
              <w:rPr>
                <w:rFonts w:ascii="Times New Roman" w:cs="Times New Roman" w:eastAsia="Times New Roman" w:hAnsi="Times New Roman"/>
                <w:sz w:val="18"/>
                <w:szCs w:val="18"/>
                <w:color w:val="auto"/>
              </w:rPr>
              <w:t>Loans held for investment, at fair value (amounts related to VIEs of $227.8 million and $257.2</w:t>
            </w: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00" w:type="dxa"/>
            <w:vAlign w:val="bottom"/>
          </w:tcPr>
          <w:p>
            <w:pPr>
              <w:spacing w:after="0"/>
              <w:rPr>
                <w:sz w:val="20"/>
                <w:szCs w:val="20"/>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million, respectively)</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369,746</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0" w:type="dxa"/>
            <w:vAlign w:val="bottom"/>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Loans held for investment, at amortized cost, net of deferred fees and costs</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767,827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621,651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0" w:type="dxa"/>
            <w:vAlign w:val="bottom"/>
          </w:tcPr>
          <w:p>
            <w:pPr>
              <w:spacing w:after="0"/>
              <w:rPr>
                <w:sz w:val="19"/>
                <w:szCs w:val="19"/>
                <w:color w:val="auto"/>
              </w:rPr>
            </w:pPr>
          </w:p>
        </w:tc>
        <w:tc>
          <w:tcPr>
            <w:tcW w:w="72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(42,625)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(30,233)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0" w:type="dxa"/>
            <w:vAlign w:val="bottom"/>
          </w:tcPr>
          <w:p>
            <w:pPr>
              <w:spacing w:after="0"/>
              <w:rPr>
                <w:sz w:val="18"/>
                <w:szCs w:val="18"/>
                <w:color w:val="auto"/>
              </w:rPr>
            </w:pPr>
          </w:p>
        </w:tc>
        <w:tc>
          <w:tcPr>
            <w:tcW w:w="7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Loans held for investment, at amortized cost, net</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725,202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591,418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Federal Home Loan Bank and Federal Reserve Bank stock</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0" w:type="dxa"/>
            <w:vAlign w:val="bottom"/>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Settlement receivable</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52,465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Residuals in securitizations, at fair value</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00" w:type="dxa"/>
            <w:vAlign w:val="bottom"/>
          </w:tcPr>
          <w:p>
            <w:pPr>
              <w:spacing w:after="0"/>
              <w:rPr>
                <w:sz w:val="14"/>
                <w:szCs w:val="14"/>
                <w:color w:val="auto"/>
              </w:rPr>
            </w:pPr>
          </w:p>
        </w:tc>
        <w:tc>
          <w:tcPr>
            <w:tcW w:w="7280" w:type="dxa"/>
            <w:vAlign w:val="bottom"/>
            <w:gridSpan w:val="2"/>
            <w:shd w:val="clear" w:color="auto" w:fill="CCEEFF"/>
          </w:tcPr>
          <w:p>
            <w:pPr>
              <w:ind w:left="120"/>
              <w:spacing w:after="0" w:line="172" w:lineRule="exact"/>
              <w:rPr>
                <w:sz w:val="20"/>
                <w:szCs w:val="20"/>
                <w:color w:val="auto"/>
              </w:rPr>
            </w:pPr>
            <w:r>
              <w:rPr>
                <w:rFonts w:ascii="Times New Roman" w:cs="Times New Roman" w:eastAsia="Times New Roman" w:hAnsi="Times New Roman"/>
                <w:sz w:val="18"/>
                <w:szCs w:val="18"/>
                <w:color w:val="auto"/>
              </w:rPr>
              <w:t>Joint ventures and other non-control investments, at fair value (cost of $54,493 and $44,039),</w:t>
            </w:r>
          </w:p>
        </w:tc>
        <w:tc>
          <w:tcPr>
            <w:tcW w:w="1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00" w:type="dxa"/>
            <w:vAlign w:val="bottom"/>
          </w:tcPr>
          <w:p>
            <w:pPr>
              <w:spacing w:after="0"/>
              <w:rPr>
                <w:sz w:val="20"/>
                <w:szCs w:val="20"/>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68,121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57,678</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Goodwill and intangibles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0" w:type="dxa"/>
            <w:vAlign w:val="bottom"/>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Right of use assets</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Deferred tax asset, net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0" w:type="dxa"/>
            <w:vAlign w:val="bottom"/>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Servicing assets, at fair value</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Servicing assets, at LCM</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0" w:type="dxa"/>
            <w:vAlign w:val="bottom"/>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63,543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60,636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Assets held for sale</w:t>
            </w:r>
          </w:p>
        </w:tc>
        <w:tc>
          <w:tcPr>
            <w:tcW w:w="18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0" w:type="dxa"/>
            <w:vAlign w:val="bottom"/>
          </w:tcPr>
          <w:p>
            <w:pPr>
              <w:spacing w:after="0"/>
              <w:rPr>
                <w:sz w:val="18"/>
                <w:szCs w:val="18"/>
                <w:color w:val="auto"/>
              </w:rPr>
            </w:pPr>
          </w:p>
        </w:tc>
        <w:tc>
          <w:tcPr>
            <w:tcW w:w="7280" w:type="dxa"/>
            <w:vAlign w:val="bottom"/>
            <w:tcBorders>
              <w:top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2,126,217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2,059,912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80" w:type="dxa"/>
            <w:vAlign w:val="bottom"/>
          </w:tcPr>
          <w:p>
            <w:pPr>
              <w:jc w:val="center"/>
              <w:ind w:left="2472"/>
              <w:spacing w:after="0"/>
              <w:rPr>
                <w:sz w:val="20"/>
                <w:szCs w:val="20"/>
                <w:color w:val="auto"/>
              </w:rPr>
            </w:pPr>
            <w:r>
              <w:rPr>
                <w:rFonts w:ascii="Times New Roman" w:cs="Times New Roman" w:eastAsia="Times New Roman" w:hAnsi="Times New Roman"/>
                <w:sz w:val="18"/>
                <w:szCs w:val="18"/>
                <w:color w:val="auto"/>
                <w:w w:val="95"/>
              </w:rPr>
              <w:t>F-7</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00" w:type="dxa"/>
            <w:vAlign w:val="bottom"/>
            <w:gridSpan w:val="4"/>
          </w:tcPr>
          <w:p>
            <w:pPr>
              <w:jc w:val="center"/>
              <w:ind w:left="752"/>
              <w:spacing w:after="0"/>
              <w:rPr>
                <w:sz w:val="20"/>
                <w:szCs w:val="20"/>
                <w:color w:val="auto"/>
              </w:rPr>
            </w:pPr>
            <w:r>
              <w:rPr>
                <w:rFonts w:ascii="Times New Roman" w:cs="Times New Roman" w:eastAsia="Times New Roman" w:hAnsi="Times New Roman"/>
                <w:sz w:val="18"/>
                <w:szCs w:val="18"/>
                <w:color w:val="auto"/>
                <w:w w:val="98"/>
              </w:rPr>
              <w:t>See accompanying notes to consolidated financial statements.</w:t>
            </w: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3"/>
        </w:trPr>
        <w:tc>
          <w:tcPr>
            <w:tcW w:w="2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62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NEWTEKONE, INC. AND SUBSIDIARIES</w:t>
      </w:r>
    </w:p>
    <w:p>
      <w:pPr>
        <w:jc w:val="center"/>
        <w:spacing w:after="0" w:line="214" w:lineRule="auto"/>
        <w:rPr>
          <w:sz w:val="20"/>
          <w:szCs w:val="20"/>
          <w:color w:val="auto"/>
        </w:rPr>
      </w:pPr>
      <w:r>
        <w:rPr>
          <w:rFonts w:ascii="Times New Roman" w:cs="Times New Roman" w:eastAsia="Times New Roman" w:hAnsi="Times New Roman"/>
          <w:sz w:val="18"/>
          <w:szCs w:val="18"/>
          <w:b w:val="1"/>
          <w:bCs w:val="1"/>
          <w:color w:val="auto"/>
        </w:rPr>
        <w:t>CONSOLIDATED STATEMENTS OF FINANCIAL CONDITION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Per Share Data)</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0" w:type="dxa"/>
            <w:vAlign w:val="bottom"/>
          </w:tcPr>
          <w:p>
            <w:pPr>
              <w:spacing w:after="0"/>
              <w:rPr>
                <w:sz w:val="20"/>
                <w:szCs w:val="20"/>
                <w:color w:val="auto"/>
              </w:rPr>
            </w:pPr>
          </w:p>
        </w:tc>
        <w:tc>
          <w:tcPr>
            <w:tcW w:w="7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40" w:type="dxa"/>
            <w:vAlign w:val="bottom"/>
          </w:tcPr>
          <w:p>
            <w:pPr>
              <w:spacing w:after="0"/>
              <w:rPr>
                <w:sz w:val="20"/>
                <w:szCs w:val="20"/>
                <w:color w:val="auto"/>
              </w:rPr>
            </w:pPr>
          </w:p>
        </w:tc>
        <w:tc>
          <w:tcPr>
            <w:tcW w:w="1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72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720" w:type="dxa"/>
            <w:vAlign w:val="bottom"/>
            <w:tcBorders>
              <w:top w:val="single" w:sz="8" w:color="auto"/>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200" w:type="dxa"/>
            <w:vAlign w:val="bottom"/>
          </w:tcPr>
          <w:p>
            <w:pPr>
              <w:spacing w:after="0" w:line="20" w:lineRule="exact"/>
              <w:rPr>
                <w:sz w:val="1"/>
                <w:szCs w:val="1"/>
                <w:color w:val="auto"/>
              </w:rPr>
            </w:pPr>
          </w:p>
        </w:tc>
        <w:tc>
          <w:tcPr>
            <w:tcW w:w="7280" w:type="dxa"/>
            <w:vAlign w:val="bottom"/>
            <w:vMerge w:val="restart"/>
          </w:tcPr>
          <w:p>
            <w:pPr>
              <w:jc w:val="right"/>
              <w:ind w:right="1652"/>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200" w:type="dxa"/>
            <w:vAlign w:val="bottom"/>
          </w:tcPr>
          <w:p>
            <w:pPr>
              <w:spacing w:after="0"/>
              <w:rPr>
                <w:sz w:val="16"/>
                <w:szCs w:val="16"/>
                <w:color w:val="auto"/>
              </w:rPr>
            </w:pPr>
          </w:p>
        </w:tc>
        <w:tc>
          <w:tcPr>
            <w:tcW w:w="72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0" w:type="dxa"/>
            <w:vAlign w:val="bottom"/>
          </w:tcPr>
          <w:p>
            <w:pPr>
              <w:spacing w:after="0"/>
              <w:rPr>
                <w:sz w:val="19"/>
                <w:szCs w:val="19"/>
                <w:color w:val="auto"/>
              </w:rPr>
            </w:pPr>
          </w:p>
        </w:tc>
        <w:tc>
          <w:tcPr>
            <w:tcW w:w="7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0" w:type="dxa"/>
            <w:vAlign w:val="bottom"/>
          </w:tcPr>
          <w:p>
            <w:pPr>
              <w:spacing w:after="0"/>
              <w:rPr>
                <w:sz w:val="19"/>
                <w:szCs w:val="19"/>
                <w:color w:val="auto"/>
              </w:rPr>
            </w:pPr>
          </w:p>
        </w:tc>
        <w:tc>
          <w:tcPr>
            <w:tcW w:w="7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Deposits:</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0" w:type="dxa"/>
            <w:vAlign w:val="bottom"/>
          </w:tcPr>
          <w:p>
            <w:pPr>
              <w:spacing w:after="0"/>
              <w:rPr>
                <w:sz w:val="19"/>
                <w:szCs w:val="19"/>
                <w:color w:val="auto"/>
              </w:rPr>
            </w:pPr>
          </w:p>
        </w:tc>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Noninterest-bearing</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0" w:type="dxa"/>
            <w:vAlign w:val="bottom"/>
          </w:tcPr>
          <w:p>
            <w:pPr>
              <w:spacing w:after="0"/>
              <w:rPr>
                <w:sz w:val="19"/>
                <w:szCs w:val="19"/>
                <w:color w:val="auto"/>
              </w:rPr>
            </w:pPr>
          </w:p>
        </w:tc>
        <w:tc>
          <w:tcPr>
            <w:tcW w:w="7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Interest-bearing</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1,042,794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961,910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deposits</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1,083,828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973,052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0" w:type="dxa"/>
            <w:vAlign w:val="bottom"/>
          </w:tcPr>
          <w:p>
            <w:pPr>
              <w:spacing w:after="0"/>
              <w:rPr>
                <w:sz w:val="19"/>
                <w:szCs w:val="19"/>
                <w:color w:val="auto"/>
              </w:rPr>
            </w:pPr>
          </w:p>
        </w:tc>
        <w:tc>
          <w:tcPr>
            <w:tcW w:w="7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Borrowings (including borrowings of VIEs of $157.4 million and $186.6 million, respectively)</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657,327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708,041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0" w:type="dxa"/>
            <w:vAlign w:val="bottom"/>
          </w:tcPr>
          <w:p>
            <w:pPr>
              <w:spacing w:after="0"/>
              <w:rPr>
                <w:sz w:val="19"/>
                <w:szCs w:val="19"/>
                <w:color w:val="auto"/>
              </w:rPr>
            </w:pPr>
          </w:p>
        </w:tc>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Dividends payable</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0" w:type="dxa"/>
            <w:vAlign w:val="bottom"/>
          </w:tcPr>
          <w:p>
            <w:pPr>
              <w:spacing w:after="0"/>
              <w:rPr>
                <w:sz w:val="19"/>
                <w:szCs w:val="19"/>
                <w:color w:val="auto"/>
              </w:rPr>
            </w:pPr>
          </w:p>
        </w:tc>
        <w:tc>
          <w:tcPr>
            <w:tcW w:w="7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 liabilities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0" w:type="dxa"/>
            <w:vAlign w:val="bottom"/>
          </w:tcPr>
          <w:p>
            <w:pPr>
              <w:spacing w:after="0"/>
              <w:rPr>
                <w:sz w:val="19"/>
                <w:szCs w:val="19"/>
                <w:color w:val="auto"/>
              </w:rPr>
            </w:pPr>
          </w:p>
        </w:tc>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0" w:type="dxa"/>
            <w:vAlign w:val="bottom"/>
          </w:tcPr>
          <w:p>
            <w:pPr>
              <w:spacing w:after="0"/>
              <w:rPr>
                <w:sz w:val="19"/>
                <w:szCs w:val="19"/>
                <w:color w:val="auto"/>
              </w:rPr>
            </w:pPr>
          </w:p>
        </w:tc>
        <w:tc>
          <w:tcPr>
            <w:tcW w:w="7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Due to participants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0" w:type="dxa"/>
            <w:vAlign w:val="bottom"/>
          </w:tcPr>
          <w:p>
            <w:pPr>
              <w:spacing w:after="0"/>
              <w:rPr>
                <w:sz w:val="19"/>
                <w:szCs w:val="19"/>
                <w:color w:val="auto"/>
              </w:rPr>
            </w:pPr>
          </w:p>
        </w:tc>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39,351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0" w:type="dxa"/>
            <w:vAlign w:val="bottom"/>
          </w:tcPr>
          <w:p>
            <w:pPr>
              <w:spacing w:after="0"/>
              <w:rPr>
                <w:sz w:val="19"/>
                <w:szCs w:val="19"/>
                <w:color w:val="auto"/>
              </w:rPr>
            </w:pPr>
          </w:p>
        </w:tc>
        <w:tc>
          <w:tcPr>
            <w:tcW w:w="7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Liabilities directly associated with assets held for sale</w:t>
            </w:r>
          </w:p>
        </w:tc>
        <w:tc>
          <w:tcPr>
            <w:tcW w:w="18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0" w:type="dxa"/>
            <w:vAlign w:val="bottom"/>
          </w:tcPr>
          <w:p>
            <w:pPr>
              <w:spacing w:after="0"/>
              <w:rPr>
                <w:sz w:val="18"/>
                <w:szCs w:val="18"/>
                <w:color w:val="auto"/>
              </w:rPr>
            </w:pPr>
          </w:p>
        </w:tc>
        <w:tc>
          <w:tcPr>
            <w:tcW w:w="728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1,814,037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1,763,630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0" w:type="dxa"/>
            <w:vAlign w:val="bottom"/>
          </w:tcPr>
          <w:p>
            <w:pPr>
              <w:spacing w:after="0"/>
              <w:rPr>
                <w:sz w:val="20"/>
                <w:szCs w:val="20"/>
                <w:color w:val="auto"/>
              </w:rPr>
            </w:pPr>
          </w:p>
        </w:tc>
        <w:tc>
          <w:tcPr>
            <w:tcW w:w="7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0" w:type="dxa"/>
            <w:vAlign w:val="bottom"/>
          </w:tcPr>
          <w:p>
            <w:pPr>
              <w:spacing w:after="0"/>
              <w:rPr>
                <w:sz w:val="19"/>
                <w:szCs w:val="19"/>
                <w:color w:val="auto"/>
              </w:rPr>
            </w:pPr>
          </w:p>
        </w:tc>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 and contingencies (Note 13)</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0" w:type="dxa"/>
            <w:vAlign w:val="bottom"/>
          </w:tcPr>
          <w:p>
            <w:pPr>
              <w:spacing w:after="0"/>
              <w:rPr>
                <w:sz w:val="19"/>
                <w:szCs w:val="19"/>
                <w:color w:val="auto"/>
              </w:rPr>
            </w:pPr>
          </w:p>
        </w:tc>
        <w:tc>
          <w:tcPr>
            <w:tcW w:w="7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Shareholders' Equity:</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0" w:type="dxa"/>
            <w:vAlign w:val="bottom"/>
          </w:tcPr>
          <w:p>
            <w:pPr>
              <w:spacing w:after="0"/>
              <w:rPr>
                <w:sz w:val="19"/>
                <w:szCs w:val="19"/>
                <w:color w:val="auto"/>
              </w:rPr>
            </w:pPr>
          </w:p>
        </w:tc>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Preferred stock (par value $0.02 per share; 20 authorized, 20 issued and outstanding)</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00" w:type="dxa"/>
            <w:vAlign w:val="bottom"/>
          </w:tcPr>
          <w:p>
            <w:pPr>
              <w:spacing w:after="0"/>
              <w:rPr>
                <w:sz w:val="14"/>
                <w:szCs w:val="14"/>
                <w:color w:val="auto"/>
              </w:rPr>
            </w:pPr>
          </w:p>
        </w:tc>
        <w:tc>
          <w:tcPr>
            <w:tcW w:w="7280" w:type="dxa"/>
            <w:vAlign w:val="bottom"/>
          </w:tcPr>
          <w:p>
            <w:pPr>
              <w:ind w:left="120"/>
              <w:spacing w:after="0" w:line="172" w:lineRule="exact"/>
              <w:rPr>
                <w:sz w:val="20"/>
                <w:szCs w:val="20"/>
                <w:color w:val="auto"/>
              </w:rPr>
            </w:pPr>
            <w:r>
              <w:rPr>
                <w:rFonts w:ascii="Times New Roman" w:cs="Times New Roman" w:eastAsia="Times New Roman" w:hAnsi="Times New Roman"/>
                <w:sz w:val="18"/>
                <w:szCs w:val="18"/>
                <w:color w:val="auto"/>
              </w:rPr>
              <w:t>Common stock (par value $0.02 per share; 199,980 authorized, 26,317 and 24,680 issued and</w:t>
            </w: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00" w:type="dxa"/>
            <w:vAlign w:val="bottom"/>
          </w:tcPr>
          <w:p>
            <w:pPr>
              <w:spacing w:after="0"/>
              <w:rPr>
                <w:sz w:val="20"/>
                <w:szCs w:val="20"/>
                <w:color w:val="auto"/>
              </w:rPr>
            </w:pPr>
          </w:p>
        </w:tc>
        <w:tc>
          <w:tcPr>
            <w:tcW w:w="7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outstanding, respectively)</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0" w:type="dxa"/>
            <w:vAlign w:val="bottom"/>
          </w:tcPr>
          <w:p>
            <w:pPr>
              <w:spacing w:after="0"/>
              <w:rPr>
                <w:sz w:val="19"/>
                <w:szCs w:val="19"/>
                <w:color w:val="auto"/>
              </w:rPr>
            </w:pPr>
          </w:p>
        </w:tc>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69,995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57,773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0" w:type="dxa"/>
            <w:vAlign w:val="bottom"/>
          </w:tcPr>
          <w:p>
            <w:pPr>
              <w:spacing w:after="0"/>
              <w:rPr>
                <w:sz w:val="19"/>
                <w:szCs w:val="19"/>
                <w:color w:val="auto"/>
              </w:rPr>
            </w:pPr>
          </w:p>
        </w:tc>
        <w:tc>
          <w:tcPr>
            <w:tcW w:w="7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218,266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0" w:type="dxa"/>
            <w:vAlign w:val="bottom"/>
          </w:tcPr>
          <w:p>
            <w:pPr>
              <w:spacing w:after="0"/>
              <w:rPr>
                <w:sz w:val="19"/>
                <w:szCs w:val="19"/>
                <w:color w:val="auto"/>
              </w:rPr>
            </w:pPr>
          </w:p>
        </w:tc>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 (loss), net of income taxes</w:t>
            </w: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0" w:type="dxa"/>
            <w:vAlign w:val="bottom"/>
          </w:tcPr>
          <w:p>
            <w:pPr>
              <w:spacing w:after="0"/>
              <w:rPr>
                <w:sz w:val="18"/>
                <w:szCs w:val="18"/>
                <w:color w:val="auto"/>
              </w:rPr>
            </w:pPr>
          </w:p>
        </w:tc>
        <w:tc>
          <w:tcPr>
            <w:tcW w:w="728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312,180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296,282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0"/>
                <w:szCs w:val="20"/>
                <w:color w:val="auto"/>
              </w:rPr>
            </w:pPr>
          </w:p>
        </w:tc>
        <w:tc>
          <w:tcPr>
            <w:tcW w:w="728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2,126,217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2,059,912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280" w:type="dxa"/>
            <w:vAlign w:val="bottom"/>
            <w:tcBorders>
              <w:top w:val="single" w:sz="8" w:color="CCEEFF"/>
              <w:bottom w:val="single" w:sz="8" w:color="CCEEFF"/>
            </w:tcBorders>
            <w:vMerge w:val="restart"/>
          </w:tcPr>
          <w:p>
            <w:pPr>
              <w:jc w:val="right"/>
              <w:ind w:right="1652"/>
              <w:spacing w:after="0"/>
              <w:rPr>
                <w:sz w:val="20"/>
                <w:szCs w:val="20"/>
                <w:color w:val="auto"/>
              </w:rPr>
            </w:pPr>
            <w:r>
              <w:rPr>
                <w:rFonts w:ascii="Times New Roman" w:cs="Times New Roman" w:eastAsia="Times New Roman" w:hAnsi="Times New Roman"/>
                <w:sz w:val="18"/>
                <w:szCs w:val="18"/>
                <w:color w:val="auto"/>
              </w:rPr>
              <w:t>F-8</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200" w:type="dxa"/>
            <w:vAlign w:val="bottom"/>
          </w:tcPr>
          <w:p>
            <w:pPr>
              <w:spacing w:after="0"/>
              <w:rPr>
                <w:sz w:val="24"/>
                <w:szCs w:val="24"/>
                <w:color w:val="auto"/>
              </w:rPr>
            </w:pPr>
          </w:p>
        </w:tc>
        <w:tc>
          <w:tcPr>
            <w:tcW w:w="72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0" w:type="dxa"/>
            <w:vAlign w:val="bottom"/>
          </w:tcPr>
          <w:p>
            <w:pPr>
              <w:spacing w:after="0"/>
              <w:rPr>
                <w:sz w:val="19"/>
                <w:szCs w:val="19"/>
                <w:color w:val="auto"/>
              </w:rPr>
            </w:pPr>
          </w:p>
        </w:tc>
        <w:tc>
          <w:tcPr>
            <w:tcW w:w="9000" w:type="dxa"/>
            <w:vAlign w:val="bottom"/>
            <w:gridSpan w:val="4"/>
          </w:tcPr>
          <w:p>
            <w:pPr>
              <w:ind w:left="32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3"/>
        </w:trPr>
        <w:tc>
          <w:tcPr>
            <w:tcW w:w="200" w:type="dxa"/>
            <w:vAlign w:val="bottom"/>
            <w:tcBorders>
              <w:bottom w:val="single" w:sz="8" w:color="9A9A9A"/>
            </w:tcBorders>
          </w:tcPr>
          <w:p>
            <w:pPr>
              <w:spacing w:after="0"/>
              <w:rPr>
                <w:sz w:val="9"/>
                <w:szCs w:val="9"/>
                <w:color w:val="auto"/>
              </w:rPr>
            </w:pPr>
          </w:p>
        </w:tc>
        <w:tc>
          <w:tcPr>
            <w:tcW w:w="72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NEWTEKONE, INC. AND SUBSIDIARIES</w:t>
      </w:r>
    </w:p>
    <w:p>
      <w:pPr>
        <w:spacing w:after="0" w:line="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INCOME (UNAUDITED)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Per Share Data)</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20" w:type="dxa"/>
            <w:vAlign w:val="bottom"/>
          </w:tcPr>
          <w:p>
            <w:pPr>
              <w:spacing w:after="0"/>
              <w:rPr>
                <w:sz w:val="20"/>
                <w:szCs w:val="20"/>
                <w:color w:val="auto"/>
              </w:rPr>
            </w:pPr>
          </w:p>
        </w:tc>
        <w:tc>
          <w:tcPr>
            <w:tcW w:w="284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2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center"/>
              <w:ind w:right="172"/>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8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Debt securities available-for-sale</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Loans and fees on loans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interest earning assets</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interest income</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74,408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Deposits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Notes and securitizations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8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Bank and FHLB borrowings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interest expense</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20,227</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interest income</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interest income after provision for credit losses</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Noninterest income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 income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 on loan servicing assets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Servicing income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gains on sales of loans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gain on residuals in securitizations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gain (loss) on loans under the fair value option</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Technology and IT support income</w:t>
            </w:r>
          </w:p>
        </w:tc>
        <w:tc>
          <w:tcPr>
            <w:tcW w:w="2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Electronic payment processing income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8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noninterest income</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noninterest income</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56,275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52,020</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108,673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Noninterest expense</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Salaries and employee benefits expense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Technology services expense</w:t>
            </w:r>
          </w:p>
        </w:tc>
        <w:tc>
          <w:tcPr>
            <w:tcW w:w="2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Electronic payment processing expense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Professional services expense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loan origination and maintenance expense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general and administrative costs</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42,309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40,564</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83,486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before taxes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Dividends to preferred shareholders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0"/>
                <w:szCs w:val="20"/>
                <w:color w:val="auto"/>
              </w:rPr>
            </w:pPr>
          </w:p>
        </w:tc>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10,545</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48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48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tcPr>
          <w:p>
            <w:pPr>
              <w:jc w:val="right"/>
              <w:ind w:right="7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0.52</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0.43</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3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0.87</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0.81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9"/>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5"/>
              </w:rPr>
              <w:t>F-9</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60" w:type="dxa"/>
            <w:vAlign w:val="bottom"/>
            <w:gridSpan w:val="7"/>
          </w:tcPr>
          <w:p>
            <w:pPr>
              <w:jc w:val="center"/>
              <w:ind w:left="3052"/>
              <w:spacing w:after="0"/>
              <w:rPr>
                <w:sz w:val="20"/>
                <w:szCs w:val="20"/>
                <w:color w:val="auto"/>
              </w:rPr>
            </w:pPr>
            <w:r>
              <w:rPr>
                <w:rFonts w:ascii="Times New Roman" w:cs="Times New Roman" w:eastAsia="Times New Roman" w:hAnsi="Times New Roman"/>
                <w:sz w:val="18"/>
                <w:szCs w:val="18"/>
                <w:color w:val="auto"/>
                <w:w w:val="98"/>
              </w:rPr>
              <w:t>See accompanying notes to consolidated financial statements.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3"/>
        </w:trPr>
        <w:tc>
          <w:tcPr>
            <w:tcW w:w="20" w:type="dxa"/>
            <w:vAlign w:val="bottom"/>
            <w:tcBorders>
              <w:bottom w:val="single" w:sz="8" w:color="9A9A9A"/>
            </w:tcBorders>
          </w:tcPr>
          <w:p>
            <w:pPr>
              <w:spacing w:after="0"/>
              <w:rPr>
                <w:sz w:val="9"/>
                <w:szCs w:val="9"/>
                <w:color w:val="auto"/>
              </w:rPr>
            </w:pPr>
          </w:p>
        </w:tc>
        <w:tc>
          <w:tcPr>
            <w:tcW w:w="48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340" w:right="2320"/>
        <w:spacing w:after="0" w:line="286" w:lineRule="auto"/>
        <w:rPr>
          <w:sz w:val="20"/>
          <w:szCs w:val="20"/>
          <w:color w:val="auto"/>
        </w:rPr>
      </w:pPr>
      <w:r>
        <w:rPr>
          <w:rFonts w:ascii="Times New Roman" w:cs="Times New Roman" w:eastAsia="Times New Roman" w:hAnsi="Times New Roman"/>
          <w:sz w:val="18"/>
          <w:szCs w:val="18"/>
          <w:b w:val="1"/>
          <w:bCs w:val="1"/>
          <w:color w:val="auto"/>
        </w:rPr>
        <w:t>NEWTEKONE, INC. AND SUBSIDIARIES CONSOLIDATED STATEMENTS OF COMPREHENSIVE INCOME (UNAUDITED) (In Thousands)</w:t>
      </w:r>
    </w:p>
    <w:p>
      <w:pPr>
        <w:spacing w:after="0" w:line="200" w:lineRule="exact"/>
        <w:rPr>
          <w:sz w:val="20"/>
          <w:szCs w:val="20"/>
          <w:color w:val="auto"/>
        </w:rPr>
      </w:pP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4840" w:type="dxa"/>
            <w:vAlign w:val="bottom"/>
          </w:tcPr>
          <w:p>
            <w:pPr>
              <w:spacing w:after="0"/>
              <w:rPr>
                <w:sz w:val="20"/>
                <w:szCs w:val="20"/>
                <w:color w:val="auto"/>
              </w:rPr>
            </w:pPr>
          </w:p>
        </w:tc>
        <w:tc>
          <w:tcPr>
            <w:tcW w:w="3220" w:type="dxa"/>
            <w:vAlign w:val="bottom"/>
            <w:gridSpan w:val="6"/>
          </w:tcPr>
          <w:p>
            <w:pPr>
              <w:ind w:left="5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20" w:type="dxa"/>
            <w:vAlign w:val="bottom"/>
          </w:tcPr>
          <w:p>
            <w:pPr>
              <w:spacing w:after="0"/>
              <w:rPr>
                <w:sz w:val="20"/>
                <w:szCs w:val="20"/>
                <w:color w:val="auto"/>
              </w:rPr>
            </w:pPr>
          </w:p>
        </w:tc>
        <w:tc>
          <w:tcPr>
            <w:tcW w:w="2820" w:type="dxa"/>
            <w:vAlign w:val="bottom"/>
            <w:gridSpan w:val="4"/>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18"/>
        </w:trPr>
        <w:tc>
          <w:tcPr>
            <w:tcW w:w="484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8"/>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13,703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20,595</w:t>
            </w:r>
          </w:p>
        </w:tc>
      </w:tr>
      <w:tr>
        <w:trPr>
          <w:trHeight w:val="225"/>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172"/>
        </w:trPr>
        <w:tc>
          <w:tcPr>
            <w:tcW w:w="4840" w:type="dxa"/>
            <w:vAlign w:val="bottom"/>
            <w:shd w:val="clear" w:color="auto" w:fill="CCEEFF"/>
          </w:tcPr>
          <w:p>
            <w:pPr>
              <w:ind w:left="120"/>
              <w:spacing w:after="0" w:line="172" w:lineRule="exact"/>
              <w:rPr>
                <w:sz w:val="20"/>
                <w:szCs w:val="20"/>
                <w:color w:val="auto"/>
              </w:rPr>
            </w:pPr>
            <w:r>
              <w:rPr>
                <w:rFonts w:ascii="Times New Roman" w:cs="Times New Roman" w:eastAsia="Times New Roman" w:hAnsi="Times New Roman"/>
                <w:sz w:val="18"/>
                <w:szCs w:val="18"/>
                <w:color w:val="auto"/>
              </w:rPr>
              <w:t>Net unrealized gain (loss) on debt securities available-for-sale</w:t>
            </w:r>
          </w:p>
        </w:tc>
        <w:tc>
          <w:tcPr>
            <w:tcW w:w="9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238"/>
        </w:trPr>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during the period</w:t>
            </w:r>
          </w:p>
        </w:tc>
        <w:tc>
          <w:tcPr>
            <w:tcW w:w="9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8"/>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5"/>
        </w:trPr>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8"/>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940" w:type="dxa"/>
            <w:vAlign w:val="bottom"/>
            <w:tcBorders>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13,702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10,949</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20,606</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57785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NEWTEKONE, INC. AND SUBSIDIARIES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 (UNAUDITED)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Per Share Data)</w:t>
      </w:r>
    </w:p>
    <w:p>
      <w:pPr>
        <w:spacing w:after="0" w:line="250"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8"/>
          <w:szCs w:val="18"/>
          <w:b w:val="1"/>
          <w:bCs w:val="1"/>
          <w:color w:val="auto"/>
        </w:rPr>
        <w:t>Accumulated</w:t>
      </w:r>
    </w:p>
    <w:p>
      <w:pPr>
        <w:jc w:val="center"/>
        <w:ind w:left="7620"/>
        <w:spacing w:after="0" w:line="214" w:lineRule="auto"/>
        <w:rPr>
          <w:sz w:val="20"/>
          <w:szCs w:val="20"/>
          <w:color w:val="auto"/>
        </w:rPr>
      </w:pPr>
      <w:r>
        <w:rPr>
          <w:rFonts w:ascii="Times New Roman" w:cs="Times New Roman" w:eastAsia="Times New Roman" w:hAnsi="Times New Roman"/>
          <w:sz w:val="18"/>
          <w:szCs w:val="18"/>
          <w:b w:val="1"/>
          <w:bCs w:val="1"/>
          <w:color w:val="auto"/>
        </w:rPr>
        <w:t>other</w:t>
      </w:r>
    </w:p>
    <w:tbl>
      <w:tblPr>
        <w:tblLayout w:type="fixed"/>
        <w:tblInd w:w="0" w:type="dxa"/>
        <w:tblCellMar>
          <w:top w:w="0" w:type="dxa"/>
          <w:left w:w="0" w:type="dxa"/>
          <w:bottom w:w="0" w:type="dxa"/>
          <w:right w:w="0" w:type="dxa"/>
        </w:tblCellMar>
      </w:tblPr>
      <w:tr>
        <w:trPr>
          <w:trHeight w:val="158"/>
        </w:trPr>
        <w:tc>
          <w:tcPr>
            <w:tcW w:w="3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Additional</w:t>
            </w:r>
          </w:p>
        </w:tc>
        <w:tc>
          <w:tcPr>
            <w:tcW w:w="1240" w:type="dxa"/>
            <w:vAlign w:val="bottom"/>
            <w:gridSpan w:val="3"/>
          </w:tcPr>
          <w:p>
            <w:pPr>
              <w:jc w:val="center"/>
              <w:ind w:right="80"/>
              <w:spacing w:after="0" w:line="157" w:lineRule="exact"/>
              <w:rPr>
                <w:sz w:val="20"/>
                <w:szCs w:val="20"/>
                <w:color w:val="auto"/>
              </w:rPr>
            </w:pPr>
            <w:r>
              <w:rPr>
                <w:rFonts w:ascii="Times New Roman" w:cs="Times New Roman" w:eastAsia="Times New Roman" w:hAnsi="Times New Roman"/>
                <w:sz w:val="18"/>
                <w:szCs w:val="18"/>
                <w:b w:val="1"/>
                <w:bCs w:val="1"/>
                <w:color w:val="auto"/>
                <w:w w:val="97"/>
              </w:rPr>
              <w:t>comprehensive</w:t>
            </w:r>
          </w:p>
        </w:tc>
        <w:tc>
          <w:tcPr>
            <w:tcW w:w="220" w:type="dxa"/>
            <w:vAlign w:val="bottom"/>
          </w:tcPr>
          <w:p>
            <w:pPr>
              <w:spacing w:after="0"/>
              <w:rPr>
                <w:sz w:val="13"/>
                <w:szCs w:val="13"/>
                <w:color w:val="auto"/>
              </w:rPr>
            </w:pPr>
          </w:p>
        </w:tc>
        <w:tc>
          <w:tcPr>
            <w:tcW w:w="920" w:type="dxa"/>
            <w:vAlign w:val="bottom"/>
            <w:vMerge w:val="restart"/>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72"/>
        </w:trPr>
        <w:tc>
          <w:tcPr>
            <w:tcW w:w="3200" w:type="dxa"/>
            <w:vAlign w:val="bottom"/>
          </w:tcPr>
          <w:p>
            <w:pPr>
              <w:spacing w:after="0"/>
              <w:rPr>
                <w:sz w:val="14"/>
                <w:szCs w:val="14"/>
                <w:color w:val="auto"/>
              </w:rPr>
            </w:pPr>
          </w:p>
        </w:tc>
        <w:tc>
          <w:tcPr>
            <w:tcW w:w="1700" w:type="dxa"/>
            <w:vAlign w:val="bottom"/>
            <w:gridSpan w:val="4"/>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80" w:type="dxa"/>
            <w:vAlign w:val="bottom"/>
            <w:vMerge w:val="restart"/>
          </w:tcPr>
          <w:p>
            <w:pPr>
              <w:spacing w:after="0"/>
              <w:rPr>
                <w:sz w:val="14"/>
                <w:szCs w:val="14"/>
                <w:color w:val="auto"/>
              </w:rPr>
            </w:pPr>
          </w:p>
        </w:tc>
        <w:tc>
          <w:tcPr>
            <w:tcW w:w="1700" w:type="dxa"/>
            <w:vAlign w:val="bottom"/>
            <w:gridSpan w:val="4"/>
            <w:vMerge w:val="restart"/>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1240" w:type="dxa"/>
            <w:vAlign w:val="bottom"/>
            <w:gridSpan w:val="3"/>
          </w:tcPr>
          <w:p>
            <w:pPr>
              <w:jc w:val="center"/>
              <w:ind w:right="60"/>
              <w:spacing w:after="0" w:line="172" w:lineRule="exact"/>
              <w:rPr>
                <w:sz w:val="20"/>
                <w:szCs w:val="20"/>
                <w:color w:val="auto"/>
              </w:rPr>
            </w:pPr>
            <w:r>
              <w:rPr>
                <w:rFonts w:ascii="Times New Roman" w:cs="Times New Roman" w:eastAsia="Times New Roman" w:hAnsi="Times New Roman"/>
                <w:sz w:val="18"/>
                <w:szCs w:val="18"/>
                <w:b w:val="1"/>
                <w:bCs w:val="1"/>
                <w:color w:val="auto"/>
                <w:w w:val="98"/>
              </w:rPr>
              <w:t>income (loss),</w:t>
            </w: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200" w:type="dxa"/>
            <w:vAlign w:val="bottom"/>
          </w:tcPr>
          <w:p>
            <w:pPr>
              <w:spacing w:after="0"/>
              <w:rPr>
                <w:sz w:val="13"/>
                <w:szCs w:val="13"/>
                <w:color w:val="auto"/>
              </w:rPr>
            </w:pPr>
          </w:p>
        </w:tc>
        <w:tc>
          <w:tcPr>
            <w:tcW w:w="1700" w:type="dxa"/>
            <w:vAlign w:val="bottom"/>
            <w:tcBorders>
              <w:bottom w:val="single" w:sz="8" w:color="auto"/>
            </w:tcBorders>
            <w:gridSpan w:val="4"/>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700" w:type="dxa"/>
            <w:vAlign w:val="bottom"/>
            <w:tcBorders>
              <w:bottom w:val="single" w:sz="8" w:color="auto"/>
            </w:tcBorders>
            <w:gridSpan w:val="4"/>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ind w:left="20"/>
              <w:spacing w:after="0" w:line="152" w:lineRule="exact"/>
              <w:rPr>
                <w:sz w:val="20"/>
                <w:szCs w:val="20"/>
                <w:color w:val="auto"/>
              </w:rPr>
            </w:pPr>
            <w:r>
              <w:rPr>
                <w:rFonts w:ascii="Times New Roman" w:cs="Times New Roman" w:eastAsia="Times New Roman" w:hAnsi="Times New Roman"/>
                <w:sz w:val="17"/>
                <w:szCs w:val="17"/>
                <w:b w:val="1"/>
                <w:bCs w:val="1"/>
                <w:color w:val="auto"/>
              </w:rPr>
              <w:t>Retained</w:t>
            </w:r>
          </w:p>
        </w:tc>
        <w:tc>
          <w:tcPr>
            <w:tcW w:w="160" w:type="dxa"/>
            <w:vAlign w:val="bottom"/>
          </w:tcPr>
          <w:p>
            <w:pPr>
              <w:spacing w:after="0"/>
              <w:rPr>
                <w:sz w:val="13"/>
                <w:szCs w:val="13"/>
                <w:color w:val="auto"/>
              </w:rPr>
            </w:pPr>
          </w:p>
        </w:tc>
        <w:tc>
          <w:tcPr>
            <w:tcW w:w="900" w:type="dxa"/>
            <w:vAlign w:val="bottom"/>
            <w:gridSpan w:val="2"/>
          </w:tcPr>
          <w:p>
            <w:pPr>
              <w:jc w:val="center"/>
              <w:ind w:right="240"/>
              <w:spacing w:after="0" w:line="152" w:lineRule="exact"/>
              <w:rPr>
                <w:sz w:val="20"/>
                <w:szCs w:val="20"/>
                <w:color w:val="auto"/>
              </w:rPr>
            </w:pPr>
            <w:r>
              <w:rPr>
                <w:rFonts w:ascii="Times New Roman" w:cs="Times New Roman" w:eastAsia="Times New Roman" w:hAnsi="Times New Roman"/>
                <w:sz w:val="17"/>
                <w:szCs w:val="17"/>
                <w:b w:val="1"/>
                <w:bCs w:val="1"/>
                <w:color w:val="auto"/>
              </w:rPr>
              <w:t>paid-in</w:t>
            </w:r>
          </w:p>
        </w:tc>
        <w:tc>
          <w:tcPr>
            <w:tcW w:w="1240" w:type="dxa"/>
            <w:vAlign w:val="bottom"/>
            <w:gridSpan w:val="3"/>
          </w:tcPr>
          <w:p>
            <w:pPr>
              <w:jc w:val="center"/>
              <w:ind w:right="80"/>
              <w:spacing w:after="0" w:line="152" w:lineRule="exact"/>
              <w:rPr>
                <w:sz w:val="20"/>
                <w:szCs w:val="20"/>
                <w:color w:val="auto"/>
              </w:rPr>
            </w:pPr>
            <w:r>
              <w:rPr>
                <w:rFonts w:ascii="Times New Roman" w:cs="Times New Roman" w:eastAsia="Times New Roman" w:hAnsi="Times New Roman"/>
                <w:sz w:val="17"/>
                <w:szCs w:val="17"/>
                <w:b w:val="1"/>
                <w:bCs w:val="1"/>
                <w:color w:val="auto"/>
              </w:rPr>
              <w:t>net of income</w:t>
            </w:r>
          </w:p>
        </w:tc>
        <w:tc>
          <w:tcPr>
            <w:tcW w:w="114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7"/>
                <w:szCs w:val="17"/>
                <w:b w:val="1"/>
                <w:bCs w:val="1"/>
                <w:color w:val="auto"/>
              </w:rPr>
              <w:t>shareholders'</w:t>
            </w:r>
          </w:p>
        </w:tc>
        <w:tc>
          <w:tcPr>
            <w:tcW w:w="0" w:type="dxa"/>
            <w:vAlign w:val="bottom"/>
          </w:tcPr>
          <w:p>
            <w:pPr>
              <w:spacing w:after="0"/>
              <w:rPr>
                <w:sz w:val="1"/>
                <w:szCs w:val="1"/>
                <w:color w:val="auto"/>
              </w:rPr>
            </w:pPr>
          </w:p>
        </w:tc>
      </w:tr>
      <w:tr>
        <w:trPr>
          <w:trHeight w:val="231"/>
        </w:trPr>
        <w:tc>
          <w:tcPr>
            <w:tcW w:w="3200" w:type="dxa"/>
            <w:vAlign w:val="bottom"/>
          </w:tcPr>
          <w:p>
            <w:pPr>
              <w:spacing w:after="0"/>
              <w:rPr>
                <w:sz w:val="20"/>
                <w:szCs w:val="20"/>
                <w:color w:val="auto"/>
              </w:rPr>
            </w:pP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60" w:type="dxa"/>
            <w:vAlign w:val="bottom"/>
          </w:tcPr>
          <w:p>
            <w:pPr>
              <w:spacing w:after="0"/>
              <w:rPr>
                <w:sz w:val="20"/>
                <w:szCs w:val="20"/>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capital</w:t>
            </w:r>
          </w:p>
        </w:tc>
        <w:tc>
          <w:tcPr>
            <w:tcW w:w="260" w:type="dxa"/>
            <w:vAlign w:val="bottom"/>
          </w:tcPr>
          <w:p>
            <w:pPr>
              <w:spacing w:after="0"/>
              <w:rPr>
                <w:sz w:val="20"/>
                <w:szCs w:val="20"/>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taxes</w:t>
            </w:r>
          </w:p>
        </w:tc>
        <w:tc>
          <w:tcPr>
            <w:tcW w:w="220" w:type="dxa"/>
            <w:vAlign w:val="bottom"/>
          </w:tcPr>
          <w:p>
            <w:pPr>
              <w:spacing w:after="0"/>
              <w:rPr>
                <w:sz w:val="20"/>
                <w:szCs w:val="20"/>
                <w:color w:val="auto"/>
              </w:rPr>
            </w:pPr>
          </w:p>
        </w:tc>
        <w:tc>
          <w:tcPr>
            <w:tcW w:w="920" w:type="dxa"/>
            <w:vAlign w:val="bottom"/>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5"/>
              </w:rPr>
              <w:t>equity</w:t>
            </w:r>
          </w:p>
        </w:tc>
        <w:tc>
          <w:tcPr>
            <w:tcW w:w="0" w:type="dxa"/>
            <w:vAlign w:val="bottom"/>
          </w:tcPr>
          <w:p>
            <w:pPr>
              <w:spacing w:after="0"/>
              <w:rPr>
                <w:sz w:val="1"/>
                <w:szCs w:val="1"/>
                <w:color w:val="auto"/>
              </w:rPr>
            </w:pPr>
          </w:p>
        </w:tc>
      </w:tr>
      <w:tr>
        <w:trPr>
          <w:trHeight w:val="218"/>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19,738</w:t>
            </w: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26,342</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61,538</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220,468</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302,280</w:t>
            </w:r>
          </w:p>
        </w:tc>
        <w:tc>
          <w:tcPr>
            <w:tcW w:w="0" w:type="dxa"/>
            <w:vAlign w:val="bottom"/>
          </w:tcPr>
          <w:p>
            <w:pPr>
              <w:spacing w:after="0"/>
              <w:rPr>
                <w:sz w:val="1"/>
                <w:szCs w:val="1"/>
                <w:color w:val="auto"/>
              </w:rPr>
            </w:pPr>
          </w:p>
        </w:tc>
      </w:tr>
      <w:tr>
        <w:trPr>
          <w:trHeight w:val="172"/>
        </w:trPr>
        <w:tc>
          <w:tcPr>
            <w:tcW w:w="3200" w:type="dxa"/>
            <w:vAlign w:val="bottom"/>
          </w:tcPr>
          <w:p>
            <w:pPr>
              <w:ind w:left="240"/>
              <w:spacing w:after="0" w:line="172" w:lineRule="exact"/>
              <w:rPr>
                <w:sz w:val="20"/>
                <w:szCs w:val="20"/>
                <w:color w:val="auto"/>
              </w:rPr>
            </w:pPr>
            <w:r>
              <w:rPr>
                <w:rFonts w:ascii="Times New Roman" w:cs="Times New Roman" w:eastAsia="Times New Roman" w:hAnsi="Times New Roman"/>
                <w:sz w:val="18"/>
                <w:szCs w:val="18"/>
                <w:color w:val="auto"/>
              </w:rPr>
              <w:t>Stock-based compensation expense, net</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 forfeitures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0" w:type="dxa"/>
            <w:vAlign w:val="bottom"/>
          </w:tcPr>
          <w:p>
            <w:pPr>
              <w:spacing w:after="0"/>
              <w:rPr>
                <w:sz w:val="1"/>
                <w:szCs w:val="1"/>
                <w:color w:val="auto"/>
              </w:rPr>
            </w:pPr>
          </w:p>
        </w:tc>
      </w:tr>
      <w:tr>
        <w:trPr>
          <w:trHeight w:val="172"/>
        </w:trPr>
        <w:tc>
          <w:tcPr>
            <w:tcW w:w="3200" w:type="dxa"/>
            <w:vAlign w:val="bottom"/>
            <w:shd w:val="clear" w:color="auto" w:fill="CCEEFF"/>
          </w:tcPr>
          <w:p>
            <w:pPr>
              <w:ind w:left="240"/>
              <w:spacing w:after="0" w:line="172" w:lineRule="exact"/>
              <w:rPr>
                <w:sz w:val="20"/>
                <w:szCs w:val="20"/>
                <w:color w:val="auto"/>
              </w:rPr>
            </w:pPr>
            <w:r>
              <w:rPr>
                <w:rFonts w:ascii="Times New Roman" w:cs="Times New Roman" w:eastAsia="Times New Roman" w:hAnsi="Times New Roman"/>
                <w:sz w:val="18"/>
                <w:szCs w:val="18"/>
                <w:color w:val="auto"/>
                <w:w w:val="97"/>
              </w:rPr>
              <w:t>Dividends declared related to RSA, net of</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dividends forfeited</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3200" w:type="dxa"/>
            <w:vAlign w:val="bottom"/>
          </w:tcPr>
          <w:p>
            <w:pPr>
              <w:ind w:left="240"/>
              <w:spacing w:after="0" w:line="172" w:lineRule="exact"/>
              <w:rPr>
                <w:sz w:val="20"/>
                <w:szCs w:val="20"/>
                <w:color w:val="auto"/>
              </w:rPr>
            </w:pPr>
            <w:r>
              <w:rPr>
                <w:rFonts w:ascii="Times New Roman" w:cs="Times New Roman" w:eastAsia="Times New Roman" w:hAnsi="Times New Roman"/>
                <w:sz w:val="18"/>
                <w:szCs w:val="18"/>
                <w:color w:val="auto"/>
              </w:rPr>
              <w:t>Purchase of vested stock for employee</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payroll tax withholding</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5"/>
        </w:trPr>
        <w:tc>
          <w:tcPr>
            <w:tcW w:w="3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7"/>
              </w:rPr>
              <w:t>Restricted stock awards, net of forfeitures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5"/>
        </w:trPr>
        <w:tc>
          <w:tcPr>
            <w:tcW w:w="3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ESPP issuances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5"/>
        </w:trPr>
        <w:tc>
          <w:tcPr>
            <w:tcW w:w="3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Retirement of common shares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172"/>
        </w:trPr>
        <w:tc>
          <w:tcPr>
            <w:tcW w:w="3200" w:type="dxa"/>
            <w:vAlign w:val="bottom"/>
          </w:tcPr>
          <w:p>
            <w:pPr>
              <w:ind w:left="240"/>
              <w:spacing w:after="0" w:line="172" w:lineRule="exact"/>
              <w:rPr>
                <w:sz w:val="20"/>
                <w:szCs w:val="20"/>
                <w:color w:val="auto"/>
              </w:rPr>
            </w:pPr>
            <w:r>
              <w:rPr>
                <w:rFonts w:ascii="Times New Roman" w:cs="Times New Roman" w:eastAsia="Times New Roman" w:hAnsi="Times New Roman"/>
                <w:sz w:val="18"/>
                <w:szCs w:val="18"/>
                <w:color w:val="auto"/>
              </w:rPr>
              <w:t>Dividends declared common shares</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($0.19/share)</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(4,846)</w:t>
            </w:r>
          </w:p>
        </w:tc>
        <w:tc>
          <w:tcPr>
            <w:tcW w:w="0" w:type="dxa"/>
            <w:vAlign w:val="bottom"/>
          </w:tcPr>
          <w:p>
            <w:pPr>
              <w:spacing w:after="0"/>
              <w:rPr>
                <w:sz w:val="1"/>
                <w:szCs w:val="1"/>
                <w:color w:val="auto"/>
              </w:rPr>
            </w:pPr>
          </w:p>
        </w:tc>
      </w:tr>
      <w:tr>
        <w:trPr>
          <w:trHeight w:val="172"/>
        </w:trPr>
        <w:tc>
          <w:tcPr>
            <w:tcW w:w="3200" w:type="dxa"/>
            <w:vAlign w:val="bottom"/>
            <w:shd w:val="clear" w:color="auto" w:fill="CCEEFF"/>
          </w:tcPr>
          <w:p>
            <w:pPr>
              <w:ind w:left="240"/>
              <w:spacing w:after="0" w:line="172" w:lineRule="exact"/>
              <w:rPr>
                <w:sz w:val="20"/>
                <w:szCs w:val="20"/>
                <w:color w:val="auto"/>
              </w:rPr>
            </w:pPr>
            <w:r>
              <w:rPr>
                <w:rFonts w:ascii="Times New Roman" w:cs="Times New Roman" w:eastAsia="Times New Roman" w:hAnsi="Times New Roman"/>
                <w:sz w:val="18"/>
                <w:szCs w:val="18"/>
                <w:color w:val="auto"/>
              </w:rPr>
              <w:t>Dividends declared preferred shares</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($20.00/share)</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25"/>
        </w:trPr>
        <w:tc>
          <w:tcPr>
            <w:tcW w:w="3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13,703</w:t>
            </w:r>
          </w:p>
        </w:tc>
        <w:tc>
          <w:tcPr>
            <w:tcW w:w="0" w:type="dxa"/>
            <w:vAlign w:val="bottom"/>
          </w:tcPr>
          <w:p>
            <w:pPr>
              <w:spacing w:after="0"/>
              <w:rPr>
                <w:sz w:val="1"/>
                <w:szCs w:val="1"/>
                <w:color w:val="auto"/>
              </w:rPr>
            </w:pPr>
          </w:p>
        </w:tc>
      </w:tr>
      <w:tr>
        <w:trPr>
          <w:trHeight w:val="225"/>
        </w:trPr>
        <w:tc>
          <w:tcPr>
            <w:tcW w:w="3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8"/>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19,738</w:t>
            </w:r>
          </w:p>
        </w:tc>
        <w:tc>
          <w:tcPr>
            <w:tcW w:w="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26,317</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69,995</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221,914</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312,180</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9"/>
        </w:trPr>
        <w:tc>
          <w:tcPr>
            <w:tcW w:w="3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F-11</w:t>
            </w: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200" w:type="dxa"/>
            <w:vAlign w:val="bottom"/>
          </w:tcPr>
          <w:p>
            <w:pPr>
              <w:spacing w:after="0"/>
              <w:rPr>
                <w:sz w:val="19"/>
                <w:szCs w:val="19"/>
                <w:color w:val="auto"/>
              </w:rPr>
            </w:pPr>
          </w:p>
        </w:tc>
        <w:tc>
          <w:tcPr>
            <w:tcW w:w="4600" w:type="dxa"/>
            <w:vAlign w:val="bottom"/>
            <w:gridSpan w:val="13"/>
          </w:tcPr>
          <w:p>
            <w:pPr>
              <w:ind w:left="240"/>
              <w:spacing w:after="0"/>
              <w:rPr>
                <w:sz w:val="20"/>
                <w:szCs w:val="20"/>
                <w:color w:val="auto"/>
              </w:rPr>
            </w:pPr>
            <w:r>
              <w:rPr>
                <w:rFonts w:ascii="Times New Roman" w:cs="Times New Roman" w:eastAsia="Times New Roman" w:hAnsi="Times New Roman"/>
                <w:sz w:val="18"/>
                <w:szCs w:val="18"/>
                <w:color w:val="auto"/>
                <w:w w:val="97"/>
              </w:rPr>
              <w:t>See accompanying notes to consolidated financial statements.</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3"/>
        </w:trPr>
        <w:tc>
          <w:tcPr>
            <w:tcW w:w="32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NEWTEKONE, INC. AND SUBSIDIARIES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 (UNAUDITED)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Per Share Data)</w:t>
      </w:r>
    </w:p>
    <w:p>
      <w:pPr>
        <w:spacing w:after="0" w:line="263"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8"/>
          <w:szCs w:val="18"/>
          <w:b w:val="1"/>
          <w:bCs w:val="1"/>
          <w:color w:val="auto"/>
        </w:rPr>
        <w:t>Accumulated</w:t>
      </w:r>
    </w:p>
    <w:p>
      <w:pPr>
        <w:jc w:val="center"/>
        <w:ind w:left="7620"/>
        <w:spacing w:after="0" w:line="214" w:lineRule="auto"/>
        <w:rPr>
          <w:sz w:val="20"/>
          <w:szCs w:val="20"/>
          <w:color w:val="auto"/>
        </w:rPr>
      </w:pPr>
      <w:r>
        <w:rPr>
          <w:rFonts w:ascii="Times New Roman" w:cs="Times New Roman" w:eastAsia="Times New Roman" w:hAnsi="Times New Roman"/>
          <w:sz w:val="18"/>
          <w:szCs w:val="18"/>
          <w:b w:val="1"/>
          <w:bCs w:val="1"/>
          <w:color w:val="auto"/>
        </w:rPr>
        <w:t>other</w:t>
      </w:r>
    </w:p>
    <w:tbl>
      <w:tblPr>
        <w:tblLayout w:type="fixed"/>
        <w:tblInd w:w="0" w:type="dxa"/>
        <w:tblCellMar>
          <w:top w:w="0" w:type="dxa"/>
          <w:left w:w="0" w:type="dxa"/>
          <w:bottom w:w="0" w:type="dxa"/>
          <w:right w:w="0" w:type="dxa"/>
        </w:tblCellMar>
      </w:tblPr>
      <w:tr>
        <w:trPr>
          <w:trHeight w:val="158"/>
        </w:trPr>
        <w:tc>
          <w:tcPr>
            <w:tcW w:w="3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Additional</w:t>
            </w:r>
          </w:p>
        </w:tc>
        <w:tc>
          <w:tcPr>
            <w:tcW w:w="1240" w:type="dxa"/>
            <w:vAlign w:val="bottom"/>
            <w:gridSpan w:val="3"/>
          </w:tcPr>
          <w:p>
            <w:pPr>
              <w:jc w:val="center"/>
              <w:ind w:right="80"/>
              <w:spacing w:after="0" w:line="157" w:lineRule="exact"/>
              <w:rPr>
                <w:sz w:val="20"/>
                <w:szCs w:val="20"/>
                <w:color w:val="auto"/>
              </w:rPr>
            </w:pPr>
            <w:r>
              <w:rPr>
                <w:rFonts w:ascii="Times New Roman" w:cs="Times New Roman" w:eastAsia="Times New Roman" w:hAnsi="Times New Roman"/>
                <w:sz w:val="18"/>
                <w:szCs w:val="18"/>
                <w:b w:val="1"/>
                <w:bCs w:val="1"/>
                <w:color w:val="auto"/>
                <w:w w:val="97"/>
              </w:rPr>
              <w:t>comprehensive</w:t>
            </w:r>
          </w:p>
        </w:tc>
        <w:tc>
          <w:tcPr>
            <w:tcW w:w="220" w:type="dxa"/>
            <w:vAlign w:val="bottom"/>
          </w:tcPr>
          <w:p>
            <w:pPr>
              <w:spacing w:after="0"/>
              <w:rPr>
                <w:sz w:val="13"/>
                <w:szCs w:val="13"/>
                <w:color w:val="auto"/>
              </w:rPr>
            </w:pPr>
          </w:p>
        </w:tc>
        <w:tc>
          <w:tcPr>
            <w:tcW w:w="920" w:type="dxa"/>
            <w:vAlign w:val="bottom"/>
            <w:vMerge w:val="restart"/>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72"/>
        </w:trPr>
        <w:tc>
          <w:tcPr>
            <w:tcW w:w="3200" w:type="dxa"/>
            <w:vAlign w:val="bottom"/>
          </w:tcPr>
          <w:p>
            <w:pPr>
              <w:spacing w:after="0"/>
              <w:rPr>
                <w:sz w:val="14"/>
                <w:szCs w:val="14"/>
                <w:color w:val="auto"/>
              </w:rPr>
            </w:pPr>
          </w:p>
        </w:tc>
        <w:tc>
          <w:tcPr>
            <w:tcW w:w="1700" w:type="dxa"/>
            <w:vAlign w:val="bottom"/>
            <w:gridSpan w:val="4"/>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80" w:type="dxa"/>
            <w:vAlign w:val="bottom"/>
            <w:vMerge w:val="restart"/>
          </w:tcPr>
          <w:p>
            <w:pPr>
              <w:spacing w:after="0"/>
              <w:rPr>
                <w:sz w:val="14"/>
                <w:szCs w:val="14"/>
                <w:color w:val="auto"/>
              </w:rPr>
            </w:pPr>
          </w:p>
        </w:tc>
        <w:tc>
          <w:tcPr>
            <w:tcW w:w="1700" w:type="dxa"/>
            <w:vAlign w:val="bottom"/>
            <w:gridSpan w:val="4"/>
            <w:vMerge w:val="restart"/>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1240" w:type="dxa"/>
            <w:vAlign w:val="bottom"/>
            <w:gridSpan w:val="3"/>
          </w:tcPr>
          <w:p>
            <w:pPr>
              <w:jc w:val="center"/>
              <w:ind w:right="60"/>
              <w:spacing w:after="0" w:line="172" w:lineRule="exact"/>
              <w:rPr>
                <w:sz w:val="20"/>
                <w:szCs w:val="20"/>
                <w:color w:val="auto"/>
              </w:rPr>
            </w:pPr>
            <w:r>
              <w:rPr>
                <w:rFonts w:ascii="Times New Roman" w:cs="Times New Roman" w:eastAsia="Times New Roman" w:hAnsi="Times New Roman"/>
                <w:sz w:val="18"/>
                <w:szCs w:val="18"/>
                <w:b w:val="1"/>
                <w:bCs w:val="1"/>
                <w:color w:val="auto"/>
                <w:w w:val="98"/>
              </w:rPr>
              <w:t>income (loss),</w:t>
            </w: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200" w:type="dxa"/>
            <w:vAlign w:val="bottom"/>
          </w:tcPr>
          <w:p>
            <w:pPr>
              <w:spacing w:after="0"/>
              <w:rPr>
                <w:sz w:val="13"/>
                <w:szCs w:val="13"/>
                <w:color w:val="auto"/>
              </w:rPr>
            </w:pPr>
          </w:p>
        </w:tc>
        <w:tc>
          <w:tcPr>
            <w:tcW w:w="1700" w:type="dxa"/>
            <w:vAlign w:val="bottom"/>
            <w:tcBorders>
              <w:bottom w:val="single" w:sz="8" w:color="auto"/>
            </w:tcBorders>
            <w:gridSpan w:val="4"/>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700" w:type="dxa"/>
            <w:vAlign w:val="bottom"/>
            <w:tcBorders>
              <w:bottom w:val="single" w:sz="8" w:color="auto"/>
            </w:tcBorders>
            <w:gridSpan w:val="4"/>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ind w:left="20"/>
              <w:spacing w:after="0" w:line="152" w:lineRule="exact"/>
              <w:rPr>
                <w:sz w:val="20"/>
                <w:szCs w:val="20"/>
                <w:color w:val="auto"/>
              </w:rPr>
            </w:pPr>
            <w:r>
              <w:rPr>
                <w:rFonts w:ascii="Times New Roman" w:cs="Times New Roman" w:eastAsia="Times New Roman" w:hAnsi="Times New Roman"/>
                <w:sz w:val="17"/>
                <w:szCs w:val="17"/>
                <w:b w:val="1"/>
                <w:bCs w:val="1"/>
                <w:color w:val="auto"/>
              </w:rPr>
              <w:t>Retained</w:t>
            </w:r>
          </w:p>
        </w:tc>
        <w:tc>
          <w:tcPr>
            <w:tcW w:w="160" w:type="dxa"/>
            <w:vAlign w:val="bottom"/>
          </w:tcPr>
          <w:p>
            <w:pPr>
              <w:spacing w:after="0"/>
              <w:rPr>
                <w:sz w:val="13"/>
                <w:szCs w:val="13"/>
                <w:color w:val="auto"/>
              </w:rPr>
            </w:pPr>
          </w:p>
        </w:tc>
        <w:tc>
          <w:tcPr>
            <w:tcW w:w="900" w:type="dxa"/>
            <w:vAlign w:val="bottom"/>
            <w:gridSpan w:val="2"/>
          </w:tcPr>
          <w:p>
            <w:pPr>
              <w:jc w:val="center"/>
              <w:ind w:right="240"/>
              <w:spacing w:after="0" w:line="152" w:lineRule="exact"/>
              <w:rPr>
                <w:sz w:val="20"/>
                <w:szCs w:val="20"/>
                <w:color w:val="auto"/>
              </w:rPr>
            </w:pPr>
            <w:r>
              <w:rPr>
                <w:rFonts w:ascii="Times New Roman" w:cs="Times New Roman" w:eastAsia="Times New Roman" w:hAnsi="Times New Roman"/>
                <w:sz w:val="17"/>
                <w:szCs w:val="17"/>
                <w:b w:val="1"/>
                <w:bCs w:val="1"/>
                <w:color w:val="auto"/>
              </w:rPr>
              <w:t>paid-in</w:t>
            </w:r>
          </w:p>
        </w:tc>
        <w:tc>
          <w:tcPr>
            <w:tcW w:w="1240" w:type="dxa"/>
            <w:vAlign w:val="bottom"/>
            <w:gridSpan w:val="3"/>
          </w:tcPr>
          <w:p>
            <w:pPr>
              <w:jc w:val="center"/>
              <w:ind w:right="80"/>
              <w:spacing w:after="0" w:line="152" w:lineRule="exact"/>
              <w:rPr>
                <w:sz w:val="20"/>
                <w:szCs w:val="20"/>
                <w:color w:val="auto"/>
              </w:rPr>
            </w:pPr>
            <w:r>
              <w:rPr>
                <w:rFonts w:ascii="Times New Roman" w:cs="Times New Roman" w:eastAsia="Times New Roman" w:hAnsi="Times New Roman"/>
                <w:sz w:val="17"/>
                <w:szCs w:val="17"/>
                <w:b w:val="1"/>
                <w:bCs w:val="1"/>
                <w:color w:val="auto"/>
              </w:rPr>
              <w:t>net of income</w:t>
            </w:r>
          </w:p>
        </w:tc>
        <w:tc>
          <w:tcPr>
            <w:tcW w:w="114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7"/>
                <w:szCs w:val="17"/>
                <w:b w:val="1"/>
                <w:bCs w:val="1"/>
                <w:color w:val="auto"/>
              </w:rPr>
              <w:t>shareholders'</w:t>
            </w:r>
          </w:p>
        </w:tc>
        <w:tc>
          <w:tcPr>
            <w:tcW w:w="0" w:type="dxa"/>
            <w:vAlign w:val="bottom"/>
          </w:tcPr>
          <w:p>
            <w:pPr>
              <w:spacing w:after="0"/>
              <w:rPr>
                <w:sz w:val="1"/>
                <w:szCs w:val="1"/>
                <w:color w:val="auto"/>
              </w:rPr>
            </w:pPr>
          </w:p>
        </w:tc>
      </w:tr>
      <w:tr>
        <w:trPr>
          <w:trHeight w:val="231"/>
        </w:trPr>
        <w:tc>
          <w:tcPr>
            <w:tcW w:w="3200" w:type="dxa"/>
            <w:vAlign w:val="bottom"/>
          </w:tcPr>
          <w:p>
            <w:pPr>
              <w:spacing w:after="0"/>
              <w:rPr>
                <w:sz w:val="20"/>
                <w:szCs w:val="20"/>
                <w:color w:val="auto"/>
              </w:rPr>
            </w:pP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60" w:type="dxa"/>
            <w:vAlign w:val="bottom"/>
          </w:tcPr>
          <w:p>
            <w:pPr>
              <w:spacing w:after="0"/>
              <w:rPr>
                <w:sz w:val="20"/>
                <w:szCs w:val="20"/>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capital</w:t>
            </w:r>
          </w:p>
        </w:tc>
        <w:tc>
          <w:tcPr>
            <w:tcW w:w="260" w:type="dxa"/>
            <w:vAlign w:val="bottom"/>
          </w:tcPr>
          <w:p>
            <w:pPr>
              <w:spacing w:after="0"/>
              <w:rPr>
                <w:sz w:val="20"/>
                <w:szCs w:val="20"/>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taxes</w:t>
            </w:r>
          </w:p>
        </w:tc>
        <w:tc>
          <w:tcPr>
            <w:tcW w:w="220" w:type="dxa"/>
            <w:vAlign w:val="bottom"/>
          </w:tcPr>
          <w:p>
            <w:pPr>
              <w:spacing w:after="0"/>
              <w:rPr>
                <w:sz w:val="20"/>
                <w:szCs w:val="20"/>
                <w:color w:val="auto"/>
              </w:rPr>
            </w:pPr>
          </w:p>
        </w:tc>
        <w:tc>
          <w:tcPr>
            <w:tcW w:w="920" w:type="dxa"/>
            <w:vAlign w:val="bottom"/>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5"/>
              </w:rPr>
              <w:t>equity</w:t>
            </w:r>
          </w:p>
        </w:tc>
        <w:tc>
          <w:tcPr>
            <w:tcW w:w="0" w:type="dxa"/>
            <w:vAlign w:val="bottom"/>
          </w:tcPr>
          <w:p>
            <w:pPr>
              <w:spacing w:after="0"/>
              <w:rPr>
                <w:sz w:val="1"/>
                <w:szCs w:val="1"/>
                <w:color w:val="auto"/>
              </w:rPr>
            </w:pPr>
          </w:p>
        </w:tc>
      </w:tr>
      <w:tr>
        <w:trPr>
          <w:trHeight w:val="218"/>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19,738</w:t>
            </w: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24,715</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201,431</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254,132</w:t>
            </w:r>
          </w:p>
        </w:tc>
        <w:tc>
          <w:tcPr>
            <w:tcW w:w="0" w:type="dxa"/>
            <w:vAlign w:val="bottom"/>
          </w:tcPr>
          <w:p>
            <w:pPr>
              <w:spacing w:after="0"/>
              <w:rPr>
                <w:sz w:val="1"/>
                <w:szCs w:val="1"/>
                <w:color w:val="auto"/>
              </w:rPr>
            </w:pPr>
          </w:p>
        </w:tc>
      </w:tr>
      <w:tr>
        <w:trPr>
          <w:trHeight w:val="172"/>
        </w:trPr>
        <w:tc>
          <w:tcPr>
            <w:tcW w:w="3200" w:type="dxa"/>
            <w:vAlign w:val="bottom"/>
          </w:tcPr>
          <w:p>
            <w:pPr>
              <w:ind w:left="240"/>
              <w:spacing w:after="0" w:line="172" w:lineRule="exact"/>
              <w:rPr>
                <w:sz w:val="20"/>
                <w:szCs w:val="20"/>
                <w:color w:val="auto"/>
              </w:rPr>
            </w:pPr>
            <w:r>
              <w:rPr>
                <w:rFonts w:ascii="Times New Roman" w:cs="Times New Roman" w:eastAsia="Times New Roman" w:hAnsi="Times New Roman"/>
                <w:sz w:val="18"/>
                <w:szCs w:val="18"/>
                <w:color w:val="auto"/>
              </w:rPr>
              <w:t>Stock-based compensation expense, net</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 forfeitures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172"/>
        </w:trPr>
        <w:tc>
          <w:tcPr>
            <w:tcW w:w="3200" w:type="dxa"/>
            <w:vAlign w:val="bottom"/>
            <w:shd w:val="clear" w:color="auto" w:fill="CCEEFF"/>
          </w:tcPr>
          <w:p>
            <w:pPr>
              <w:ind w:left="240"/>
              <w:spacing w:after="0" w:line="172" w:lineRule="exact"/>
              <w:rPr>
                <w:sz w:val="20"/>
                <w:szCs w:val="20"/>
                <w:color w:val="auto"/>
              </w:rPr>
            </w:pPr>
            <w:r>
              <w:rPr>
                <w:rFonts w:ascii="Times New Roman" w:cs="Times New Roman" w:eastAsia="Times New Roman" w:hAnsi="Times New Roman"/>
                <w:sz w:val="18"/>
                <w:szCs w:val="18"/>
                <w:color w:val="auto"/>
                <w:w w:val="97"/>
              </w:rPr>
              <w:t>Dividends declared related to RSA, net of</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dividends forfeited</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2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Restricted stock awards, net of forfeitures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5"/>
        </w:trPr>
        <w:tc>
          <w:tcPr>
            <w:tcW w:w="3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ESPP issuances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5"/>
        </w:trPr>
        <w:tc>
          <w:tcPr>
            <w:tcW w:w="3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offering costs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172"/>
        </w:trPr>
        <w:tc>
          <w:tcPr>
            <w:tcW w:w="3200" w:type="dxa"/>
            <w:vAlign w:val="bottom"/>
            <w:shd w:val="clear" w:color="auto" w:fill="CCEEFF"/>
          </w:tcPr>
          <w:p>
            <w:pPr>
              <w:ind w:left="240"/>
              <w:spacing w:after="0" w:line="172" w:lineRule="exact"/>
              <w:rPr>
                <w:sz w:val="20"/>
                <w:szCs w:val="20"/>
                <w:color w:val="auto"/>
              </w:rPr>
            </w:pPr>
            <w:r>
              <w:rPr>
                <w:rFonts w:ascii="Times New Roman" w:cs="Times New Roman" w:eastAsia="Times New Roman" w:hAnsi="Times New Roman"/>
                <w:sz w:val="18"/>
                <w:szCs w:val="18"/>
                <w:color w:val="auto"/>
              </w:rPr>
              <w:t>Issuance of common stock, net of</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offering costs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13,795</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13,818</w:t>
            </w:r>
          </w:p>
        </w:tc>
        <w:tc>
          <w:tcPr>
            <w:tcW w:w="0" w:type="dxa"/>
            <w:vAlign w:val="bottom"/>
          </w:tcPr>
          <w:p>
            <w:pPr>
              <w:spacing w:after="0"/>
              <w:rPr>
                <w:sz w:val="1"/>
                <w:szCs w:val="1"/>
                <w:color w:val="auto"/>
              </w:rPr>
            </w:pPr>
          </w:p>
        </w:tc>
      </w:tr>
      <w:tr>
        <w:trPr>
          <w:trHeight w:val="172"/>
        </w:trPr>
        <w:tc>
          <w:tcPr>
            <w:tcW w:w="3200" w:type="dxa"/>
            <w:vAlign w:val="bottom"/>
          </w:tcPr>
          <w:p>
            <w:pPr>
              <w:ind w:left="240"/>
              <w:spacing w:after="0" w:line="172" w:lineRule="exact"/>
              <w:rPr>
                <w:sz w:val="20"/>
                <w:szCs w:val="20"/>
                <w:color w:val="auto"/>
              </w:rPr>
            </w:pPr>
            <w:r>
              <w:rPr>
                <w:rFonts w:ascii="Times New Roman" w:cs="Times New Roman" w:eastAsia="Times New Roman" w:hAnsi="Times New Roman"/>
                <w:sz w:val="18"/>
                <w:szCs w:val="18"/>
                <w:color w:val="auto"/>
              </w:rPr>
              <w:t>Dividends declared common shares</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($0.19/share)</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(4,827)</w:t>
            </w:r>
          </w:p>
        </w:tc>
        <w:tc>
          <w:tcPr>
            <w:tcW w:w="0" w:type="dxa"/>
            <w:vAlign w:val="bottom"/>
          </w:tcPr>
          <w:p>
            <w:pPr>
              <w:spacing w:after="0"/>
              <w:rPr>
                <w:sz w:val="1"/>
                <w:szCs w:val="1"/>
                <w:color w:val="auto"/>
              </w:rPr>
            </w:pPr>
          </w:p>
        </w:tc>
      </w:tr>
      <w:tr>
        <w:trPr>
          <w:trHeight w:val="172"/>
        </w:trPr>
        <w:tc>
          <w:tcPr>
            <w:tcW w:w="3200" w:type="dxa"/>
            <w:vAlign w:val="bottom"/>
            <w:shd w:val="clear" w:color="auto" w:fill="CCEEFF"/>
          </w:tcPr>
          <w:p>
            <w:pPr>
              <w:ind w:left="240"/>
              <w:spacing w:after="0" w:line="172" w:lineRule="exact"/>
              <w:rPr>
                <w:sz w:val="20"/>
                <w:szCs w:val="20"/>
                <w:color w:val="auto"/>
              </w:rPr>
            </w:pPr>
            <w:r>
              <w:rPr>
                <w:rFonts w:ascii="Times New Roman" w:cs="Times New Roman" w:eastAsia="Times New Roman" w:hAnsi="Times New Roman"/>
                <w:sz w:val="18"/>
                <w:szCs w:val="18"/>
                <w:color w:val="auto"/>
              </w:rPr>
              <w:t>Dividends declared preferred shares</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($20.00/share)</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25"/>
        </w:trPr>
        <w:tc>
          <w:tcPr>
            <w:tcW w:w="3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10,945</w:t>
            </w:r>
          </w:p>
        </w:tc>
        <w:tc>
          <w:tcPr>
            <w:tcW w:w="0" w:type="dxa"/>
            <w:vAlign w:val="bottom"/>
          </w:tcPr>
          <w:p>
            <w:pPr>
              <w:spacing w:after="0"/>
              <w:rPr>
                <w:sz w:val="1"/>
                <w:szCs w:val="1"/>
                <w:color w:val="auto"/>
              </w:rPr>
            </w:pPr>
          </w:p>
        </w:tc>
      </w:tr>
      <w:tr>
        <w:trPr>
          <w:trHeight w:val="225"/>
        </w:trPr>
        <w:tc>
          <w:tcPr>
            <w:tcW w:w="3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8"/>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19,738</w:t>
            </w:r>
          </w:p>
        </w:tc>
        <w:tc>
          <w:tcPr>
            <w:tcW w:w="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25,852</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38,251</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215,633</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274,002</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1"/>
        </w:trPr>
        <w:tc>
          <w:tcPr>
            <w:tcW w:w="3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F-12</w:t>
            </w: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200" w:type="dxa"/>
            <w:vAlign w:val="bottom"/>
          </w:tcPr>
          <w:p>
            <w:pPr>
              <w:spacing w:after="0"/>
              <w:rPr>
                <w:sz w:val="19"/>
                <w:szCs w:val="19"/>
                <w:color w:val="auto"/>
              </w:rPr>
            </w:pPr>
          </w:p>
        </w:tc>
        <w:tc>
          <w:tcPr>
            <w:tcW w:w="4600" w:type="dxa"/>
            <w:vAlign w:val="bottom"/>
            <w:gridSpan w:val="13"/>
          </w:tcPr>
          <w:p>
            <w:pPr>
              <w:ind w:left="240"/>
              <w:spacing w:after="0"/>
              <w:rPr>
                <w:sz w:val="20"/>
                <w:szCs w:val="20"/>
                <w:color w:val="auto"/>
              </w:rPr>
            </w:pPr>
            <w:r>
              <w:rPr>
                <w:rFonts w:ascii="Times New Roman" w:cs="Times New Roman" w:eastAsia="Times New Roman" w:hAnsi="Times New Roman"/>
                <w:sz w:val="18"/>
                <w:szCs w:val="18"/>
                <w:color w:val="auto"/>
                <w:w w:val="97"/>
              </w:rPr>
              <w:t>See accompanying notes to consolidated financial statements.</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3"/>
        </w:trPr>
        <w:tc>
          <w:tcPr>
            <w:tcW w:w="32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NEWTEKONE, INC. AND SUBSIDIARIES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 (UNAUDITED)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Per Share Data)</w:t>
      </w:r>
    </w:p>
    <w:p>
      <w:pPr>
        <w:spacing w:after="0" w:line="250"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8"/>
          <w:szCs w:val="18"/>
          <w:b w:val="1"/>
          <w:bCs w:val="1"/>
          <w:color w:val="auto"/>
        </w:rPr>
        <w:t>Accumulated</w:t>
      </w:r>
    </w:p>
    <w:p>
      <w:pPr>
        <w:jc w:val="center"/>
        <w:ind w:left="7620"/>
        <w:spacing w:after="0" w:line="214" w:lineRule="auto"/>
        <w:rPr>
          <w:sz w:val="20"/>
          <w:szCs w:val="20"/>
          <w:color w:val="auto"/>
        </w:rPr>
      </w:pPr>
      <w:r>
        <w:rPr>
          <w:rFonts w:ascii="Times New Roman" w:cs="Times New Roman" w:eastAsia="Times New Roman" w:hAnsi="Times New Roman"/>
          <w:sz w:val="18"/>
          <w:szCs w:val="18"/>
          <w:b w:val="1"/>
          <w:bCs w:val="1"/>
          <w:color w:val="auto"/>
        </w:rPr>
        <w:t>other</w:t>
      </w: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Additional</w:t>
            </w:r>
          </w:p>
        </w:tc>
        <w:tc>
          <w:tcPr>
            <w:tcW w:w="1240" w:type="dxa"/>
            <w:vAlign w:val="bottom"/>
            <w:gridSpan w:val="3"/>
          </w:tcPr>
          <w:p>
            <w:pPr>
              <w:jc w:val="center"/>
              <w:ind w:right="80"/>
              <w:spacing w:after="0" w:line="157" w:lineRule="exact"/>
              <w:rPr>
                <w:sz w:val="20"/>
                <w:szCs w:val="20"/>
                <w:color w:val="auto"/>
              </w:rPr>
            </w:pPr>
            <w:r>
              <w:rPr>
                <w:rFonts w:ascii="Times New Roman" w:cs="Times New Roman" w:eastAsia="Times New Roman" w:hAnsi="Times New Roman"/>
                <w:sz w:val="18"/>
                <w:szCs w:val="18"/>
                <w:b w:val="1"/>
                <w:bCs w:val="1"/>
                <w:color w:val="auto"/>
                <w:w w:val="97"/>
              </w:rPr>
              <w:t>comprehensive</w:t>
            </w:r>
          </w:p>
        </w:tc>
        <w:tc>
          <w:tcPr>
            <w:tcW w:w="220" w:type="dxa"/>
            <w:vAlign w:val="bottom"/>
          </w:tcPr>
          <w:p>
            <w:pPr>
              <w:spacing w:after="0"/>
              <w:rPr>
                <w:sz w:val="13"/>
                <w:szCs w:val="13"/>
                <w:color w:val="auto"/>
              </w:rPr>
            </w:pPr>
          </w:p>
        </w:tc>
        <w:tc>
          <w:tcPr>
            <w:tcW w:w="920" w:type="dxa"/>
            <w:vAlign w:val="bottom"/>
            <w:vMerge w:val="restart"/>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700" w:type="dxa"/>
            <w:vAlign w:val="bottom"/>
            <w:gridSpan w:val="4"/>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80" w:type="dxa"/>
            <w:vAlign w:val="bottom"/>
            <w:vMerge w:val="restart"/>
          </w:tcPr>
          <w:p>
            <w:pPr>
              <w:spacing w:after="0"/>
              <w:rPr>
                <w:sz w:val="14"/>
                <w:szCs w:val="14"/>
                <w:color w:val="auto"/>
              </w:rPr>
            </w:pPr>
          </w:p>
        </w:tc>
        <w:tc>
          <w:tcPr>
            <w:tcW w:w="1700" w:type="dxa"/>
            <w:vAlign w:val="bottom"/>
            <w:gridSpan w:val="4"/>
            <w:vMerge w:val="restart"/>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1240" w:type="dxa"/>
            <w:vAlign w:val="bottom"/>
            <w:gridSpan w:val="3"/>
          </w:tcPr>
          <w:p>
            <w:pPr>
              <w:jc w:val="center"/>
              <w:ind w:right="100"/>
              <w:spacing w:after="0" w:line="172" w:lineRule="exact"/>
              <w:rPr>
                <w:sz w:val="20"/>
                <w:szCs w:val="20"/>
                <w:color w:val="auto"/>
              </w:rPr>
            </w:pPr>
            <w:r>
              <w:rPr>
                <w:rFonts w:ascii="Times New Roman" w:cs="Times New Roman" w:eastAsia="Times New Roman" w:hAnsi="Times New Roman"/>
                <w:sz w:val="18"/>
                <w:szCs w:val="18"/>
                <w:b w:val="1"/>
                <w:bCs w:val="1"/>
                <w:color w:val="auto"/>
                <w:w w:val="98"/>
              </w:rPr>
              <w:t>income (loss),</w:t>
            </w: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700" w:type="dxa"/>
            <w:vAlign w:val="bottom"/>
            <w:tcBorders>
              <w:bottom w:val="single" w:sz="8" w:color="auto"/>
            </w:tcBorders>
            <w:gridSpan w:val="4"/>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700" w:type="dxa"/>
            <w:vAlign w:val="bottom"/>
            <w:tcBorders>
              <w:bottom w:val="single" w:sz="8" w:color="auto"/>
            </w:tcBorders>
            <w:gridSpan w:val="4"/>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ind w:left="20"/>
              <w:spacing w:after="0" w:line="152" w:lineRule="exact"/>
              <w:rPr>
                <w:sz w:val="20"/>
                <w:szCs w:val="20"/>
                <w:color w:val="auto"/>
              </w:rPr>
            </w:pPr>
            <w:r>
              <w:rPr>
                <w:rFonts w:ascii="Times New Roman" w:cs="Times New Roman" w:eastAsia="Times New Roman" w:hAnsi="Times New Roman"/>
                <w:sz w:val="17"/>
                <w:szCs w:val="17"/>
                <w:b w:val="1"/>
                <w:bCs w:val="1"/>
                <w:color w:val="auto"/>
              </w:rPr>
              <w:t>Retained</w:t>
            </w:r>
          </w:p>
        </w:tc>
        <w:tc>
          <w:tcPr>
            <w:tcW w:w="160" w:type="dxa"/>
            <w:vAlign w:val="bottom"/>
          </w:tcPr>
          <w:p>
            <w:pPr>
              <w:spacing w:after="0"/>
              <w:rPr>
                <w:sz w:val="13"/>
                <w:szCs w:val="13"/>
                <w:color w:val="auto"/>
              </w:rPr>
            </w:pPr>
          </w:p>
        </w:tc>
        <w:tc>
          <w:tcPr>
            <w:tcW w:w="900" w:type="dxa"/>
            <w:vAlign w:val="bottom"/>
            <w:gridSpan w:val="2"/>
          </w:tcPr>
          <w:p>
            <w:pPr>
              <w:jc w:val="center"/>
              <w:ind w:right="240"/>
              <w:spacing w:after="0" w:line="152" w:lineRule="exact"/>
              <w:rPr>
                <w:sz w:val="20"/>
                <w:szCs w:val="20"/>
                <w:color w:val="auto"/>
              </w:rPr>
            </w:pPr>
            <w:r>
              <w:rPr>
                <w:rFonts w:ascii="Times New Roman" w:cs="Times New Roman" w:eastAsia="Times New Roman" w:hAnsi="Times New Roman"/>
                <w:sz w:val="17"/>
                <w:szCs w:val="17"/>
                <w:b w:val="1"/>
                <w:bCs w:val="1"/>
                <w:color w:val="auto"/>
              </w:rPr>
              <w:t>paid-in</w:t>
            </w:r>
          </w:p>
        </w:tc>
        <w:tc>
          <w:tcPr>
            <w:tcW w:w="1240" w:type="dxa"/>
            <w:vAlign w:val="bottom"/>
            <w:gridSpan w:val="3"/>
          </w:tcPr>
          <w:p>
            <w:pPr>
              <w:jc w:val="center"/>
              <w:ind w:right="80"/>
              <w:spacing w:after="0" w:line="152" w:lineRule="exact"/>
              <w:rPr>
                <w:sz w:val="20"/>
                <w:szCs w:val="20"/>
                <w:color w:val="auto"/>
              </w:rPr>
            </w:pPr>
            <w:r>
              <w:rPr>
                <w:rFonts w:ascii="Times New Roman" w:cs="Times New Roman" w:eastAsia="Times New Roman" w:hAnsi="Times New Roman"/>
                <w:sz w:val="17"/>
                <w:szCs w:val="17"/>
                <w:b w:val="1"/>
                <w:bCs w:val="1"/>
                <w:color w:val="auto"/>
              </w:rPr>
              <w:t>net of income</w:t>
            </w:r>
          </w:p>
        </w:tc>
        <w:tc>
          <w:tcPr>
            <w:tcW w:w="114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7"/>
                <w:szCs w:val="17"/>
                <w:b w:val="1"/>
                <w:bCs w:val="1"/>
                <w:color w:val="auto"/>
              </w:rPr>
              <w:t>shareholders'</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60" w:type="dxa"/>
            <w:vAlign w:val="bottom"/>
          </w:tcPr>
          <w:p>
            <w:pPr>
              <w:spacing w:after="0"/>
              <w:rPr>
                <w:sz w:val="20"/>
                <w:szCs w:val="20"/>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capital</w:t>
            </w:r>
          </w:p>
        </w:tc>
        <w:tc>
          <w:tcPr>
            <w:tcW w:w="240" w:type="dxa"/>
            <w:vAlign w:val="bottom"/>
          </w:tcPr>
          <w:p>
            <w:pPr>
              <w:spacing w:after="0"/>
              <w:rPr>
                <w:sz w:val="20"/>
                <w:szCs w:val="20"/>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taxes</w:t>
            </w:r>
          </w:p>
        </w:tc>
        <w:tc>
          <w:tcPr>
            <w:tcW w:w="220" w:type="dxa"/>
            <w:vAlign w:val="bottom"/>
          </w:tcPr>
          <w:p>
            <w:pPr>
              <w:spacing w:after="0"/>
              <w:rPr>
                <w:sz w:val="20"/>
                <w:szCs w:val="20"/>
                <w:color w:val="auto"/>
              </w:rPr>
            </w:pPr>
          </w:p>
        </w:tc>
        <w:tc>
          <w:tcPr>
            <w:tcW w:w="920" w:type="dxa"/>
            <w:vAlign w:val="bottom"/>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5"/>
              </w:rPr>
              <w:t>equity</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19,738</w:t>
            </w: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26,291</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57,773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218,266</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296,282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80" w:type="dxa"/>
            <w:vAlign w:val="bottom"/>
          </w:tcPr>
          <w:p>
            <w:pPr>
              <w:ind w:left="220"/>
              <w:spacing w:after="0" w:line="172" w:lineRule="exact"/>
              <w:rPr>
                <w:sz w:val="20"/>
                <w:szCs w:val="20"/>
                <w:color w:val="auto"/>
              </w:rPr>
            </w:pPr>
            <w:r>
              <w:rPr>
                <w:rFonts w:ascii="Times New Roman" w:cs="Times New Roman" w:eastAsia="Times New Roman" w:hAnsi="Times New Roman"/>
                <w:sz w:val="18"/>
                <w:szCs w:val="18"/>
                <w:color w:val="auto"/>
              </w:rPr>
              <w:t>Stock-based compensation expense, net</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 forfeitures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80" w:type="dxa"/>
            <w:vAlign w:val="bottom"/>
            <w:shd w:val="clear" w:color="auto" w:fill="CCEEFF"/>
          </w:tcPr>
          <w:p>
            <w:pPr>
              <w:ind w:left="220"/>
              <w:spacing w:after="0" w:line="172" w:lineRule="exact"/>
              <w:rPr>
                <w:sz w:val="20"/>
                <w:szCs w:val="20"/>
                <w:color w:val="auto"/>
              </w:rPr>
            </w:pPr>
            <w:r>
              <w:rPr>
                <w:rFonts w:ascii="Times New Roman" w:cs="Times New Roman" w:eastAsia="Times New Roman" w:hAnsi="Times New Roman"/>
                <w:sz w:val="18"/>
                <w:szCs w:val="18"/>
                <w:color w:val="auto"/>
              </w:rPr>
              <w:t>Dividends declared related to RSA, net</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of accrued dividends forfeited</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80" w:type="dxa"/>
            <w:vAlign w:val="bottom"/>
          </w:tcPr>
          <w:p>
            <w:pPr>
              <w:ind w:left="220"/>
              <w:spacing w:after="0" w:line="172" w:lineRule="exact"/>
              <w:rPr>
                <w:sz w:val="20"/>
                <w:szCs w:val="20"/>
                <w:color w:val="auto"/>
              </w:rPr>
            </w:pPr>
            <w:r>
              <w:rPr>
                <w:rFonts w:ascii="Times New Roman" w:cs="Times New Roman" w:eastAsia="Times New Roman" w:hAnsi="Times New Roman"/>
                <w:sz w:val="18"/>
                <w:szCs w:val="18"/>
                <w:color w:val="auto"/>
              </w:rPr>
              <w:t>Purchase of vested stock for employee</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payroll tax withholding</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80" w:type="dxa"/>
            <w:vAlign w:val="bottom"/>
            <w:shd w:val="clear" w:color="auto" w:fill="CCEEFF"/>
          </w:tcPr>
          <w:p>
            <w:pPr>
              <w:ind w:left="220"/>
              <w:spacing w:after="0" w:line="172" w:lineRule="exact"/>
              <w:rPr>
                <w:sz w:val="20"/>
                <w:szCs w:val="20"/>
                <w:color w:val="auto"/>
              </w:rPr>
            </w:pPr>
            <w:r>
              <w:rPr>
                <w:rFonts w:ascii="Times New Roman" w:cs="Times New Roman" w:eastAsia="Times New Roman" w:hAnsi="Times New Roman"/>
                <w:sz w:val="18"/>
                <w:szCs w:val="18"/>
                <w:color w:val="auto"/>
              </w:rPr>
              <w:t>Restricted stock awards, net of</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forfeitures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Retirement of common shares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ESPP issuances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80" w:type="dxa"/>
            <w:vAlign w:val="bottom"/>
          </w:tcPr>
          <w:p>
            <w:pPr>
              <w:ind w:left="220"/>
              <w:spacing w:after="0" w:line="172" w:lineRule="exact"/>
              <w:rPr>
                <w:sz w:val="20"/>
                <w:szCs w:val="20"/>
                <w:color w:val="auto"/>
              </w:rPr>
            </w:pPr>
            <w:r>
              <w:rPr>
                <w:rFonts w:ascii="Times New Roman" w:cs="Times New Roman" w:eastAsia="Times New Roman" w:hAnsi="Times New Roman"/>
                <w:sz w:val="18"/>
                <w:szCs w:val="18"/>
                <w:color w:val="auto"/>
              </w:rPr>
              <w:t>Dividends declared common shares</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($0.38/share)</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80" w:type="dxa"/>
            <w:vAlign w:val="bottom"/>
            <w:shd w:val="clear" w:color="auto" w:fill="CCEEFF"/>
          </w:tcPr>
          <w:p>
            <w:pPr>
              <w:ind w:left="220"/>
              <w:spacing w:after="0" w:line="172" w:lineRule="exact"/>
              <w:rPr>
                <w:sz w:val="20"/>
                <w:szCs w:val="20"/>
                <w:color w:val="auto"/>
              </w:rPr>
            </w:pPr>
            <w:r>
              <w:rPr>
                <w:rFonts w:ascii="Times New Roman" w:cs="Times New Roman" w:eastAsia="Times New Roman" w:hAnsi="Times New Roman"/>
                <w:sz w:val="18"/>
                <w:szCs w:val="18"/>
                <w:color w:val="auto"/>
              </w:rPr>
              <w:t>Dividends declared preferred shares</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($40.00/share)</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19,738</w:t>
            </w:r>
          </w:p>
        </w:tc>
        <w:tc>
          <w:tcPr>
            <w:tcW w:w="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26,317</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69,995</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221,914</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312,180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9"/>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F-13</w:t>
            </w: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600" w:type="dxa"/>
            <w:vAlign w:val="bottom"/>
            <w:gridSpan w:val="13"/>
          </w:tcPr>
          <w:p>
            <w:pPr>
              <w:ind w:left="240"/>
              <w:spacing w:after="0"/>
              <w:rPr>
                <w:sz w:val="20"/>
                <w:szCs w:val="20"/>
                <w:color w:val="auto"/>
              </w:rPr>
            </w:pPr>
            <w:r>
              <w:rPr>
                <w:rFonts w:ascii="Times New Roman" w:cs="Times New Roman" w:eastAsia="Times New Roman" w:hAnsi="Times New Roman"/>
                <w:sz w:val="18"/>
                <w:szCs w:val="18"/>
                <w:color w:val="auto"/>
                <w:w w:val="97"/>
              </w:rPr>
              <w:t>See accompanying notes to consolidated financial statements.</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3"/>
        </w:trPr>
        <w:tc>
          <w:tcPr>
            <w:tcW w:w="20" w:type="dxa"/>
            <w:vAlign w:val="bottom"/>
            <w:tcBorders>
              <w:bottom w:val="single" w:sz="8" w:color="9A9A9A"/>
            </w:tcBorders>
          </w:tcPr>
          <w:p>
            <w:pPr>
              <w:spacing w:after="0"/>
              <w:rPr>
                <w:sz w:val="9"/>
                <w:szCs w:val="9"/>
                <w:color w:val="auto"/>
              </w:rPr>
            </w:pPr>
          </w:p>
        </w:tc>
        <w:tc>
          <w:tcPr>
            <w:tcW w:w="31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NEWTEKONE, INC. AND SUBSIDIARIES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 (UNAUDITED)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Per Share Data)</w:t>
      </w:r>
    </w:p>
    <w:p>
      <w:pPr>
        <w:spacing w:after="0" w:line="263"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8"/>
          <w:szCs w:val="18"/>
          <w:b w:val="1"/>
          <w:bCs w:val="1"/>
          <w:color w:val="auto"/>
        </w:rPr>
        <w:t>Accumulated</w:t>
      </w:r>
    </w:p>
    <w:p>
      <w:pPr>
        <w:jc w:val="center"/>
        <w:ind w:left="7620"/>
        <w:spacing w:after="0" w:line="214" w:lineRule="auto"/>
        <w:rPr>
          <w:sz w:val="20"/>
          <w:szCs w:val="20"/>
          <w:color w:val="auto"/>
        </w:rPr>
      </w:pPr>
      <w:r>
        <w:rPr>
          <w:rFonts w:ascii="Times New Roman" w:cs="Times New Roman" w:eastAsia="Times New Roman" w:hAnsi="Times New Roman"/>
          <w:sz w:val="18"/>
          <w:szCs w:val="18"/>
          <w:b w:val="1"/>
          <w:bCs w:val="1"/>
          <w:color w:val="auto"/>
        </w:rPr>
        <w:t>other</w:t>
      </w:r>
    </w:p>
    <w:tbl>
      <w:tblPr>
        <w:tblLayout w:type="fixed"/>
        <w:tblInd w:w="0" w:type="dxa"/>
        <w:tblCellMar>
          <w:top w:w="0" w:type="dxa"/>
          <w:left w:w="0" w:type="dxa"/>
          <w:bottom w:w="0" w:type="dxa"/>
          <w:right w:w="0" w:type="dxa"/>
        </w:tblCellMar>
      </w:tblPr>
      <w:tr>
        <w:trPr>
          <w:trHeight w:val="158"/>
        </w:trPr>
        <w:tc>
          <w:tcPr>
            <w:tcW w:w="3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Additional</w:t>
            </w:r>
          </w:p>
        </w:tc>
        <w:tc>
          <w:tcPr>
            <w:tcW w:w="1240" w:type="dxa"/>
            <w:vAlign w:val="bottom"/>
            <w:gridSpan w:val="3"/>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220" w:type="dxa"/>
            <w:vAlign w:val="bottom"/>
          </w:tcPr>
          <w:p>
            <w:pPr>
              <w:spacing w:after="0"/>
              <w:rPr>
                <w:sz w:val="13"/>
                <w:szCs w:val="13"/>
                <w:color w:val="auto"/>
              </w:rPr>
            </w:pPr>
          </w:p>
        </w:tc>
        <w:tc>
          <w:tcPr>
            <w:tcW w:w="920" w:type="dxa"/>
            <w:vAlign w:val="bottom"/>
            <w:vMerge w:val="restart"/>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72"/>
        </w:trPr>
        <w:tc>
          <w:tcPr>
            <w:tcW w:w="3200" w:type="dxa"/>
            <w:vAlign w:val="bottom"/>
          </w:tcPr>
          <w:p>
            <w:pPr>
              <w:spacing w:after="0"/>
              <w:rPr>
                <w:sz w:val="14"/>
                <w:szCs w:val="14"/>
                <w:color w:val="auto"/>
              </w:rPr>
            </w:pPr>
          </w:p>
        </w:tc>
        <w:tc>
          <w:tcPr>
            <w:tcW w:w="1700" w:type="dxa"/>
            <w:vAlign w:val="bottom"/>
            <w:gridSpan w:val="4"/>
            <w:vMerge w:val="restart"/>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80" w:type="dxa"/>
            <w:vAlign w:val="bottom"/>
            <w:vMerge w:val="restart"/>
          </w:tcPr>
          <w:p>
            <w:pPr>
              <w:spacing w:after="0"/>
              <w:rPr>
                <w:sz w:val="14"/>
                <w:szCs w:val="14"/>
                <w:color w:val="auto"/>
              </w:rPr>
            </w:pPr>
          </w:p>
        </w:tc>
        <w:tc>
          <w:tcPr>
            <w:tcW w:w="1700" w:type="dxa"/>
            <w:vAlign w:val="bottom"/>
            <w:gridSpan w:val="4"/>
            <w:vMerge w:val="restart"/>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1240" w:type="dxa"/>
            <w:vAlign w:val="bottom"/>
            <w:gridSpan w:val="3"/>
          </w:tcPr>
          <w:p>
            <w:pPr>
              <w:jc w:val="right"/>
              <w:ind w:right="140"/>
              <w:spacing w:after="0" w:line="172" w:lineRule="exact"/>
              <w:rPr>
                <w:sz w:val="20"/>
                <w:szCs w:val="20"/>
                <w:color w:val="auto"/>
              </w:rPr>
            </w:pPr>
            <w:r>
              <w:rPr>
                <w:rFonts w:ascii="Times New Roman" w:cs="Times New Roman" w:eastAsia="Times New Roman" w:hAnsi="Times New Roman"/>
                <w:sz w:val="18"/>
                <w:szCs w:val="18"/>
                <w:b w:val="1"/>
                <w:bCs w:val="1"/>
                <w:color w:val="auto"/>
              </w:rPr>
              <w:t>income (loss),</w:t>
            </w: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200" w:type="dxa"/>
            <w:vAlign w:val="bottom"/>
          </w:tcPr>
          <w:p>
            <w:pPr>
              <w:spacing w:after="0"/>
              <w:rPr>
                <w:sz w:val="13"/>
                <w:szCs w:val="13"/>
                <w:color w:val="auto"/>
              </w:rPr>
            </w:pPr>
          </w:p>
        </w:tc>
        <w:tc>
          <w:tcPr>
            <w:tcW w:w="1700" w:type="dxa"/>
            <w:vAlign w:val="bottom"/>
            <w:tcBorders>
              <w:bottom w:val="single" w:sz="8" w:color="auto"/>
            </w:tcBorders>
            <w:gridSpan w:val="4"/>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700" w:type="dxa"/>
            <w:vAlign w:val="bottom"/>
            <w:tcBorders>
              <w:bottom w:val="single" w:sz="8" w:color="auto"/>
            </w:tcBorders>
            <w:gridSpan w:val="4"/>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ind w:left="20"/>
              <w:spacing w:after="0" w:line="152" w:lineRule="exact"/>
              <w:rPr>
                <w:sz w:val="20"/>
                <w:szCs w:val="20"/>
                <w:color w:val="auto"/>
              </w:rPr>
            </w:pPr>
            <w:r>
              <w:rPr>
                <w:rFonts w:ascii="Times New Roman" w:cs="Times New Roman" w:eastAsia="Times New Roman" w:hAnsi="Times New Roman"/>
                <w:sz w:val="17"/>
                <w:szCs w:val="17"/>
                <w:b w:val="1"/>
                <w:bCs w:val="1"/>
                <w:color w:val="auto"/>
              </w:rPr>
              <w:t>Retained</w:t>
            </w:r>
          </w:p>
        </w:tc>
        <w:tc>
          <w:tcPr>
            <w:tcW w:w="160" w:type="dxa"/>
            <w:vAlign w:val="bottom"/>
          </w:tcPr>
          <w:p>
            <w:pPr>
              <w:spacing w:after="0"/>
              <w:rPr>
                <w:sz w:val="13"/>
                <w:szCs w:val="13"/>
                <w:color w:val="auto"/>
              </w:rPr>
            </w:pPr>
          </w:p>
        </w:tc>
        <w:tc>
          <w:tcPr>
            <w:tcW w:w="900" w:type="dxa"/>
            <w:vAlign w:val="bottom"/>
            <w:gridSpan w:val="2"/>
          </w:tcPr>
          <w:p>
            <w:pPr>
              <w:jc w:val="center"/>
              <w:ind w:right="240"/>
              <w:spacing w:after="0" w:line="152" w:lineRule="exact"/>
              <w:rPr>
                <w:sz w:val="20"/>
                <w:szCs w:val="20"/>
                <w:color w:val="auto"/>
              </w:rPr>
            </w:pPr>
            <w:r>
              <w:rPr>
                <w:rFonts w:ascii="Times New Roman" w:cs="Times New Roman" w:eastAsia="Times New Roman" w:hAnsi="Times New Roman"/>
                <w:sz w:val="17"/>
                <w:szCs w:val="17"/>
                <w:b w:val="1"/>
                <w:bCs w:val="1"/>
                <w:color w:val="auto"/>
              </w:rPr>
              <w:t>paid-in</w:t>
            </w:r>
          </w:p>
        </w:tc>
        <w:tc>
          <w:tcPr>
            <w:tcW w:w="1240" w:type="dxa"/>
            <w:vAlign w:val="bottom"/>
            <w:gridSpan w:val="3"/>
          </w:tcPr>
          <w:p>
            <w:pPr>
              <w:jc w:val="right"/>
              <w:ind w:right="160"/>
              <w:spacing w:after="0" w:line="152" w:lineRule="exact"/>
              <w:rPr>
                <w:sz w:val="20"/>
                <w:szCs w:val="20"/>
                <w:color w:val="auto"/>
              </w:rPr>
            </w:pPr>
            <w:r>
              <w:rPr>
                <w:rFonts w:ascii="Times New Roman" w:cs="Times New Roman" w:eastAsia="Times New Roman" w:hAnsi="Times New Roman"/>
                <w:sz w:val="17"/>
                <w:szCs w:val="17"/>
                <w:b w:val="1"/>
                <w:bCs w:val="1"/>
                <w:color w:val="auto"/>
              </w:rPr>
              <w:t>net of income</w:t>
            </w:r>
          </w:p>
        </w:tc>
        <w:tc>
          <w:tcPr>
            <w:tcW w:w="114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7"/>
                <w:szCs w:val="17"/>
                <w:b w:val="1"/>
                <w:bCs w:val="1"/>
                <w:color w:val="auto"/>
              </w:rPr>
              <w:t>shareholders'</w:t>
            </w:r>
          </w:p>
        </w:tc>
        <w:tc>
          <w:tcPr>
            <w:tcW w:w="0" w:type="dxa"/>
            <w:vAlign w:val="bottom"/>
          </w:tcPr>
          <w:p>
            <w:pPr>
              <w:spacing w:after="0"/>
              <w:rPr>
                <w:sz w:val="1"/>
                <w:szCs w:val="1"/>
                <w:color w:val="auto"/>
              </w:rPr>
            </w:pPr>
          </w:p>
        </w:tc>
      </w:tr>
      <w:tr>
        <w:trPr>
          <w:trHeight w:val="231"/>
        </w:trPr>
        <w:tc>
          <w:tcPr>
            <w:tcW w:w="3200" w:type="dxa"/>
            <w:vAlign w:val="bottom"/>
          </w:tcPr>
          <w:p>
            <w:pPr>
              <w:spacing w:after="0"/>
              <w:rPr>
                <w:sz w:val="20"/>
                <w:szCs w:val="20"/>
                <w:color w:val="auto"/>
              </w:rPr>
            </w:pP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60" w:type="dxa"/>
            <w:vAlign w:val="bottom"/>
          </w:tcPr>
          <w:p>
            <w:pPr>
              <w:spacing w:after="0"/>
              <w:rPr>
                <w:sz w:val="20"/>
                <w:szCs w:val="20"/>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capital</w:t>
            </w:r>
          </w:p>
        </w:tc>
        <w:tc>
          <w:tcPr>
            <w:tcW w:w="26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taxes</w:t>
            </w:r>
          </w:p>
        </w:tc>
        <w:tc>
          <w:tcPr>
            <w:tcW w:w="220" w:type="dxa"/>
            <w:vAlign w:val="bottom"/>
          </w:tcPr>
          <w:p>
            <w:pPr>
              <w:spacing w:after="0"/>
              <w:rPr>
                <w:sz w:val="20"/>
                <w:szCs w:val="20"/>
                <w:color w:val="auto"/>
              </w:rPr>
            </w:pPr>
          </w:p>
        </w:tc>
        <w:tc>
          <w:tcPr>
            <w:tcW w:w="920" w:type="dxa"/>
            <w:vAlign w:val="bottom"/>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5"/>
              </w:rPr>
              <w:t>equity</w:t>
            </w:r>
          </w:p>
        </w:tc>
        <w:tc>
          <w:tcPr>
            <w:tcW w:w="0" w:type="dxa"/>
            <w:vAlign w:val="bottom"/>
          </w:tcPr>
          <w:p>
            <w:pPr>
              <w:spacing w:after="0"/>
              <w:rPr>
                <w:sz w:val="1"/>
                <w:szCs w:val="1"/>
                <w:color w:val="auto"/>
              </w:rPr>
            </w:pPr>
          </w:p>
        </w:tc>
      </w:tr>
      <w:tr>
        <w:trPr>
          <w:trHeight w:val="218"/>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19,738</w:t>
            </w: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24,680</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200,913</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249,046</w:t>
            </w:r>
          </w:p>
        </w:tc>
        <w:tc>
          <w:tcPr>
            <w:tcW w:w="0" w:type="dxa"/>
            <w:vAlign w:val="bottom"/>
          </w:tcPr>
          <w:p>
            <w:pPr>
              <w:spacing w:after="0"/>
              <w:rPr>
                <w:sz w:val="1"/>
                <w:szCs w:val="1"/>
                <w:color w:val="auto"/>
              </w:rPr>
            </w:pPr>
          </w:p>
        </w:tc>
      </w:tr>
      <w:tr>
        <w:trPr>
          <w:trHeight w:val="172"/>
        </w:trPr>
        <w:tc>
          <w:tcPr>
            <w:tcW w:w="3200" w:type="dxa"/>
            <w:vAlign w:val="bottom"/>
          </w:tcPr>
          <w:p>
            <w:pPr>
              <w:ind w:left="240"/>
              <w:spacing w:after="0" w:line="172" w:lineRule="exact"/>
              <w:rPr>
                <w:sz w:val="20"/>
                <w:szCs w:val="20"/>
                <w:color w:val="auto"/>
              </w:rPr>
            </w:pPr>
            <w:r>
              <w:rPr>
                <w:rFonts w:ascii="Times New Roman" w:cs="Times New Roman" w:eastAsia="Times New Roman" w:hAnsi="Times New Roman"/>
                <w:sz w:val="18"/>
                <w:szCs w:val="18"/>
                <w:color w:val="auto"/>
              </w:rPr>
              <w:t>Stock-based compensation expense, net</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 forfeitures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0" w:type="dxa"/>
            <w:vAlign w:val="bottom"/>
          </w:tcPr>
          <w:p>
            <w:pPr>
              <w:spacing w:after="0"/>
              <w:rPr>
                <w:sz w:val="1"/>
                <w:szCs w:val="1"/>
                <w:color w:val="auto"/>
              </w:rPr>
            </w:pPr>
          </w:p>
        </w:tc>
      </w:tr>
      <w:tr>
        <w:trPr>
          <w:trHeight w:val="172"/>
        </w:trPr>
        <w:tc>
          <w:tcPr>
            <w:tcW w:w="3200" w:type="dxa"/>
            <w:vAlign w:val="bottom"/>
            <w:shd w:val="clear" w:color="auto" w:fill="CCEEFF"/>
          </w:tcPr>
          <w:p>
            <w:pPr>
              <w:ind w:left="240"/>
              <w:spacing w:after="0" w:line="172" w:lineRule="exact"/>
              <w:rPr>
                <w:sz w:val="20"/>
                <w:szCs w:val="20"/>
                <w:color w:val="auto"/>
              </w:rPr>
            </w:pPr>
            <w:r>
              <w:rPr>
                <w:rFonts w:ascii="Times New Roman" w:cs="Times New Roman" w:eastAsia="Times New Roman" w:hAnsi="Times New Roman"/>
                <w:sz w:val="18"/>
                <w:szCs w:val="18"/>
                <w:color w:val="auto"/>
                <w:w w:val="97"/>
              </w:rPr>
              <w:t>Dividends declared related to RSA, net of</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dividends forfeited</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3200" w:type="dxa"/>
            <w:vAlign w:val="bottom"/>
          </w:tcPr>
          <w:p>
            <w:pPr>
              <w:ind w:left="240"/>
              <w:spacing w:after="0" w:line="172" w:lineRule="exact"/>
              <w:rPr>
                <w:sz w:val="20"/>
                <w:szCs w:val="20"/>
                <w:color w:val="auto"/>
              </w:rPr>
            </w:pPr>
            <w:r>
              <w:rPr>
                <w:rFonts w:ascii="Times New Roman" w:cs="Times New Roman" w:eastAsia="Times New Roman" w:hAnsi="Times New Roman"/>
                <w:sz w:val="18"/>
                <w:szCs w:val="18"/>
                <w:color w:val="auto"/>
              </w:rPr>
              <w:t>Purchase of vested stock for employee</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payroll tax withholding</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left="372"/>
              <w:spacing w:after="0"/>
              <w:rPr>
                <w:sz w:val="20"/>
                <w:szCs w:val="20"/>
                <w:color w:val="auto"/>
              </w:rPr>
            </w:pPr>
            <w:r>
              <w:rPr>
                <w:rFonts w:ascii="Times New Roman" w:cs="Times New Roman" w:eastAsia="Times New Roman" w:hAnsi="Times New Roman"/>
                <w:sz w:val="18"/>
                <w:szCs w:val="18"/>
                <w:color w:val="auto"/>
                <w:w w:val="99"/>
              </w:rPr>
              <w:t>(21)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25"/>
        </w:trPr>
        <w:tc>
          <w:tcPr>
            <w:tcW w:w="3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7"/>
              </w:rPr>
              <w:t>Restricted stock awards, net of forfeitures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5"/>
        </w:trPr>
        <w:tc>
          <w:tcPr>
            <w:tcW w:w="3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ESPP issuances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25"/>
        </w:trPr>
        <w:tc>
          <w:tcPr>
            <w:tcW w:w="3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offering costs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172"/>
        </w:trPr>
        <w:tc>
          <w:tcPr>
            <w:tcW w:w="3200" w:type="dxa"/>
            <w:vAlign w:val="bottom"/>
          </w:tcPr>
          <w:p>
            <w:pPr>
              <w:ind w:left="240"/>
              <w:spacing w:after="0" w:line="172" w:lineRule="exact"/>
              <w:rPr>
                <w:sz w:val="20"/>
                <w:szCs w:val="20"/>
                <w:color w:val="auto"/>
              </w:rPr>
            </w:pPr>
            <w:r>
              <w:rPr>
                <w:rFonts w:ascii="Times New Roman" w:cs="Times New Roman" w:eastAsia="Times New Roman" w:hAnsi="Times New Roman"/>
                <w:sz w:val="18"/>
                <w:szCs w:val="18"/>
                <w:color w:val="auto"/>
              </w:rPr>
              <w:t>Issuance of common stock, net of</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offering costs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13,818</w:t>
            </w:r>
          </w:p>
        </w:tc>
        <w:tc>
          <w:tcPr>
            <w:tcW w:w="0" w:type="dxa"/>
            <w:vAlign w:val="bottom"/>
          </w:tcPr>
          <w:p>
            <w:pPr>
              <w:spacing w:after="0"/>
              <w:rPr>
                <w:sz w:val="1"/>
                <w:szCs w:val="1"/>
                <w:color w:val="auto"/>
              </w:rPr>
            </w:pPr>
          </w:p>
        </w:tc>
      </w:tr>
      <w:tr>
        <w:trPr>
          <w:trHeight w:val="172"/>
        </w:trPr>
        <w:tc>
          <w:tcPr>
            <w:tcW w:w="3200" w:type="dxa"/>
            <w:vAlign w:val="bottom"/>
            <w:shd w:val="clear" w:color="auto" w:fill="CCEEFF"/>
          </w:tcPr>
          <w:p>
            <w:pPr>
              <w:ind w:left="240"/>
              <w:spacing w:after="0" w:line="172" w:lineRule="exact"/>
              <w:rPr>
                <w:sz w:val="20"/>
                <w:szCs w:val="20"/>
                <w:color w:val="auto"/>
              </w:rPr>
            </w:pPr>
            <w:r>
              <w:rPr>
                <w:rFonts w:ascii="Times New Roman" w:cs="Times New Roman" w:eastAsia="Times New Roman" w:hAnsi="Times New Roman"/>
                <w:sz w:val="18"/>
                <w:szCs w:val="18"/>
                <w:color w:val="auto"/>
              </w:rPr>
              <w:t>Dividends declared common shares</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($0.38/share)</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(9,444)</w:t>
            </w:r>
          </w:p>
        </w:tc>
        <w:tc>
          <w:tcPr>
            <w:tcW w:w="0" w:type="dxa"/>
            <w:vAlign w:val="bottom"/>
          </w:tcPr>
          <w:p>
            <w:pPr>
              <w:spacing w:after="0"/>
              <w:rPr>
                <w:sz w:val="1"/>
                <w:szCs w:val="1"/>
                <w:color w:val="auto"/>
              </w:rPr>
            </w:pPr>
          </w:p>
        </w:tc>
      </w:tr>
      <w:tr>
        <w:trPr>
          <w:trHeight w:val="172"/>
        </w:trPr>
        <w:tc>
          <w:tcPr>
            <w:tcW w:w="3200" w:type="dxa"/>
            <w:vAlign w:val="bottom"/>
          </w:tcPr>
          <w:p>
            <w:pPr>
              <w:ind w:left="240"/>
              <w:spacing w:after="0" w:line="172" w:lineRule="exact"/>
              <w:rPr>
                <w:sz w:val="20"/>
                <w:szCs w:val="20"/>
                <w:color w:val="auto"/>
              </w:rPr>
            </w:pPr>
            <w:r>
              <w:rPr>
                <w:rFonts w:ascii="Times New Roman" w:cs="Times New Roman" w:eastAsia="Times New Roman" w:hAnsi="Times New Roman"/>
                <w:sz w:val="18"/>
                <w:szCs w:val="18"/>
                <w:color w:val="auto"/>
              </w:rPr>
              <w:t>Dividends declared preferred shares</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($40.00/share)</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25"/>
        </w:trPr>
        <w:tc>
          <w:tcPr>
            <w:tcW w:w="3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20,595</w:t>
            </w:r>
          </w:p>
        </w:tc>
        <w:tc>
          <w:tcPr>
            <w:tcW w:w="0" w:type="dxa"/>
            <w:vAlign w:val="bottom"/>
          </w:tcPr>
          <w:p>
            <w:pPr>
              <w:spacing w:after="0"/>
              <w:rPr>
                <w:sz w:val="1"/>
                <w:szCs w:val="1"/>
                <w:color w:val="auto"/>
              </w:rPr>
            </w:pPr>
          </w:p>
        </w:tc>
      </w:tr>
      <w:tr>
        <w:trPr>
          <w:trHeight w:val="225"/>
        </w:trPr>
        <w:tc>
          <w:tcPr>
            <w:tcW w:w="3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3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215,633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274,002</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9"/>
        </w:trPr>
        <w:tc>
          <w:tcPr>
            <w:tcW w:w="3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center"/>
              <w:ind w:left="332"/>
              <w:spacing w:after="0"/>
              <w:rPr>
                <w:sz w:val="20"/>
                <w:szCs w:val="20"/>
                <w:color w:val="auto"/>
              </w:rPr>
            </w:pPr>
            <w:r>
              <w:rPr>
                <w:rFonts w:ascii="Times New Roman" w:cs="Times New Roman" w:eastAsia="Times New Roman" w:hAnsi="Times New Roman"/>
                <w:sz w:val="18"/>
                <w:szCs w:val="18"/>
                <w:color w:val="auto"/>
                <w:w w:val="99"/>
              </w:rPr>
              <w:t>F-14</w:t>
            </w: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200" w:type="dxa"/>
            <w:vAlign w:val="bottom"/>
          </w:tcPr>
          <w:p>
            <w:pPr>
              <w:spacing w:after="0"/>
              <w:rPr>
                <w:sz w:val="19"/>
                <w:szCs w:val="19"/>
                <w:color w:val="auto"/>
              </w:rPr>
            </w:pPr>
          </w:p>
        </w:tc>
        <w:tc>
          <w:tcPr>
            <w:tcW w:w="4600" w:type="dxa"/>
            <w:vAlign w:val="bottom"/>
            <w:gridSpan w:val="13"/>
          </w:tcPr>
          <w:p>
            <w:pPr>
              <w:jc w:val="center"/>
              <w:ind w:left="152"/>
              <w:spacing w:after="0"/>
              <w:rPr>
                <w:sz w:val="20"/>
                <w:szCs w:val="20"/>
                <w:color w:val="auto"/>
              </w:rPr>
            </w:pPr>
            <w:r>
              <w:rPr>
                <w:rFonts w:ascii="Times New Roman" w:cs="Times New Roman" w:eastAsia="Times New Roman" w:hAnsi="Times New Roman"/>
                <w:sz w:val="18"/>
                <w:szCs w:val="18"/>
                <w:color w:val="auto"/>
                <w:w w:val="98"/>
              </w:rPr>
              <w:t>See accompanying notes to consolidated financial statements.</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3"/>
        </w:trPr>
        <w:tc>
          <w:tcPr>
            <w:tcW w:w="32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NEWTEKONE, INC. AND SUBSIDIARIES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9"/>
        </w:trPr>
        <w:tc>
          <w:tcPr>
            <w:tcW w:w="80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4"/>
        </w:trPr>
        <w:tc>
          <w:tcPr>
            <w:tcW w:w="80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20,595</w:t>
            </w:r>
          </w:p>
        </w:tc>
        <w:tc>
          <w:tcPr>
            <w:tcW w:w="0" w:type="dxa"/>
            <w:vAlign w:val="bottom"/>
          </w:tcPr>
          <w:p>
            <w:pPr>
              <w:spacing w:after="0"/>
              <w:rPr>
                <w:sz w:val="1"/>
                <w:szCs w:val="1"/>
                <w:color w:val="auto"/>
              </w:rPr>
            </w:pPr>
          </w:p>
        </w:tc>
      </w:tr>
      <w:tr>
        <w:trPr>
          <w:trHeight w:val="225"/>
        </w:trPr>
        <w:tc>
          <w:tcPr>
            <w:tcW w:w="8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unrealized depreciation (appreciation) on joint ventures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0" w:type="dxa"/>
            <w:vAlign w:val="bottom"/>
          </w:tcPr>
          <w:p>
            <w:pPr>
              <w:spacing w:after="0"/>
              <w:rPr>
                <w:sz w:val="1"/>
                <w:szCs w:val="1"/>
                <w:color w:val="auto"/>
              </w:rPr>
            </w:pPr>
          </w:p>
        </w:tc>
      </w:tr>
      <w:tr>
        <w:trPr>
          <w:trHeight w:val="225"/>
        </w:trPr>
        <w:tc>
          <w:tcPr>
            <w:tcW w:w="8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(gain) loss on loans accounted for under the fair value option</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25"/>
        </w:trPr>
        <w:tc>
          <w:tcPr>
            <w:tcW w:w="80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gain on residuals in securitizations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8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loss on loan servicing assets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0" w:type="dxa"/>
            <w:vAlign w:val="bottom"/>
          </w:tcPr>
          <w:p>
            <w:pPr>
              <w:spacing w:after="0"/>
              <w:rPr>
                <w:sz w:val="1"/>
                <w:szCs w:val="1"/>
                <w:color w:val="auto"/>
              </w:rPr>
            </w:pPr>
          </w:p>
        </w:tc>
      </w:tr>
      <w:tr>
        <w:trPr>
          <w:trHeight w:val="225"/>
        </w:trPr>
        <w:tc>
          <w:tcPr>
            <w:tcW w:w="80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unrealized depreciation (appreciation) on warrants and derivative transactions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25"/>
        </w:trPr>
        <w:tc>
          <w:tcPr>
            <w:tcW w:w="8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gain on sales of loans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(42,856)</w:t>
            </w:r>
          </w:p>
        </w:tc>
        <w:tc>
          <w:tcPr>
            <w:tcW w:w="0" w:type="dxa"/>
            <w:vAlign w:val="bottom"/>
          </w:tcPr>
          <w:p>
            <w:pPr>
              <w:spacing w:after="0"/>
              <w:rPr>
                <w:sz w:val="1"/>
                <w:szCs w:val="1"/>
                <w:color w:val="auto"/>
              </w:rPr>
            </w:pPr>
          </w:p>
        </w:tc>
      </w:tr>
      <w:tr>
        <w:trPr>
          <w:trHeight w:val="225"/>
        </w:trPr>
        <w:tc>
          <w:tcPr>
            <w:tcW w:w="80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accretion of premium/discount on debt securities available-for-sale and loans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25"/>
        </w:trPr>
        <w:tc>
          <w:tcPr>
            <w:tcW w:w="8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Amortization of deferred financing costs and deferred loan fees and costs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0" w:type="dxa"/>
            <w:vAlign w:val="bottom"/>
          </w:tcPr>
          <w:p>
            <w:pPr>
              <w:spacing w:after="0"/>
              <w:rPr>
                <w:sz w:val="1"/>
                <w:szCs w:val="1"/>
                <w:color w:val="auto"/>
              </w:rPr>
            </w:pPr>
          </w:p>
        </w:tc>
      </w:tr>
      <w:tr>
        <w:trPr>
          <w:trHeight w:val="225"/>
        </w:trPr>
        <w:tc>
          <w:tcPr>
            <w:tcW w:w="80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9,814</w:t>
            </w:r>
          </w:p>
        </w:tc>
        <w:tc>
          <w:tcPr>
            <w:tcW w:w="0" w:type="dxa"/>
            <w:vAlign w:val="bottom"/>
          </w:tcPr>
          <w:p>
            <w:pPr>
              <w:spacing w:after="0"/>
              <w:rPr>
                <w:sz w:val="1"/>
                <w:szCs w:val="1"/>
                <w:color w:val="auto"/>
              </w:rPr>
            </w:pPr>
          </w:p>
        </w:tc>
      </w:tr>
      <w:tr>
        <w:trPr>
          <w:trHeight w:val="225"/>
        </w:trPr>
        <w:tc>
          <w:tcPr>
            <w:tcW w:w="8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Lower of cost or market adjustment on loans held for sale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25"/>
        </w:trPr>
        <w:tc>
          <w:tcPr>
            <w:tcW w:w="80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Bad debt expense, net of recoveries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0" w:type="dxa"/>
            <w:vAlign w:val="bottom"/>
          </w:tcPr>
          <w:p>
            <w:pPr>
              <w:spacing w:after="0"/>
              <w:rPr>
                <w:sz w:val="1"/>
                <w:szCs w:val="1"/>
                <w:color w:val="auto"/>
              </w:rPr>
            </w:pPr>
          </w:p>
        </w:tc>
      </w:tr>
      <w:tr>
        <w:trPr>
          <w:trHeight w:val="225"/>
        </w:trPr>
        <w:tc>
          <w:tcPr>
            <w:tcW w:w="8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0" w:type="dxa"/>
            <w:vAlign w:val="bottom"/>
          </w:tcPr>
          <w:p>
            <w:pPr>
              <w:spacing w:after="0"/>
              <w:rPr>
                <w:sz w:val="1"/>
                <w:szCs w:val="1"/>
                <w:color w:val="auto"/>
              </w:rPr>
            </w:pPr>
          </w:p>
        </w:tc>
      </w:tr>
      <w:tr>
        <w:trPr>
          <w:trHeight w:val="225"/>
        </w:trPr>
        <w:tc>
          <w:tcPr>
            <w:tcW w:w="80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w:t>
            </w:r>
          </w:p>
        </w:tc>
        <w:tc>
          <w:tcPr>
            <w:tcW w:w="0" w:type="dxa"/>
            <w:vAlign w:val="bottom"/>
          </w:tcPr>
          <w:p>
            <w:pPr>
              <w:spacing w:after="0"/>
              <w:rPr>
                <w:sz w:val="1"/>
                <w:szCs w:val="1"/>
                <w:color w:val="auto"/>
              </w:rPr>
            </w:pPr>
          </w:p>
        </w:tc>
      </w:tr>
      <w:tr>
        <w:trPr>
          <w:trHeight w:val="225"/>
        </w:trPr>
        <w:tc>
          <w:tcPr>
            <w:tcW w:w="8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0" w:type="dxa"/>
            <w:vAlign w:val="bottom"/>
          </w:tcPr>
          <w:p>
            <w:pPr>
              <w:spacing w:after="0"/>
              <w:rPr>
                <w:sz w:val="1"/>
                <w:szCs w:val="1"/>
                <w:color w:val="auto"/>
              </w:rPr>
            </w:pPr>
          </w:p>
        </w:tc>
      </w:tr>
      <w:tr>
        <w:trPr>
          <w:trHeight w:val="225"/>
        </w:trPr>
        <w:tc>
          <w:tcPr>
            <w:tcW w:w="80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Proceeds from sale of loans held for sale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217,267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391,228</w:t>
            </w:r>
          </w:p>
        </w:tc>
        <w:tc>
          <w:tcPr>
            <w:tcW w:w="0" w:type="dxa"/>
            <w:vAlign w:val="bottom"/>
          </w:tcPr>
          <w:p>
            <w:pPr>
              <w:spacing w:after="0"/>
              <w:rPr>
                <w:sz w:val="1"/>
                <w:szCs w:val="1"/>
                <w:color w:val="auto"/>
              </w:rPr>
            </w:pPr>
          </w:p>
        </w:tc>
      </w:tr>
      <w:tr>
        <w:trPr>
          <w:trHeight w:val="225"/>
        </w:trPr>
        <w:tc>
          <w:tcPr>
            <w:tcW w:w="8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Sale of loans held for sale from affiliate</w:t>
            </w:r>
          </w:p>
        </w:tc>
        <w:tc>
          <w:tcPr>
            <w:tcW w:w="3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98,596</w:t>
            </w:r>
          </w:p>
        </w:tc>
        <w:tc>
          <w:tcPr>
            <w:tcW w:w="0" w:type="dxa"/>
            <w:vAlign w:val="bottom"/>
          </w:tcPr>
          <w:p>
            <w:pPr>
              <w:spacing w:after="0"/>
              <w:rPr>
                <w:sz w:val="1"/>
                <w:szCs w:val="1"/>
                <w:color w:val="auto"/>
              </w:rPr>
            </w:pPr>
          </w:p>
        </w:tc>
      </w:tr>
      <w:tr>
        <w:trPr>
          <w:trHeight w:val="225"/>
        </w:trPr>
        <w:tc>
          <w:tcPr>
            <w:tcW w:w="80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Funding of loans held for sale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(508,393)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(516,648)</w:t>
            </w:r>
          </w:p>
        </w:tc>
        <w:tc>
          <w:tcPr>
            <w:tcW w:w="0" w:type="dxa"/>
            <w:vAlign w:val="bottom"/>
          </w:tcPr>
          <w:p>
            <w:pPr>
              <w:spacing w:after="0"/>
              <w:rPr>
                <w:sz w:val="1"/>
                <w:szCs w:val="1"/>
                <w:color w:val="auto"/>
              </w:rPr>
            </w:pPr>
          </w:p>
        </w:tc>
      </w:tr>
      <w:tr>
        <w:trPr>
          <w:trHeight w:val="225"/>
        </w:trPr>
        <w:tc>
          <w:tcPr>
            <w:tcW w:w="8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Principal received on loans held for sale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9,128</w:t>
            </w:r>
          </w:p>
        </w:tc>
        <w:tc>
          <w:tcPr>
            <w:tcW w:w="0" w:type="dxa"/>
            <w:vAlign w:val="bottom"/>
          </w:tcPr>
          <w:p>
            <w:pPr>
              <w:spacing w:after="0"/>
              <w:rPr>
                <w:sz w:val="1"/>
                <w:szCs w:val="1"/>
                <w:color w:val="auto"/>
              </w:rPr>
            </w:pPr>
          </w:p>
        </w:tc>
      </w:tr>
      <w:tr>
        <w:trPr>
          <w:trHeight w:val="225"/>
        </w:trPr>
        <w:tc>
          <w:tcPr>
            <w:tcW w:w="80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net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5"/>
        </w:trPr>
        <w:tc>
          <w:tcPr>
            <w:tcW w:w="8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Settlement receivable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(17,698)</w:t>
            </w:r>
          </w:p>
        </w:tc>
        <w:tc>
          <w:tcPr>
            <w:tcW w:w="0" w:type="dxa"/>
            <w:vAlign w:val="bottom"/>
          </w:tcPr>
          <w:p>
            <w:pPr>
              <w:spacing w:after="0"/>
              <w:rPr>
                <w:sz w:val="1"/>
                <w:szCs w:val="1"/>
                <w:color w:val="auto"/>
              </w:rPr>
            </w:pPr>
          </w:p>
        </w:tc>
      </w:tr>
      <w:tr>
        <w:trPr>
          <w:trHeight w:val="225"/>
        </w:trPr>
        <w:tc>
          <w:tcPr>
            <w:tcW w:w="8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(4,992)</w:t>
            </w:r>
          </w:p>
        </w:tc>
        <w:tc>
          <w:tcPr>
            <w:tcW w:w="0" w:type="dxa"/>
            <w:vAlign w:val="bottom"/>
          </w:tcPr>
          <w:p>
            <w:pPr>
              <w:spacing w:after="0"/>
              <w:rPr>
                <w:sz w:val="1"/>
                <w:szCs w:val="1"/>
                <w:color w:val="auto"/>
              </w:rPr>
            </w:pPr>
          </w:p>
        </w:tc>
      </w:tr>
      <w:tr>
        <w:trPr>
          <w:trHeight w:val="225"/>
        </w:trPr>
        <w:tc>
          <w:tcPr>
            <w:tcW w:w="80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Due to participants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0" w:type="dxa"/>
            <w:vAlign w:val="bottom"/>
          </w:tcPr>
          <w:p>
            <w:pPr>
              <w:spacing w:after="0"/>
              <w:rPr>
                <w:sz w:val="1"/>
                <w:szCs w:val="1"/>
                <w:color w:val="auto"/>
              </w:rPr>
            </w:pPr>
          </w:p>
        </w:tc>
      </w:tr>
      <w:tr>
        <w:trPr>
          <w:trHeight w:val="225"/>
        </w:trPr>
        <w:tc>
          <w:tcPr>
            <w:tcW w:w="80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9,713</w:t>
            </w:r>
          </w:p>
        </w:tc>
        <w:tc>
          <w:tcPr>
            <w:tcW w:w="0" w:type="dxa"/>
            <w:vAlign w:val="bottom"/>
          </w:tcPr>
          <w:p>
            <w:pPr>
              <w:spacing w:after="0"/>
              <w:rPr>
                <w:sz w:val="1"/>
                <w:szCs w:val="1"/>
                <w:color w:val="auto"/>
              </w:rPr>
            </w:pPr>
          </w:p>
        </w:tc>
      </w:tr>
      <w:tr>
        <w:trPr>
          <w:trHeight w:val="218"/>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(260,518)</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(35,751)</w:t>
            </w:r>
          </w:p>
        </w:tc>
        <w:tc>
          <w:tcPr>
            <w:tcW w:w="0" w:type="dxa"/>
            <w:vAlign w:val="bottom"/>
          </w:tcPr>
          <w:p>
            <w:pPr>
              <w:spacing w:after="0"/>
              <w:rPr>
                <w:sz w:val="1"/>
                <w:szCs w:val="1"/>
                <w:color w:val="auto"/>
              </w:rPr>
            </w:pPr>
          </w:p>
        </w:tc>
      </w:tr>
      <w:tr>
        <w:trPr>
          <w:trHeight w:val="609"/>
        </w:trPr>
        <w:tc>
          <w:tcPr>
            <w:tcW w:w="8080" w:type="dxa"/>
            <w:vAlign w:val="bottom"/>
          </w:tcPr>
          <w:p>
            <w:pPr>
              <w:ind w:left="5460"/>
              <w:spacing w:after="0"/>
              <w:rPr>
                <w:sz w:val="20"/>
                <w:szCs w:val="20"/>
                <w:color w:val="auto"/>
              </w:rPr>
            </w:pPr>
            <w:r>
              <w:rPr>
                <w:rFonts w:ascii="Times New Roman" w:cs="Times New Roman" w:eastAsia="Times New Roman" w:hAnsi="Times New Roman"/>
                <w:sz w:val="18"/>
                <w:szCs w:val="18"/>
                <w:color w:val="auto"/>
              </w:rPr>
              <w:t>F-15</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080" w:type="dxa"/>
            <w:vAlign w:val="bottom"/>
          </w:tcPr>
          <w:p>
            <w:pPr>
              <w:ind w:left="34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3"/>
        </w:trPr>
        <w:tc>
          <w:tcPr>
            <w:tcW w:w="80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NEWTEKONE, INC. AND SUBSIDIARIES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9"/>
        </w:trPr>
        <w:tc>
          <w:tcPr>
            <w:tcW w:w="80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44"/>
        </w:trPr>
        <w:tc>
          <w:tcPr>
            <w:tcW w:w="8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2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5"/>
        </w:trPr>
        <w:tc>
          <w:tcPr>
            <w:tcW w:w="8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decrease in loans held for investment, at fair value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33,992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41,210</w:t>
            </w:r>
          </w:p>
        </w:tc>
      </w:tr>
      <w:tr>
        <w:trPr>
          <w:trHeight w:val="225"/>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increase in loans held for investment, at cost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(171,609)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(116,941)</w:t>
            </w:r>
          </w:p>
        </w:tc>
      </w:tr>
      <w:tr>
        <w:trPr>
          <w:trHeight w:val="225"/>
        </w:trPr>
        <w:tc>
          <w:tcPr>
            <w:tcW w:w="8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sale of Newtek Technology Solutions, Inc.</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Contributions to joint ventures and other non-control investments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(25,642)</w:t>
            </w:r>
          </w:p>
        </w:tc>
      </w:tr>
      <w:tr>
        <w:trPr>
          <w:trHeight w:val="225"/>
        </w:trPr>
        <w:tc>
          <w:tcPr>
            <w:tcW w:w="8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Return of capital from joint ventures and other non-control investments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5"/>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 of fixed assets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25"/>
        </w:trPr>
        <w:tc>
          <w:tcPr>
            <w:tcW w:w="8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increase in Federal Home Loan Bank and Federal Reserve Bank stock</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5"/>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(purchases) of available-for-sale securities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w:t>
            </w:r>
          </w:p>
        </w:tc>
      </w:tr>
      <w:tr>
        <w:trPr>
          <w:trHeight w:val="225"/>
        </w:trPr>
        <w:tc>
          <w:tcPr>
            <w:tcW w:w="8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Maturities of available-for-sale securities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(124,076)</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(97,763)</w:t>
            </w:r>
          </w:p>
        </w:tc>
      </w:tr>
      <w:tr>
        <w:trPr>
          <w:trHeight w:val="244"/>
        </w:trPr>
        <w:tc>
          <w:tcPr>
            <w:tcW w:w="8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2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5"/>
        </w:trPr>
        <w:tc>
          <w:tcPr>
            <w:tcW w:w="8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borrowings (paydowns) on bank notes payable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84,035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(10,266)</w:t>
            </w:r>
          </w:p>
        </w:tc>
      </w:tr>
      <w:tr>
        <w:trPr>
          <w:trHeight w:val="225"/>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increase in deposits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110,248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146,256</w:t>
            </w:r>
          </w:p>
        </w:tc>
      </w:tr>
      <w:tr>
        <w:trPr>
          <w:trHeight w:val="225"/>
        </w:trPr>
        <w:tc>
          <w:tcPr>
            <w:tcW w:w="8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Repayment of Federal Home Loan Bank advances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(3,971)</w:t>
            </w:r>
          </w:p>
        </w:tc>
      </w:tr>
      <w:tr>
        <w:trPr>
          <w:trHeight w:val="225"/>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common shares sold, net of offering costs</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13,819</w:t>
            </w:r>
          </w:p>
        </w:tc>
      </w:tr>
      <w:tr>
        <w:trPr>
          <w:trHeight w:val="225"/>
        </w:trPr>
        <w:tc>
          <w:tcPr>
            <w:tcW w:w="8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Repurchase of common shares under share repurchase plan</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Maturity of 2025 5.00% Notes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2029 8.625% Notes</w:t>
            </w:r>
          </w:p>
        </w:tc>
        <w:tc>
          <w:tcPr>
            <w:tcW w:w="3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71,875</w:t>
            </w:r>
          </w:p>
        </w:tc>
      </w:tr>
      <w:tr>
        <w:trPr>
          <w:trHeight w:val="225"/>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2030 Notes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Payments on Notes Payable - Securitization Trusts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(29,596)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(49,383)</w:t>
            </w:r>
          </w:p>
        </w:tc>
      </w:tr>
      <w:tr>
        <w:trPr>
          <w:trHeight w:val="225"/>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related to residuals in securitizations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70,098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Dividends paid, net of dividend reinvestment plan</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(9,788)</w:t>
            </w:r>
          </w:p>
        </w:tc>
      </w:tr>
      <w:tr>
        <w:trPr>
          <w:trHeight w:val="225"/>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Payments of deferred financing costs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w:t>
            </w:r>
          </w:p>
        </w:tc>
      </w:tr>
      <w:tr>
        <w:trPr>
          <w:trHeight w:val="225"/>
        </w:trPr>
        <w:tc>
          <w:tcPr>
            <w:tcW w:w="8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common stock issued under ESPP</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25"/>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 of vested stock for employee payroll tax withholding</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18"/>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216,509</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155,846</w:t>
            </w:r>
          </w:p>
        </w:tc>
      </w:tr>
      <w:tr>
        <w:trPr>
          <w:trHeight w:val="218"/>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restricted cash</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(168,085)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22,332</w:t>
            </w:r>
          </w:p>
        </w:tc>
      </w:tr>
      <w:tr>
        <w:trPr>
          <w:trHeight w:val="225"/>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restricted cash—beginning of period (NOTE 2)</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381,374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184,006</w:t>
            </w:r>
          </w:p>
        </w:tc>
      </w:tr>
      <w:tr>
        <w:trPr>
          <w:trHeight w:val="218"/>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restricted cash—end of period (NOTE 2)</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213,289</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206,338</w:t>
            </w:r>
          </w:p>
        </w:tc>
      </w:tr>
      <w:tr>
        <w:trPr>
          <w:trHeight w:val="192"/>
        </w:trPr>
        <w:tc>
          <w:tcPr>
            <w:tcW w:w="8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2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operating, investing and financing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5"/>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Foreclosed real estate acquired</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w:t>
            </w:r>
          </w:p>
        </w:tc>
        <w:tc>
          <w:tcPr>
            <w:tcW w:w="8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w:t>
            </w:r>
          </w:p>
        </w:tc>
      </w:tr>
      <w:tr>
        <w:trPr>
          <w:trHeight w:val="22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but not paid during the period</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4,827</w:t>
            </w:r>
          </w:p>
        </w:tc>
      </w:tr>
      <w:tr>
        <w:trPr>
          <w:trHeight w:val="225"/>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IPM stock acquired</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8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IPM earn-out</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5"/>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paid</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46,237</w:t>
            </w:r>
          </w:p>
        </w:tc>
        <w:tc>
          <w:tcPr>
            <w:tcW w:w="8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37,494</w:t>
            </w:r>
          </w:p>
        </w:tc>
      </w:tr>
      <w:tr>
        <w:trPr>
          <w:trHeight w:val="22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paid</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w:t>
            </w:r>
          </w:p>
        </w:tc>
      </w:tr>
      <w:tr>
        <w:trPr>
          <w:trHeight w:val="616"/>
        </w:trPr>
        <w:tc>
          <w:tcPr>
            <w:tcW w:w="8080" w:type="dxa"/>
            <w:vAlign w:val="bottom"/>
          </w:tcPr>
          <w:p>
            <w:pPr>
              <w:ind w:left="5460"/>
              <w:spacing w:after="0"/>
              <w:rPr>
                <w:sz w:val="20"/>
                <w:szCs w:val="20"/>
                <w:color w:val="auto"/>
              </w:rPr>
            </w:pPr>
            <w:r>
              <w:rPr>
                <w:rFonts w:ascii="Times New Roman" w:cs="Times New Roman" w:eastAsia="Times New Roman" w:hAnsi="Times New Roman"/>
                <w:sz w:val="18"/>
                <w:szCs w:val="18"/>
                <w:color w:val="auto"/>
              </w:rPr>
              <w:t>F-16</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9"/>
        </w:trPr>
        <w:tc>
          <w:tcPr>
            <w:tcW w:w="8080" w:type="dxa"/>
            <w:vAlign w:val="bottom"/>
          </w:tcPr>
          <w:p>
            <w:pPr>
              <w:ind w:left="34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113"/>
        </w:trPr>
        <w:tc>
          <w:tcPr>
            <w:tcW w:w="80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NEWTEKONE, INC. AND SUBSIDIARIES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1—DESCRIPTION OF BUSINESS AND BASIS OF PRESENTATION:</w:t>
      </w:r>
    </w:p>
    <w:p>
      <w:pPr>
        <w:spacing w:after="0" w:line="231" w:lineRule="exact"/>
        <w:rPr>
          <w:sz w:val="20"/>
          <w:szCs w:val="20"/>
          <w:color w:val="auto"/>
        </w:rPr>
      </w:pPr>
    </w:p>
    <w:p>
      <w:pPr>
        <w:ind w:right="340"/>
        <w:spacing w:after="0" w:line="242" w:lineRule="auto"/>
        <w:rPr>
          <w:sz w:val="20"/>
          <w:szCs w:val="20"/>
          <w:color w:val="auto"/>
        </w:rPr>
      </w:pPr>
      <w:r>
        <w:rPr>
          <w:rFonts w:ascii="Times New Roman" w:cs="Times New Roman" w:eastAsia="Times New Roman" w:hAnsi="Times New Roman"/>
          <w:sz w:val="18"/>
          <w:szCs w:val="18"/>
          <w:color w:val="auto"/>
        </w:rPr>
        <w:t>The Company is a financial holding company that is a leading provider of business and financial solutions to independent business owners (SMBs) and provides SMBs with the following Newtek® branded business and financial solutions: Newtek Banking, Newtek Alternative Lending, Newtek Payments, Newtek Insurance and Newtek Payroll.</w:t>
      </w:r>
    </w:p>
    <w:p>
      <w:pPr>
        <w:spacing w:after="0" w:line="19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NewtekOne reports on a consolidated basis the financial condition and results of operations for the following consolidated subsidiaries: Newtek Bank; NSBF; NMS (and its subsidiary Mobil Money); NBC; PMT; NIA; TAM; POS; and NALH.</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otherwise noted, all financial information included in the tables in the following footnotes is stated in thousands, except per share data.</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w:t>
      </w:r>
    </w:p>
    <w:p>
      <w:pPr>
        <w:spacing w:after="0" w:line="24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NewtekOne, its subsidiaries and certain VIEs. Significant intercompany balances and transactions have been eliminated. The Company consolidates a subsidiary if the Company has a controlling financial interest in the entity as a result of holding a majority of the voting rights. VIEs are consolidated if NewtekOne has the power to direct the activities of the VIE that significantly impact financial performance and has the obligation to absorb losses or the right to receive benefits that could potentially be significant to the VIE (i.e., NewtekOne is the primary beneficiary). The determination of whether the Company is the primary beneficiary of a VIE is reassessed on an ongoing basis. Investments in companies which are not VIEs, but in which the Company has more than minor influence over the operating and financial policies, are accounted for using the equity method of accounting. Investments in VIEs where NewtekOne is not the primary beneficiary of a VIE are accounted for using the equity method of accounting. The maximum potential exposure to losses relative to investments in VIEs is generally limited to the investment balance. Refer to NOTE 4— INVESTMENTS.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46"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8"/>
          <w:szCs w:val="18"/>
          <w:color w:val="auto"/>
        </w:rPr>
        <w:t>Certain prior period amounts, which are normal and reoccurring in nature, to the extent comparable, have been reclassified to conform to the current period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2—SIGNIFICANT ACCOUNTING POLICIES:</w:t>
      </w:r>
    </w:p>
    <w:p>
      <w:pPr>
        <w:spacing w:after="0" w:line="205"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A more detailed description of our accounting policies is included in the Company’s 2024 Form 10-K, which accounting policies remain significantly unchanged. There have been no other significant changes to our accounting policies, or the estimates made pursuant to those policies as described in our 2024 Form 10-K.</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due from banks</w:t>
      </w:r>
    </w:p>
    <w:p>
      <w:pPr>
        <w:spacing w:after="0" w:line="24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 considers all highly liquid instruments with maturities of three months or less when purchased to be cash equivalents. Invested cash is held exclusively at financial institutions of high credit quality. As of June 30, 2025, cash deposits in excess of insured amounts totaled $26.9 million. The Company has not experienced any losses with respect to cash balances in excess of insured amounts and management does not believe there was a significant concentration of risk with respect to cash balances as of June 30,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46" w:lineRule="exact"/>
        <w:rPr>
          <w:sz w:val="20"/>
          <w:szCs w:val="20"/>
          <w:color w:val="auto"/>
        </w:rPr>
      </w:pPr>
    </w:p>
    <w:p>
      <w:pPr>
        <w:ind w:right="360"/>
        <w:spacing w:after="0" w:line="270" w:lineRule="auto"/>
        <w:rPr>
          <w:sz w:val="20"/>
          <w:szCs w:val="20"/>
          <w:color w:val="auto"/>
        </w:rPr>
      </w:pPr>
      <w:r>
        <w:rPr>
          <w:rFonts w:ascii="Times New Roman" w:cs="Times New Roman" w:eastAsia="Times New Roman" w:hAnsi="Times New Roman"/>
          <w:sz w:val="18"/>
          <w:szCs w:val="18"/>
          <w:color w:val="auto"/>
        </w:rPr>
        <w:t>Restricted cash includes amounts due on SBA loan-related remittances to third parties, cash reserves established as part of agreements with the SBA, cash reserves associated with consolidated securitization transactions, and cash margin as collateral for derivative instruments.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bearing deposits in banks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interest bearing deposits in banks reflects cash held at other financial institutions that earn interest.</w:t>
      </w:r>
    </w:p>
    <w:p>
      <w:pPr>
        <w:spacing w:after="0" w:line="242"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8"/>
          <w:szCs w:val="18"/>
          <w:color w:val="auto"/>
        </w:rPr>
        <w:t>The following table provides a reconciliation of cash, restricted cash, and interest bearing deposits in banks as of June 30, 2025 and 2024 and December 31, 2024:</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6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Pr>
          <w:p>
            <w:pPr>
              <w:spacing w:after="0"/>
              <w:rPr>
                <w:sz w:val="16"/>
                <w:szCs w:val="16"/>
                <w:color w:val="auto"/>
              </w:rPr>
            </w:pPr>
          </w:p>
        </w:tc>
        <w:tc>
          <w:tcPr>
            <w:tcW w:w="134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24"/>
        </w:trPr>
        <w:tc>
          <w:tcPr>
            <w:tcW w:w="20" w:type="dxa"/>
            <w:vAlign w:val="bottom"/>
          </w:tcPr>
          <w:p>
            <w:pPr>
              <w:spacing w:after="0"/>
              <w:rPr>
                <w:sz w:val="2"/>
                <w:szCs w:val="2"/>
                <w:color w:val="auto"/>
              </w:rPr>
            </w:pPr>
          </w:p>
        </w:tc>
        <w:tc>
          <w:tcPr>
            <w:tcW w:w="6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due from banks</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36,909</w:t>
            </w:r>
          </w:p>
        </w:tc>
      </w:tr>
      <w:tr>
        <w:trPr>
          <w:trHeight w:val="225"/>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28,226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36,832</w:t>
            </w:r>
          </w:p>
        </w:tc>
      </w:tr>
      <w:tr>
        <w:trPr>
          <w:trHeight w:val="225"/>
        </w:trPr>
        <w:tc>
          <w:tcPr>
            <w:tcW w:w="20" w:type="dxa"/>
            <w:vAlign w:val="bottom"/>
          </w:tcPr>
          <w:p>
            <w:pPr>
              <w:spacing w:after="0"/>
              <w:rPr>
                <w:sz w:val="19"/>
                <w:szCs w:val="19"/>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bearing deposits in banks</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180,013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346,207</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132,597</w:t>
            </w:r>
          </w:p>
        </w:tc>
      </w:tr>
      <w:tr>
        <w:trPr>
          <w:trHeight w:val="218"/>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Cash and restricted cash</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213,289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381,374</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206,338</w:t>
            </w: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511"/>
        </w:trPr>
        <w:tc>
          <w:tcPr>
            <w:tcW w:w="2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60" w:type="dxa"/>
            <w:vAlign w:val="bottom"/>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Pr>
          <w:p>
            <w:pPr>
              <w:spacing w:after="0"/>
              <w:rPr>
                <w:sz w:val="24"/>
                <w:szCs w:val="24"/>
                <w:color w:val="auto"/>
              </w:rPr>
            </w:pPr>
          </w:p>
        </w:tc>
        <w:tc>
          <w:tcPr>
            <w:tcW w:w="134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24"/>
        </w:trPr>
        <w:tc>
          <w:tcPr>
            <w:tcW w:w="20" w:type="dxa"/>
            <w:vAlign w:val="bottom"/>
            <w:tcBorders>
              <w:bottom w:val="single" w:sz="8" w:color="CCEEFF"/>
            </w:tcBorders>
          </w:tcPr>
          <w:p>
            <w:pPr>
              <w:spacing w:after="0"/>
              <w:rPr>
                <w:sz w:val="2"/>
                <w:szCs w:val="2"/>
                <w:color w:val="auto"/>
              </w:rPr>
            </w:pPr>
          </w:p>
        </w:tc>
        <w:tc>
          <w:tcPr>
            <w:tcW w:w="6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20" w:type="dxa"/>
            <w:vAlign w:val="bottom"/>
            <w:shd w:val="clear" w:color="auto" w:fill="CCEEFF"/>
          </w:tcPr>
          <w:p>
            <w:pPr>
              <w:spacing w:after="0"/>
              <w:rPr>
                <w:sz w:val="18"/>
                <w:szCs w:val="18"/>
                <w:color w:val="auto"/>
              </w:rPr>
            </w:pPr>
          </w:p>
        </w:tc>
        <w:tc>
          <w:tcPr>
            <w:tcW w:w="6200" w:type="dxa"/>
            <w:vAlign w:val="bottom"/>
            <w:shd w:val="clear" w:color="auto" w:fill="CCEEFF"/>
          </w:tcPr>
          <w:p>
            <w:pPr>
              <w:spacing w:after="0" w:line="218" w:lineRule="exact"/>
              <w:rPr>
                <w:sz w:val="20"/>
                <w:szCs w:val="20"/>
                <w:color w:val="auto"/>
              </w:rPr>
            </w:pPr>
            <w:r>
              <w:rPr>
                <w:rFonts w:ascii="Times New Roman" w:cs="Times New Roman" w:eastAsia="Times New Roman" w:hAnsi="Times New Roman"/>
                <w:sz w:val="18"/>
                <w:szCs w:val="18"/>
                <w:color w:val="auto"/>
              </w:rPr>
              <w:t>Cash held at Federal Reserve Bank</w:t>
            </w:r>
            <w:r>
              <w:rPr>
                <w:rFonts w:ascii="Times New Roman" w:cs="Times New Roman" w:eastAsia="Times New Roman" w:hAnsi="Times New Roman"/>
                <w:sz w:val="22"/>
                <w:szCs w:val="22"/>
                <w:color w:val="auto"/>
                <w:vertAlign w:val="superscript"/>
              </w:rPr>
              <w:t>1</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345,680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132,328</w:t>
            </w:r>
          </w:p>
        </w:tc>
      </w:tr>
      <w:tr>
        <w:trPr>
          <w:trHeight w:val="225"/>
        </w:trPr>
        <w:tc>
          <w:tcPr>
            <w:tcW w:w="20" w:type="dxa"/>
            <w:vAlign w:val="bottom"/>
            <w:tcBorders>
              <w:bottom w:val="single" w:sz="8" w:color="CCEEFF"/>
            </w:tcBorders>
          </w:tcPr>
          <w:p>
            <w:pPr>
              <w:spacing w:after="0"/>
              <w:rPr>
                <w:sz w:val="19"/>
                <w:szCs w:val="19"/>
                <w:color w:val="auto"/>
              </w:rPr>
            </w:pPr>
          </w:p>
        </w:tc>
        <w:tc>
          <w:tcPr>
            <w:tcW w:w="6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held at other financial institutions</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33,619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35,694</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74,010</w:t>
            </w: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213,289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381,374</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206,338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5" w:lineRule="exact"/>
        <w:rPr>
          <w:sz w:val="20"/>
          <w:szCs w:val="20"/>
          <w:color w:val="auto"/>
        </w:rPr>
      </w:pPr>
    </w:p>
    <w:p>
      <w:pPr>
        <w:ind w:left="100" w:hanging="94"/>
        <w:spacing w:after="0"/>
        <w:tabs>
          <w:tab w:leader="none" w:pos="100" w:val="left"/>
        </w:tabs>
        <w:numPr>
          <w:ilvl w:val="0"/>
          <w:numId w:val="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Subject to changes in the Federal Funds rate set by the Federal Open Market Committee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Transfers and Servicing of Financial Assets</w:t>
      </w:r>
    </w:p>
    <w:p>
      <w:pPr>
        <w:spacing w:after="0" w:line="220" w:lineRule="exact"/>
        <w:rPr>
          <w:sz w:val="20"/>
          <w:szCs w:val="20"/>
          <w:color w:val="auto"/>
        </w:rPr>
      </w:pPr>
    </w:p>
    <w:p>
      <w:pPr>
        <w:jc w:val="both"/>
        <w:ind w:right="60"/>
        <w:spacing w:after="0" w:line="253" w:lineRule="auto"/>
        <w:rPr>
          <w:sz w:val="20"/>
          <w:szCs w:val="20"/>
          <w:color w:val="auto"/>
        </w:rPr>
      </w:pPr>
      <w:r>
        <w:rPr>
          <w:rFonts w:ascii="Times New Roman" w:cs="Times New Roman" w:eastAsia="Times New Roman" w:hAnsi="Times New Roman"/>
          <w:sz w:val="18"/>
          <w:szCs w:val="18"/>
          <w:color w:val="auto"/>
        </w:rPr>
        <w:t>For a transfer of financial assets to be considered a sale, the transfer must meet the sale criteria of ASC 860, which, at the time of the transfer, requires that the transferred assets qualify as recognized financial assets and the Company surrender control over the assets. Such surrender requires that the assets be isolated from the Company, even in bankruptcy or other receivership, the purchaser have the right to pledge or sell the assets transferred and the Company not have an option or obligation to reacquire the assets.</w:t>
      </w:r>
    </w:p>
    <w:p>
      <w:pPr>
        <w:spacing w:after="0" w:line="211" w:lineRule="exact"/>
        <w:rPr>
          <w:sz w:val="20"/>
          <w:szCs w:val="20"/>
          <w:color w:val="auto"/>
        </w:rPr>
      </w:pPr>
    </w:p>
    <w:p>
      <w:pPr>
        <w:ind w:right="180"/>
        <w:spacing w:after="0" w:line="300" w:lineRule="auto"/>
        <w:rPr>
          <w:sz w:val="20"/>
          <w:szCs w:val="20"/>
          <w:color w:val="auto"/>
        </w:rPr>
      </w:pPr>
      <w:r>
        <w:rPr>
          <w:rFonts w:ascii="Times New Roman" w:cs="Times New Roman" w:eastAsia="Times New Roman" w:hAnsi="Times New Roman"/>
          <w:sz w:val="17"/>
          <w:szCs w:val="17"/>
          <w:color w:val="auto"/>
        </w:rPr>
        <w:t>Assets related to transactions that do not meet ASC Topic 860 — Transfers and Servicing (“ASC Topic 860”) requirements for accounting sale treatment are reflected in the Company’s consolidated statements of financial condition as investments and the sale proceeds are recognized as a liability.</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8"/>
          <w:szCs w:val="18"/>
          <w:color w:val="auto"/>
        </w:rPr>
        <w:t>The Company accounts for servicing assets in accordance with ASC Topic 860-50 - Transfers and Servicing - Servicing Assets and Liabilities. The Company and Newtek Bank earn servicing fees from the guaranteed portions of SBA 7(a) loans they originate and sell. The Company has also recorded servicing assets/liabilities on loans sold where the Company retained an obligation to service the loan sold. Servicing assets for loans originated by the Company’s nonbank subsidiaries are measured at FV at each reporting date and the Company reports changes in the FV of servicing assets in earnings in the period in which the changes occur. The valuation model for servicing assets incorporates assumptions including, but not limited to, servicing costs, discount rate, prepayment rate, and default rate. Considerable judgment is required to estimate the fair value of servicing assets and as such these assets are classified as Level 3 in our fair value hierarchy. Servicing assets for loans originated by Newtek Bank are initially measured at FV and subsequently measured at LCM and amortized based on their estimated life and impairment is recorded to the extent the amortized cost exceeds the asset’s FV.</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246"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A variable interest entity (“VIE”) is an entity in which equity investors lack the characteristics of a controlling financial interest, do not have sufficient equity at risk for the entity to finance its activities without additional subordinated financial support, or substantially all of the activities of the entity are conducted on behalf of an investor with disproportionally few voting rights. VIEs are consolidated by the primary beneficiary, which is the party who has the power to direct the activities of a VIE that most significantly impact the VIE’s economic performance and who has an obligation to absorb losses of the VIE or a right to receive benefits from the VIE that could potentially be significant to the VIE. The Company determines whether it is the primary beneficiary of a VIE upon initial involvement with a VIE and reassesses whether it is the primary beneficiary of a VIE on an ongoing basis. The determination of whether an entity is a VIE and whether the Company is the primary beneficiary of a VIE is based upon the facts and circumstances for the VIE and requires significant judgments such as whether the Company’s interest in a VIE is a variable interest, whether the Company controls the activities that most significantly impact the economic performance of the VIE, and whether the Company has the obligation to absorb losses or the right to receive benefits of the VIE that could be significant to the VIE. A VIE is consolidated if management determines the Company, is the primary beneficiary.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 – Loans</w:t>
      </w:r>
    </w:p>
    <w:p>
      <w:pPr>
        <w:spacing w:after="0" w:line="246"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Accounting Standards Update (“ASU”) 2016-13, Financial Instruments - Credit Losses (Topic 326): Measurement of Credit Losses on Financial Instruments (“CECL”) approach requires an estimate of the credit losses expected over the life of a loan (or pool of loans). The allowance for credit losses is a valuation account that is deducted from the loans’ amortized cost basis to present the net, lifetime amount expected to be collected on the loans. Loan losses are charged off against the allowance when management believes a loan balance is uncollectible. Expected recoveries do not exceed the aggregate of amounts previously charged-off and expected to be charged-off.</w:t>
      </w:r>
    </w:p>
    <w:p>
      <w:pPr>
        <w:spacing w:after="0" w:line="213"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8"/>
          <w:szCs w:val="18"/>
          <w:color w:val="auto"/>
        </w:rPr>
        <w:t>The allowance is comprised of reserves measured on a collective (pool) basis based on a lifetime loss-rate model when similar risk characteristics exist. Loans that do not share risk characteristics are evaluated on an individual basis, which generally includes larger non-accruing commercial loans.</w:t>
      </w:r>
    </w:p>
    <w:p>
      <w:pPr>
        <w:spacing w:after="0" w:line="195"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7"/>
          <w:szCs w:val="17"/>
          <w:color w:val="auto"/>
        </w:rPr>
        <w:t>The discounted cash flow (“DCF”) method is used to estimate expected credit losses for all loan portfolio segments measured on a collective (pool) basis. For each loan segment, cash flow projections are generated at the instrument level wherein payment expectations are adjusted for estimated prepayment speeds, probability of default, and loss given default. The modeling of prepayment speeds is based on a combination of historical internal data and peer data.</w:t>
      </w:r>
    </w:p>
    <w:p>
      <w:pPr>
        <w:spacing w:after="0" w:line="18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Regression analysis of historical internal and peer data is used to determine suitable loss drivers to utilize when modeling lifetime probability of default. This analysis also determines how expected probability of default and loss given default will react to forecasted levels of the loss drivers. For all loan pools utilizing the DCF method, management utilizes various economic indicators such as changes in unemployment rates, gross domestic product, real estate values, and other relevant factors as loss drivers. For all DCF models, management has determined that due to historic volatility in economic data, four quarters currently represents a reasonable and supportable forecast period, followed by a four-quarter reversion to historical mean levels for each of the various economic indicators.</w:t>
      </w:r>
    </w:p>
    <w:p>
      <w:pPr>
        <w:spacing w:after="0" w:line="21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combination of adjustments for credit expectations (default and loss) and timing expectations (prepayment, curtailment, and time to recovery) produces an expected cash flow stream at the instrument level. Specific instrument effective yields are calculated, net of the impacts of prepayment assumptions, and the instrument expected cash flows are then discounted at that effective yield to produce an instrument-level Net Present Value (“NPV”). An allowance is established for the difference between the instrument’s NPV and amortized cost basis.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The allowance evaluation also considers various qualitative factors, such as: (i) changes to lending policies, underwriting standards and/or management personnel performing such functions, (ii) delinquency and other credit quality trends, (iii) credit risk concentrations, if any, (iv) changes to the nature of the Company's business impacting the loan portfolio, and (v) other external factors, that may include, but are not limited to, results of internal loan reviews, stress testing, examinations by bank regulatory agencies, or other events such as a natural disaster. Significant management judgment is required at each point in the measurement process.</w:t>
      </w:r>
    </w:p>
    <w:p>
      <w:pPr>
        <w:spacing w:after="0" w:line="213"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8"/>
          <w:szCs w:val="18"/>
          <w:color w:val="auto"/>
        </w:rPr>
        <w:t>Arriving at an appropriate level of allowance involves a high degree of judgment. The determination of the adequacy of the allowance and provisioning for estimated losses is evaluated regularly based on review of loans, with particular emphasis on non-performing and other loans that management believes warrant special consideration. While management uses available information to recognize losses on loans, changing economic conditions and the economic prospects of the borrowers may necessitate future additions or reductions to the allowance. Management estimates the allowance balance using relevant available information, from internal and external sources, related to past events, current conditions, and reasonable and supportable forecasts. The Company’s historical credit loss experience provides the basis for the estimation of expected credit losses, supplemented with peer loss information, and results in expected probabilities of default and expected losses given default. Adjustments to historical loss information are made for differences in current loan-specific risk characteristics such as differences in underwriting standards, portfolio mix, delinquency level, or term as well as changes in environmental conditions, such as changes in unemployment rates, production metrics, property values, or other relevant factors.</w:t>
      </w:r>
    </w:p>
    <w:p>
      <w:pPr>
        <w:spacing w:after="0" w:line="217" w:lineRule="exact"/>
        <w:rPr>
          <w:sz w:val="20"/>
          <w:szCs w:val="20"/>
          <w:color w:val="auto"/>
        </w:rPr>
      </w:pPr>
    </w:p>
    <w:p>
      <w:pPr>
        <w:jc w:val="both"/>
        <w:ind w:right="260"/>
        <w:spacing w:after="0" w:line="258" w:lineRule="auto"/>
        <w:rPr>
          <w:sz w:val="20"/>
          <w:szCs w:val="20"/>
          <w:color w:val="auto"/>
        </w:rPr>
      </w:pPr>
      <w:r>
        <w:rPr>
          <w:rFonts w:ascii="Times New Roman" w:cs="Times New Roman" w:eastAsia="Times New Roman" w:hAnsi="Times New Roman"/>
          <w:sz w:val="18"/>
          <w:szCs w:val="18"/>
          <w:color w:val="auto"/>
        </w:rPr>
        <w:t>Expected losses are applied to loans grouped in portfolio segments, which are pools of loans aggregated based on type of borrower and collateral, generally based upon federal call report segmentation. Portfolio segments have been combined or sub-segmented as needed to ensure loans of similar risk profiles are appropriately pooled. These portfolio segments are as follows:</w:t>
      </w:r>
    </w:p>
    <w:p>
      <w:pPr>
        <w:spacing w:after="0" w:line="203" w:lineRule="exact"/>
        <w:rPr>
          <w:sz w:val="20"/>
          <w:szCs w:val="20"/>
          <w:color w:val="auto"/>
        </w:rPr>
      </w:pPr>
    </w:p>
    <w:p>
      <w:pPr>
        <w:ind w:left="620" w:right="280" w:hanging="792"/>
        <w:spacing w:after="0" w:line="280" w:lineRule="auto"/>
        <w:tabs>
          <w:tab w:leader="none" w:pos="600" w:val="left"/>
        </w:tabs>
        <w:rPr>
          <w:sz w:val="20"/>
          <w:szCs w:val="20"/>
          <w:color w:val="auto"/>
        </w:rPr>
      </w:pPr>
      <w:r>
        <w:rPr>
          <w:rFonts w:ascii="Times New Roman" w:cs="Times New Roman" w:eastAsia="Times New Roman" w:hAnsi="Times New Roman"/>
          <w:sz w:val="18"/>
          <w:szCs w:val="18"/>
          <w:i w:val="1"/>
          <w:iCs w:val="1"/>
          <w:color w:val="auto"/>
        </w:rPr>
        <w:t>CRE:</w:t>
      </w:r>
      <w:r>
        <w:rPr>
          <w:sz w:val="20"/>
          <w:szCs w:val="20"/>
          <w:color w:val="auto"/>
        </w:rPr>
        <w:tab/>
      </w:r>
      <w:r>
        <w:rPr>
          <w:rFonts w:ascii="Times New Roman" w:cs="Times New Roman" w:eastAsia="Times New Roman" w:hAnsi="Times New Roman"/>
          <w:sz w:val="17"/>
          <w:szCs w:val="17"/>
          <w:color w:val="auto"/>
        </w:rPr>
        <w:t>The CRE portfolio is comprised of loans to borrowers on small offices, owner-occupied commercial buildings, industrial/warehouse properties, income producing/investor real estate properties, and multi-family loans secured by first mortgages. The Company’s underwriting standards generally target a loan-to-value ratio of 75%, depending on the type of collateral, and requires debt service coverage of a minimum of 1.2 times.</w:t>
      </w:r>
    </w:p>
    <w:p>
      <w:pPr>
        <w:spacing w:after="0" w:line="188" w:lineRule="exact"/>
        <w:rPr>
          <w:sz w:val="20"/>
          <w:szCs w:val="20"/>
          <w:color w:val="auto"/>
        </w:rPr>
      </w:pPr>
    </w:p>
    <w:p>
      <w:pPr>
        <w:ind w:left="600" w:hanging="792"/>
        <w:spacing w:after="0" w:line="270" w:lineRule="auto"/>
        <w:tabs>
          <w:tab w:leader="none" w:pos="580" w:val="left"/>
        </w:tabs>
        <w:rPr>
          <w:sz w:val="20"/>
          <w:szCs w:val="20"/>
          <w:color w:val="auto"/>
        </w:rPr>
      </w:pPr>
      <w:r>
        <w:rPr>
          <w:rFonts w:ascii="Times New Roman" w:cs="Times New Roman" w:eastAsia="Times New Roman" w:hAnsi="Times New Roman"/>
          <w:sz w:val="18"/>
          <w:szCs w:val="18"/>
          <w:i w:val="1"/>
          <w:iCs w:val="1"/>
          <w:color w:val="auto"/>
        </w:rPr>
        <w:t>C&amp;I:</w:t>
      </w:r>
      <w:r>
        <w:rPr>
          <w:sz w:val="20"/>
          <w:szCs w:val="20"/>
          <w:color w:val="auto"/>
        </w:rPr>
        <w:tab/>
      </w:r>
      <w:r>
        <w:rPr>
          <w:rFonts w:ascii="Times New Roman" w:cs="Times New Roman" w:eastAsia="Times New Roman" w:hAnsi="Times New Roman"/>
          <w:sz w:val="18"/>
          <w:szCs w:val="18"/>
          <w:color w:val="auto"/>
        </w:rPr>
        <w:t>The C&amp;I portfolio consists of loans made for general business purposes consisting of short-term working capital loans, equipment loans and unsecured business lines.</w:t>
      </w:r>
    </w:p>
    <w:p>
      <w:pPr>
        <w:spacing w:after="0" w:line="195" w:lineRule="exact"/>
        <w:rPr>
          <w:sz w:val="20"/>
          <w:szCs w:val="20"/>
          <w:color w:val="auto"/>
        </w:rPr>
      </w:pPr>
    </w:p>
    <w:p>
      <w:pPr>
        <w:ind w:left="800" w:hanging="792"/>
        <w:spacing w:after="0" w:line="249" w:lineRule="auto"/>
        <w:tabs>
          <w:tab w:leader="none" w:pos="780" w:val="left"/>
        </w:tabs>
        <w:rPr>
          <w:sz w:val="20"/>
          <w:szCs w:val="20"/>
          <w:color w:val="auto"/>
        </w:rPr>
      </w:pPr>
      <w:r>
        <w:rPr>
          <w:rFonts w:ascii="Times New Roman" w:cs="Times New Roman" w:eastAsia="Times New Roman" w:hAnsi="Times New Roman"/>
          <w:sz w:val="18"/>
          <w:szCs w:val="18"/>
          <w:i w:val="1"/>
          <w:iCs w:val="1"/>
          <w:color w:val="auto"/>
        </w:rPr>
        <w:t>SBA 7(a):</w:t>
      </w:r>
      <w:r>
        <w:rPr>
          <w:sz w:val="20"/>
          <w:szCs w:val="20"/>
          <w:color w:val="auto"/>
        </w:rPr>
        <w:tab/>
      </w:r>
      <w:r>
        <w:rPr>
          <w:rFonts w:ascii="Times New Roman" w:cs="Times New Roman" w:eastAsia="Times New Roman" w:hAnsi="Times New Roman"/>
          <w:sz w:val="18"/>
          <w:szCs w:val="18"/>
          <w:color w:val="auto"/>
        </w:rPr>
        <w:t>The SBA 7(a) portfolio includes loans originated under the federal Section 7(a) loan program (the “SBA 7(a) Program”), i.e., SBA 7(a) loans. The SBA is an independent government agency that facilitates one of the nation’s largest sources of SMB financing by providing credit guarantees for its loan programs. SBA 7(a) loans are partially guaranteed by the SBA, with SBA guarantees typically ranging between 50% and 90% of the principal and interest due. Under the SBA’s 7(a) Program, a bank or other lender licensed by the SBA may underwrite loans between $5.0 thousand and $5.0 million for a variety of general business purposes based on the SBA’s loan program requirements. The guaranteed portion of the loans are HFS and carried at LCM and therefore are not subject to CECL. The unguaranteed portion of the loans that are held on balance sheet at amortized cost are subject to CECL. In the context of CECL, these SBA 7(a) loans are held at Newtek Bank.</w:t>
      </w:r>
    </w:p>
    <w:p>
      <w:pPr>
        <w:spacing w:after="0" w:line="202" w:lineRule="exact"/>
        <w:rPr>
          <w:sz w:val="20"/>
          <w:szCs w:val="20"/>
          <w:color w:val="auto"/>
        </w:rPr>
      </w:pPr>
    </w:p>
    <w:p>
      <w:pPr>
        <w:ind w:right="60"/>
        <w:spacing w:after="0" w:line="222" w:lineRule="auto"/>
        <w:rPr>
          <w:sz w:val="20"/>
          <w:szCs w:val="20"/>
          <w:color w:val="auto"/>
        </w:rPr>
      </w:pPr>
      <w:r>
        <w:rPr>
          <w:rFonts w:ascii="Times New Roman" w:cs="Times New Roman" w:eastAsia="Times New Roman" w:hAnsi="Times New Roman"/>
          <w:sz w:val="18"/>
          <w:szCs w:val="18"/>
          <w:i w:val="1"/>
          <w:iCs w:val="1"/>
          <w:color w:val="auto"/>
        </w:rPr>
        <w:t xml:space="preserve">Individually Evaluated Loans. </w:t>
      </w:r>
      <w:r>
        <w:rPr>
          <w:rFonts w:ascii="Times New Roman" w:cs="Times New Roman" w:eastAsia="Times New Roman" w:hAnsi="Times New Roman"/>
          <w:sz w:val="18"/>
          <w:szCs w:val="18"/>
          <w:color w:val="auto"/>
        </w:rPr>
        <w:t>Loans that do not share risk characteristics with existing pools are evaluated on an individual basis. Management defines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loans as nonaccrual loans with exposure above $100 thousand. In the first quarter of 2025, management began evaluating the remaining PCD loans individually. For loans that are individually evaluated and collateral dependent, financial loans where management has determined that foreclosure of the collateral is probable, or where the borrower is experiencing financial difficulty and management expects repayment of the financial asset to be provided substantially through the sale of the collateral, the ACL is measured based on the difference between the fair value of the collateral and the amortized cost basis of the asset as of the measurement date. When repayment is expected to be from the operation of the collateral or going concern, the specific credit loss reserve is calculated as the amount by which the amortized cost basis of the financial asset exceeds the NPV from the operation of the collateral. When repayment is expected to be from the sale of the collateral, the specific credit loss reserve is calculated as the amount by which the amortized costs basis of the financial asset exceeds the fair value of the underlying collateral less estimated cost to sell. The allowance may be zero if the fair value of the collateral at the measurement date exceeds the amortized cost basis of the financial asset.</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Accrued Interest. </w:t>
      </w:r>
      <w:r>
        <w:rPr>
          <w:rFonts w:ascii="Times New Roman" w:cs="Times New Roman" w:eastAsia="Times New Roman" w:hAnsi="Times New Roman"/>
          <w:sz w:val="18"/>
          <w:szCs w:val="18"/>
          <w:color w:val="auto"/>
        </w:rPr>
        <w:t>Upon the Acquisition and adoption of CECL, the Company made the following elections regarding accrued interest receivable: (1) presented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accrued interest receivable balances separately within other assets balance sheet line item; (2) excluded interest receivable that is included in amortized cost of financing receivables from related disclosures requirements and (3) continued our policy to write off accrued interest receivable by reversing interest income. For loans, write off typically occurs upon becoming over 90 to 120 days past due. Generally, accrued interest is reversed when a loan is placed on non-accrual or is written-off. Current year accrued interest is reversed through interest income while accrued interest from prior years is written-off through the ACL. Historically, the Company has not experienced uncollectible accrued interest receivable on investment securities.</w:t>
      </w:r>
    </w:p>
    <w:p>
      <w:pPr>
        <w:spacing w:after="0" w:line="213"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Allowance for off-balance sheet credit exposures. </w:t>
      </w:r>
      <w:r>
        <w:rPr>
          <w:rFonts w:ascii="Times New Roman" w:cs="Times New Roman" w:eastAsia="Times New Roman" w:hAnsi="Times New Roman"/>
          <w:sz w:val="17"/>
          <w:szCs w:val="17"/>
          <w:color w:val="auto"/>
        </w:rPr>
        <w:t>The exposure is a component of other liabilities in the consolidated balance sheet and represents the estimate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probable credit losses inherent in unfunded commitments to extend credit. Unfunded commitments to extend credit include unused portions of lines of credit and standby and commercial letters of credit. The process used to determine the allowance for these exposures is consistent with the process for determining the allowance for loans, as adjusted for estimated funding probabilities or loan equivalency factors. A charge (credit) to provision for credit losses on the consolidated statements of income is made to account for the change in the allowance on off-balance sheet exposures between reporting periods.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 – Available-for Sale (“AFS”) Debt Securities</w:t>
      </w:r>
    </w:p>
    <w:p>
      <w:pPr>
        <w:spacing w:after="0" w:line="246"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The impairment model for AFS debt securities differs from the CECL approach utilized for financial instruments measured at amortized cost because AFS debt securities are measured at fair value. For AFS debt securities in an unrealized loss position, Newtek Bank first assesses whether it intends to sell, or it is more likely than not that it will be required to sell the security before recovery of its amortized cost basis. If either of the criteria regarding intent or requirement to sell is met, the security’s amortized cost basis is written down to fair value through income. For debt securities AFS that do not meet the aforementioned criteria, in making this assessment, management considers the extent to which fair value is less than amortized cost, any changes to the rating of the security by a rating agency, adverse conditions specifically related to the security, failure of the issuer of the debt security to make scheduled interest or principal payments, among other factors. If this assessment indicates that a credit loss exists, the present value of cash flows expected to be collected from the security are compared to the amortized cost basis of the security. The cash flows should be estimated using information relevant to the collectability of the security, including information about past events, current conditions and reasonable and supportable forecasts. If the present value of cash flows expected to be collected is less than the amortized cost basis, a credit loss exists and an allowance for credit losses is recorded for the credit loss, limited by the amount that the fair value is less than the amortized cost basis. Any impairment that has not been recorded through an allowance for credit losses is recognized in other comprehensive income.</w:t>
      </w:r>
    </w:p>
    <w:p>
      <w:pPr>
        <w:spacing w:after="0" w:line="220" w:lineRule="exact"/>
        <w:rPr>
          <w:sz w:val="20"/>
          <w:szCs w:val="20"/>
          <w:color w:val="auto"/>
        </w:rPr>
      </w:pPr>
    </w:p>
    <w:p>
      <w:pPr>
        <w:ind w:right="300"/>
        <w:spacing w:after="0" w:line="253" w:lineRule="auto"/>
        <w:rPr>
          <w:sz w:val="20"/>
          <w:szCs w:val="20"/>
          <w:color w:val="auto"/>
        </w:rPr>
      </w:pPr>
      <w:r>
        <w:rPr>
          <w:rFonts w:ascii="Times New Roman" w:cs="Times New Roman" w:eastAsia="Times New Roman" w:hAnsi="Times New Roman"/>
          <w:sz w:val="18"/>
          <w:szCs w:val="18"/>
          <w:color w:val="auto"/>
        </w:rPr>
        <w:t>Changes in the allowance for credit losses are recorded as provision for (or reversal of) credit loss expense. Losses are charged against the allowance when management believes the AFS security is uncollectible or when either of the criteria regarding intent or requirement to sell is met. As of June 30, 2025 and 2024, the Company determined that the unrealized loss positions in the AFS securities were not the result of credit losses, and therefore, an allowance for credit losses was not recorded.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Interest Receivable</w:t>
      </w:r>
    </w:p>
    <w:p>
      <w:pPr>
        <w:spacing w:after="0" w:line="246"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Upon the Acquisition and adoption of CECL, the Company made the following elections regarding accrued interest receivable: (1) presented accrued interest receivable balances separately within other assets balance sheet line item; (2) excluded interest receivable that is included in amortized cost of financing receivables from related disclosures requirements and (3) continued our policy to write-off accrued interest receivable by reversing interest income. For loans, write-off typically occurs upon becoming over 90 to 120 days past due. Historically, the Company has not experienced uncollectible accrued interest receivable on investment securities.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Settlement Receivable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Settlement receivable represents amounts due from third parties for guaranteed portions of SBA 7(a) loans which have been sold at period-end but have not yet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settled. The guaranteed portion of SBA 7(a) loan principal balances that have been sold but not yet settled as of June 30, 2025 and December 31, 2024 was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$17.9 million and $47.4 million, respectively. The settlement receivable also includes $1.8 million and $5.0 million of premiums, which have been recognized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Net Gains on Sales of Loans as of June 30, 2025 and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4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Deferred tax assets and liabilities are computed based upon the differences between the financial statement and income tax basis of assets and liabilities using the enacted tax rates in effect for the year in which those temporary differences are expected to be realized or settled. If available evidence suggests that it is more likely than not that some portion or all of the deferred tax assets will not be realized, a valuation allowance is required to reduce the deferred tax assets to the amount that is more likely than not to be realized. See NOTE 17—INCOME TAXES</w:t>
      </w:r>
      <w:r>
        <w:rPr>
          <w:rFonts w:ascii="Times New Roman" w:cs="Times New Roman" w:eastAsia="Times New Roman" w:hAnsi="Times New Roman"/>
          <w:sz w:val="18"/>
          <w:szCs w:val="18"/>
          <w:b w:val="1"/>
          <w:bCs w:val="1"/>
          <w:color w:val="auto"/>
        </w:rPr>
        <w:t>.</w:t>
      </w:r>
    </w:p>
    <w:p>
      <w:pPr>
        <w:spacing w:after="0" w:line="21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income tax expense, deferred tax assets and liabilities, and reserves for unrecognized tax benefits reflect management’s best assessment of estimated current and future taxes to be paid. We are subject to income taxes in the United States and its political subdivisions. Significant judgments and estimates are required in determining the consolidated income tax expense.</w:t>
      </w:r>
    </w:p>
    <w:p>
      <w:pPr>
        <w:spacing w:after="0" w:line="20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Company’s U.S. federal and state income tax returns prior to fiscal year 2021 are generally closed, and management continually evaluates expiring statutes of limitations, audits, proposed settlements, changes in tax law and new authoritative rulings. Interest and penalties assessed by tax jurisdictions for income tax matters are presented as income tax expense on the consolidated statement of income.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4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7"/>
          <w:szCs w:val="17"/>
          <w:i w:val="1"/>
          <w:iCs w:val="1"/>
          <w:color w:val="auto"/>
        </w:rPr>
        <w:t xml:space="preserve">Business Combinations—Joint Venture Formations (ASU 2023-05): </w:t>
      </w:r>
      <w:r>
        <w:rPr>
          <w:rFonts w:ascii="Times New Roman" w:cs="Times New Roman" w:eastAsia="Times New Roman" w:hAnsi="Times New Roman"/>
          <w:sz w:val="17"/>
          <w:szCs w:val="17"/>
          <w:color w:val="auto"/>
        </w:rPr>
        <w:t>In August 2023, the FASB issued ASU 2023-05, Business Combinations – Joint Venture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Formations (Subtopic 805-60). The amendments in this Update address the accounting for contributions made to a joint venture, upon formation, in a joint venture’s separate financial statements. The objectives of the amendments are to (1) provide decision-useful information to investors and other allocators of capital (collectively, investors) in a joint venture’s financial statements and (2) reduce diversity in practice. The amendments in this Update are effective prospectively for all joint venture formations with a formation date on or after January 1, 2025. Additionally, a joint venture that was formed before January 1, 2025, may elect to apply the amendments retrospectively if it has sufficient information. Early adoption is permitted in any interim or annual period in which financial statements have not yet been issued (or made available for issuance), either prospectively or retrospectively. The Company adopted this guidance as of January 1, 2025 and the adoption of this standard is not expected to a have a material impact on its consolidated financial statements.</w:t>
      </w:r>
    </w:p>
    <w:p>
      <w:pPr>
        <w:spacing w:after="0" w:line="209"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Improvements to Income Tax Disclosures (ASU 2023-09): </w:t>
      </w:r>
      <w:r>
        <w:rPr>
          <w:rFonts w:ascii="Times New Roman" w:cs="Times New Roman" w:eastAsia="Times New Roman" w:hAnsi="Times New Roman"/>
          <w:sz w:val="18"/>
          <w:szCs w:val="18"/>
          <w:color w:val="auto"/>
        </w:rPr>
        <w:t>In December 2023, the FASB issued ASU 2023-09, Income Taxes (Topic 740): Improvements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 Disclosures. The purpose of this guidance is to enhance the rate reconciliation and income taxes paid disclosures. This ASU requires that an entity disclose, on an annual basis, specific categories in the rate reconciliation and provide additional information for reconciling items that meet a quantitative threshold. For the state and local income tax category of the rate reconciliation, entities must disclose a qualitative description of the states and local jurisdictions that make up the majority (greater than 50 percent) of the category. For the income taxes paid disclosures, entities will be required to disclose, on an annual basis, the amount of income taxes paid (net of refunds received) disaggregated by federal, state, and foreign taxes. The amendments must be applied using either a prospective or retrospective approach. The Company adopted this guidance as of January 1, 2025, which will result in enhanced income tax disclosures within the consolidated financial statements beginning with its December 31, 2025 Form 10-K.</w:t>
      </w:r>
    </w:p>
    <w:p>
      <w:pPr>
        <w:spacing w:after="0" w:line="209"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Compensation—Stock Compensation (ASU 2024-01): </w:t>
      </w:r>
      <w:r>
        <w:rPr>
          <w:rFonts w:ascii="Times New Roman" w:cs="Times New Roman" w:eastAsia="Times New Roman" w:hAnsi="Times New Roman"/>
          <w:sz w:val="17"/>
          <w:szCs w:val="17"/>
          <w:color w:val="auto"/>
        </w:rPr>
        <w:t>In March 2024, the FASB issued ASU 2024-01, Compensation - Stock Compensation (Topic 718),</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Scope Application of Profits Interest and Similar Awards. This standard provides clarity regarding whether profits interest and similar awards are within the scope of Topic 718 of the Accounting Standards Codification. This standard is effective for fiscal years beginning after December 15, 2024. The amendments should be applied retrospectively to all prior periods presented in the financial statements. Early adoption is permitted. The Company adopted ASU 2024-01 on January 1, 2025 and the adoption of this standard is not expected to a have a material impact on its consolidated financial statements.</w:t>
      </w:r>
    </w:p>
    <w:p>
      <w:pPr>
        <w:spacing w:after="0" w:line="189"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Liabilities (405): Amendments to SEC Paragraphs Pursuant to SEC Staff Accounting Bulletin No. 122 (ASU 2025-02): </w:t>
      </w:r>
      <w:r>
        <w:rPr>
          <w:rFonts w:ascii="Times New Roman" w:cs="Times New Roman" w:eastAsia="Times New Roman" w:hAnsi="Times New Roman"/>
          <w:sz w:val="18"/>
          <w:szCs w:val="18"/>
          <w:color w:val="auto"/>
        </w:rPr>
        <w:t>In March 2025, the FASB issued 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2025-02. The purpose of this guidance is to amend the Accounting Standards Codification to remove the text of SEC Staff Accounting Bulletin (“SAB”) 121 “Accounting for Obligations to Safeguard Crypto-Assets an Entity Holds for its Platform Users” as it has been rescinded by the issuance of SAB 122. ASU 2025-02 is effective immediately and is not expected to have an impact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Standards</w:t>
      </w:r>
    </w:p>
    <w:p>
      <w:pPr>
        <w:spacing w:after="0" w:line="244"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Income Statement-Reporting Comprehensive Income-Expense Disaggregation Disclosures (ASU 2024-03): </w:t>
      </w:r>
      <w:r>
        <w:rPr>
          <w:rFonts w:ascii="Times New Roman" w:cs="Times New Roman" w:eastAsia="Times New Roman" w:hAnsi="Times New Roman"/>
          <w:sz w:val="17"/>
          <w:szCs w:val="17"/>
          <w:color w:val="auto"/>
        </w:rPr>
        <w:t xml:space="preserve">In November 2024, the FASB issued ASU 2024-03, and in January 2025, the FASB issued ASU 2025-01, </w:t>
      </w:r>
      <w:r>
        <w:rPr>
          <w:rFonts w:ascii="Times New Roman" w:cs="Times New Roman" w:eastAsia="Times New Roman" w:hAnsi="Times New Roman"/>
          <w:sz w:val="17"/>
          <w:szCs w:val="17"/>
          <w:i w:val="1"/>
          <w:iCs w:val="1"/>
          <w:color w:val="auto"/>
        </w:rPr>
        <w:t>Income Statement-Reporting Comprehensive Income-Expense Disaggregation Disclosures:</w:t>
      </w:r>
    </w:p>
    <w:p>
      <w:pPr>
        <w:spacing w:after="0" w:line="1"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Clarifying the Effective Date (ASU 2025-01). </w:t>
      </w:r>
      <w:r>
        <w:rPr>
          <w:rFonts w:ascii="Times New Roman" w:cs="Times New Roman" w:eastAsia="Times New Roman" w:hAnsi="Times New Roman"/>
          <w:sz w:val="17"/>
          <w:szCs w:val="17"/>
          <w:color w:val="auto"/>
        </w:rPr>
        <w:t>ASU 2024-03 requires public business entities to disclose, on an annual and interim basis, disaggregated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information about certain income statement expense line items in the notes to the financial statements. Public business entities are required to apply the guidance prospectively and may elect to apply it retrospectively. ASU 2024-03, as clarified by ASU 2025-01, is effective for fiscal years beginning after December 15, 2026, and interim periods within fiscal years beginning after December 15, 2027, with early adoption permitted. The Company is in the process of evaluating the impact of adopting this standard and, at this time, does not anticipate it will have a material impact on its consolidated financial statements.</w:t>
      </w:r>
    </w:p>
    <w:p>
      <w:pPr>
        <w:spacing w:after="0" w:line="20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Debt with Conversion and Other Options (Subtopic 470-20) Induced Conversions of Convertible Debt Instruments (ASU 2024-04): </w:t>
      </w:r>
      <w:r>
        <w:rPr>
          <w:rFonts w:ascii="Times New Roman" w:cs="Times New Roman" w:eastAsia="Times New Roman" w:hAnsi="Times New Roman"/>
          <w:sz w:val="18"/>
          <w:szCs w:val="18"/>
          <w:color w:val="auto"/>
        </w:rPr>
        <w:t>In November 2024,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FASB issued ASU 2024-04, which clarifies the requirements for determining whether certain settlements of convertible debt instruments should be accounted for as induced conversions rather than as debt extinguishments. This update is effective for annual periods beginning after December 15, 2025, including interim periods within those fiscal years, though early adoption is permitted. The Company is in the process of evaluating the impact of adopting this standard and, at this time, does not anticipate it will have a material impact on its consolidated financial statements.</w:t>
      </w:r>
    </w:p>
    <w:p>
      <w:pPr>
        <w:spacing w:after="0" w:line="209"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Business Combinations (Topic 805) and Consolidation (Topic 810)—Determining the Accounting Acquirer in the Acquisition of a Variable Interest Entity (ASU 2025-03): </w:t>
      </w:r>
      <w:r>
        <w:rPr>
          <w:rFonts w:ascii="Times New Roman" w:cs="Times New Roman" w:eastAsia="Times New Roman" w:hAnsi="Times New Roman"/>
          <w:sz w:val="17"/>
          <w:szCs w:val="17"/>
          <w:color w:val="auto"/>
        </w:rPr>
        <w:t>In May 2025, the FASB issued ASU No. 2025-03, which revises current guidance for determining the accounting acquirer for a transaction effected</w:t>
      </w:r>
    </w:p>
    <w:p>
      <w:pPr>
        <w:spacing w:after="0" w:line="1" w:lineRule="exact"/>
        <w:rPr>
          <w:sz w:val="20"/>
          <w:szCs w:val="20"/>
          <w:color w:val="auto"/>
        </w:rPr>
      </w:pPr>
    </w:p>
    <w:p>
      <w:pPr>
        <w:ind w:right="200"/>
        <w:spacing w:after="0" w:line="236" w:lineRule="auto"/>
        <w:rPr>
          <w:sz w:val="20"/>
          <w:szCs w:val="20"/>
          <w:color w:val="auto"/>
        </w:rPr>
      </w:pPr>
      <w:r>
        <w:rPr>
          <w:rFonts w:ascii="Times New Roman" w:cs="Times New Roman" w:eastAsia="Times New Roman" w:hAnsi="Times New Roman"/>
          <w:sz w:val="18"/>
          <w:szCs w:val="18"/>
          <w:color w:val="auto"/>
        </w:rPr>
        <w:t>primarily by exchanging equity interests in which the legal acquiree is a variable interest entity that meets the definition of a business. The amendments require that an entity consider the same factors that are currently required for determining which entity is the accounting acquirer in other acquisition transactions. ASU 2025-03 is effective for the Company’s annual reporting periods beginning after December 15, 2026, and interim reporting periods within those annual reporting periods, with early adoption permitted. ASU 2025-03 is required to be applied prospectively. The Company is evaluating adoption timing and the impact ASU 2025-03 will have on its financial statements and related disclosures.</w:t>
      </w:r>
    </w:p>
    <w:p>
      <w:pPr>
        <w:spacing w:after="0" w:line="205"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Compensation—Stock Compensation (Topic 718) and Revenue from Contracts with Customers (Topic 606)—Clarifications to Share-Based Consideration Payable to a Customer(ASU 2025-04): </w:t>
      </w:r>
      <w:r>
        <w:rPr>
          <w:rFonts w:ascii="Times New Roman" w:cs="Times New Roman" w:eastAsia="Times New Roman" w:hAnsi="Times New Roman"/>
          <w:sz w:val="17"/>
          <w:szCs w:val="17"/>
          <w:color w:val="auto"/>
        </w:rPr>
        <w:t>In May 2025, the FASB issued ASU 2025-04, to reduce diversity in practice and improve the decision usefulness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operability of the guidance for share-based consideration payable to a customer in conjunction with selling goods or services. This update is effective for annual reporting periods (including interim reporting periods within annual reporting periods) beginning after December 15, 2026, though early adoption is permitted. The Company has not engaged in providing share-based compensation to a customer and does not presently anticipate doing so.</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Financial Instruments—Credit Losses (Topic 326): Measurement of Credit Losses for Accounts Receivable and Contract Assets: </w:t>
      </w:r>
      <w:r>
        <w:rPr>
          <w:rFonts w:ascii="Times New Roman" w:cs="Times New Roman" w:eastAsia="Times New Roman" w:hAnsi="Times New Roman"/>
          <w:sz w:val="17"/>
          <w:szCs w:val="17"/>
          <w:color w:val="auto"/>
        </w:rPr>
        <w:t>In July 2025, the FASB issued</w:t>
      </w:r>
    </w:p>
    <w:p>
      <w:pPr>
        <w:spacing w:after="0" w:line="36"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ASU No. 2025-05, which provides a practical expedient when estimating expected credit losses on current accounts receivable and/or current contract assets arising from Transactions under Topic 606, including those assets acquired in a transaction accounted for under Topic 805, Business Combinations. The amendments require that an entity may elect a practical expedient that assumes that current conditions as of the balance sheet date do not change for the remaining life of the asset. ASU 2025-05 is effective for the Company’s annual reporting periods beginning after December 15, 2025, and interim reporting periods within those annual reporting periods, with early adoption permitted. ASU 2025-05 is required to be applied prospectively. The Company is evaluating adoption timing and the impact ASU 2025-05 will have on its financial statements and at this time, does not anticipate it will have a material impact on its consolidated financial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3—SECURITIZATIONS AND VARIABLE INTEREST ENTITIES:</w:t>
      </w:r>
    </w:p>
    <w:p>
      <w:pPr>
        <w:spacing w:after="0" w:line="21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a securitization, the unguaranteed portions of SBA 7(a) loans are transferred to a special purpose vehicle (a “Trust”), which in turn issues notes against the Trust’s assets in private placements. The Trust’s primary source of income for repaying the securitization notes is the cash flows generated from the unguaranteed portion of SBA 7(a) loans owned by the Trust .A Trust is considered to be a VIE.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color w:val="auto"/>
        </w:rPr>
        <w:t>Assets owned by securitization Trusts, which are VIEs, are included in the Company’s consolidated financial statements when the Company has concluded that it is the primary beneficiary of the Trust. The Company therefore consolidates the entities using the carrying amounts of the Trusts’ assets and liabilities and reflects the assets in Restricted cash and Loans held for investment, at fair value and reflects the associated financing in Borrowings on the Consolidated Statements of Financial Condition. The creditors or other beneficial interest holders of Trusts for which the Company is the primary beneficiary generally have recourse only to the assets and cash flows of the Trust and do not have recourse to the Company.</w:t>
      </w:r>
    </w:p>
    <w:p>
      <w:pPr>
        <w:spacing w:after="0" w:line="194" w:lineRule="exact"/>
        <w:rPr>
          <w:sz w:val="20"/>
          <w:szCs w:val="20"/>
          <w:color w:val="auto"/>
        </w:rPr>
      </w:pPr>
    </w:p>
    <w:p>
      <w:pPr>
        <w:ind w:right="240"/>
        <w:spacing w:after="0" w:line="242" w:lineRule="auto"/>
        <w:rPr>
          <w:sz w:val="20"/>
          <w:szCs w:val="20"/>
          <w:color w:val="auto"/>
        </w:rPr>
      </w:pPr>
      <w:r>
        <w:rPr>
          <w:rFonts w:ascii="Times New Roman" w:cs="Times New Roman" w:eastAsia="Times New Roman" w:hAnsi="Times New Roman"/>
          <w:sz w:val="18"/>
          <w:szCs w:val="18"/>
          <w:color w:val="auto"/>
        </w:rPr>
        <w:t>From 2010 through June 2023, NSBF engaged in thirteen (13) securitizations of the unguaranteed portions of its SBA 7(a) loans where management determined the Company was the primary beneficiary and thus consolidated the Trusts. Three (3) of these securitizations remain consolidated as of June 30, 2025. Risks associated with the Company’s involvement with the consolidated Trusts includes potential losses of residual interests in the Trusts.</w:t>
      </w:r>
    </w:p>
    <w:p>
      <w:pPr>
        <w:spacing w:after="0" w:line="193" w:lineRule="exact"/>
        <w:rPr>
          <w:sz w:val="20"/>
          <w:szCs w:val="20"/>
          <w:color w:val="auto"/>
        </w:rPr>
      </w:pPr>
    </w:p>
    <w:p>
      <w:pPr>
        <w:ind w:right="340"/>
        <w:spacing w:after="0" w:line="255" w:lineRule="auto"/>
        <w:rPr>
          <w:sz w:val="20"/>
          <w:szCs w:val="20"/>
          <w:color w:val="auto"/>
        </w:rPr>
      </w:pPr>
      <w:r>
        <w:rPr>
          <w:rFonts w:ascii="Times New Roman" w:cs="Times New Roman" w:eastAsia="Times New Roman" w:hAnsi="Times New Roman"/>
          <w:sz w:val="18"/>
          <w:szCs w:val="18"/>
          <w:color w:val="auto"/>
        </w:rPr>
        <w:t>The following table presents the total assets and total liabilities associated with the Company’s variable interests in consolidated Trusts, as classified in the consolidated statements of financial condition: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60" w:type="dxa"/>
            <w:vAlign w:val="bottom"/>
          </w:tcPr>
          <w:p>
            <w:pPr>
              <w:spacing w:after="0"/>
              <w:rPr>
                <w:sz w:val="20"/>
                <w:szCs w:val="20"/>
                <w:color w:val="auto"/>
              </w:rPr>
            </w:pPr>
          </w:p>
        </w:tc>
        <w:tc>
          <w:tcPr>
            <w:tcW w:w="198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45"/>
        </w:trPr>
        <w:tc>
          <w:tcPr>
            <w:tcW w:w="668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8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980" w:type="dxa"/>
            <w:vAlign w:val="bottom"/>
            <w:tcBorders>
              <w:top w:val="single" w:sz="8" w:color="auto"/>
            </w:tcBorders>
          </w:tcPr>
          <w:p>
            <w:pPr>
              <w:spacing w:after="0"/>
              <w:rPr>
                <w:sz w:val="21"/>
                <w:szCs w:val="21"/>
                <w:color w:val="auto"/>
              </w:rPr>
            </w:pPr>
          </w:p>
        </w:tc>
      </w:tr>
      <w:tr>
        <w:trPr>
          <w:trHeight w:val="225"/>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6,303</w:t>
            </w:r>
          </w:p>
        </w:tc>
      </w:tr>
      <w:tr>
        <w:trPr>
          <w:trHeight w:val="225"/>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Loans held for investment, at fair value</w:t>
            </w:r>
          </w:p>
        </w:tc>
        <w:tc>
          <w:tcPr>
            <w:tcW w:w="3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227,776</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257,179</w:t>
            </w:r>
          </w:p>
        </w:tc>
      </w:tr>
      <w:tr>
        <w:trPr>
          <w:trHeight w:val="243"/>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234,079</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263,482</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r>
        <w:trPr>
          <w:trHeight w:val="211"/>
        </w:trPr>
        <w:tc>
          <w:tcPr>
            <w:tcW w:w="6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25"/>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157,439</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186,635</w:t>
            </w:r>
          </w:p>
        </w:tc>
      </w:tr>
      <w:tr>
        <w:trPr>
          <w:trHeight w:val="218"/>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157,439</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186,635</w:t>
            </w:r>
          </w:p>
        </w:tc>
      </w:tr>
      <w:tr>
        <w:trPr>
          <w:trHeight w:val="20"/>
        </w:trPr>
        <w:tc>
          <w:tcPr>
            <w:tcW w:w="6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8"/>
          <w:szCs w:val="18"/>
          <w:color w:val="auto"/>
        </w:rPr>
        <w:t>Assets owned by securitization Trusts, which are VIEs, are not included in the Company’s consolidated financial statements financial statements when the Company has concluded that it is not the primary beneficiary of the Trust and the transfer of the financial assets meet the sale criteria of ASC 860. As the beneficial interests in these securitizations meet the definition of a debt security, pertain to securitized financial assets and based on other criteria met, it falls under the scope of ASC 325-40. This guidance also permits an entity to elect to account for the beneficial interests under the fair value option. The Company has made the irrevocable decision to measure the beneficial interests using the fair value option under ASC 825 with changes in fair value recognized in earnings each reporting period.</w:t>
      </w:r>
    </w:p>
    <w:p>
      <w:pPr>
        <w:spacing w:after="0" w:line="181"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8"/>
          <w:szCs w:val="18"/>
          <w:color w:val="auto"/>
        </w:rPr>
        <w:t>On April 23, 2025, the Company’s subsidiary Newtek ALP Holdings closed a securitization pursuant to which it sold $155,930,000 of Class A Notes, $23,820,000 of Class B Notes, and $4,330,000 of a Class C Note (collectively, the “2025-1 Notes”) issued by NALP Business Loan Trust 2025-1 (the “Securitization Trust”). The 2025-1 Notes were backed by $216,564,700 of collateral, consisting of Newtek ALP Holdings originated ALP loans. The Class A Notes received a Morningstar DBRS rating of “A (low) (sf)” and were priced at a yield of 6.338%; the Class B Notes received a Morningstar DBRS rating of “BBB (sf)” and were priced at a yield of 7.838%; and the Class C Note received a Morningstar DBRS rating of “BB (sf)” and was priced at a yield of 10.338%. The 2025-1 Notes had a weighted average yield of 6.62% and an 85% advance rate.</w:t>
      </w:r>
    </w:p>
    <w:p>
      <w:pPr>
        <w:spacing w:after="0" w:line="181"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8"/>
          <w:szCs w:val="18"/>
          <w:color w:val="auto"/>
        </w:rPr>
        <w:t>The 2025-1 Trust meets the definition of a VIE and the Company holds a variable interest in the 2025-1 Trust, however, the Company is not considered the primary beneficiary of the 2025-1 Trust, because the power over the activities that have the most significant impact on the economic performance of the Securitization Trust is held by a single noteholder who has the ability to remove the Company as decision maker over the activities that most significantly impact the economic performance of the 2025-1 Trust. Consequently the Company is not required to consolidate the 2025-1 Trust. The Company’s beneficial interest in the 2025-1 Trust is evidenced by sole ownership of the Ownership Certificate and its beneficial interest in the credit risk of the securitized ALP Loans. Newtek ALP Holdings, the sponsor of the Securitization Trust, is a wholly owned subsidiary of the Company, therefore the Company effectively owns 100% of the equity interest in the 2025-1Trust.</w:t>
      </w:r>
    </w:p>
    <w:p>
      <w:pPr>
        <w:spacing w:after="0" w:line="183" w:lineRule="exact"/>
        <w:rPr>
          <w:sz w:val="20"/>
          <w:szCs w:val="20"/>
          <w:color w:val="auto"/>
        </w:rPr>
      </w:pPr>
    </w:p>
    <w:p>
      <w:pPr>
        <w:ind w:right="240"/>
        <w:spacing w:after="0" w:line="243" w:lineRule="auto"/>
        <w:rPr>
          <w:sz w:val="20"/>
          <w:szCs w:val="20"/>
          <w:color w:val="auto"/>
        </w:rPr>
      </w:pPr>
      <w:r>
        <w:rPr>
          <w:rFonts w:ascii="Times New Roman" w:cs="Times New Roman" w:eastAsia="Times New Roman" w:hAnsi="Times New Roman"/>
          <w:sz w:val="18"/>
          <w:szCs w:val="18"/>
          <w:color w:val="auto"/>
        </w:rPr>
        <w:t>The Company’s continuing involvement with and exposure to loss from the VIEs includes the carrying value of the retained interest, the servicing asset recognized in the sale of the loans, servicing advances in the role as servicer, and obligations under representations and warranties contained in the loan sale agreements. Creditors of the 2025-1 Trust have no recourse to the Company’s assets or general credit. The underlying performance of the ALP loans transferred to the Trust has a direct impact on the fair values and cash flows of the beneficial interests held and the servicing asset recognized.</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600"/>
        <w:spacing w:after="0" w:line="250" w:lineRule="auto"/>
        <w:rPr>
          <w:sz w:val="20"/>
          <w:szCs w:val="20"/>
          <w:color w:val="auto"/>
        </w:rPr>
      </w:pPr>
      <w:r>
        <w:rPr>
          <w:rFonts w:ascii="Times New Roman" w:cs="Times New Roman" w:eastAsia="Times New Roman" w:hAnsi="Times New Roman"/>
          <w:sz w:val="18"/>
          <w:szCs w:val="18"/>
          <w:color w:val="auto"/>
        </w:rPr>
        <w:t>The Company’s investments in the unconsolidated 2025-1 Trust is accounted for using the fair value option under ASC 825, with changes in fair value recognized in earnings each reporting period, and is classified in Residuals in securitizations, at fair value in the Company’s consolidated statements of financial condition, and consisted of the following:</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8"/>
          </w:tcPr>
          <w:p>
            <w:pPr>
              <w:ind w:left="68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5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7"/>
          </w:tcPr>
          <w:p>
            <w:pPr>
              <w:ind w:left="52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Maximum</w:t>
            </w:r>
          </w:p>
        </w:tc>
        <w:tc>
          <w:tcPr>
            <w:tcW w:w="120" w:type="dxa"/>
            <w:vAlign w:val="bottom"/>
          </w:tcPr>
          <w:p>
            <w:pPr>
              <w:spacing w:after="0"/>
              <w:rPr>
                <w:sz w:val="21"/>
                <w:szCs w:val="21"/>
                <w:color w:val="auto"/>
              </w:rPr>
            </w:pPr>
          </w:p>
        </w:tc>
        <w:tc>
          <w:tcPr>
            <w:tcW w:w="1220" w:type="dxa"/>
            <w:vAlign w:val="bottom"/>
          </w:tcPr>
          <w:p>
            <w:pPr>
              <w:jc w:val="center"/>
              <w:ind w:right="34"/>
              <w:spacing w:after="0"/>
              <w:rPr>
                <w:sz w:val="20"/>
                <w:szCs w:val="20"/>
                <w:color w:val="auto"/>
              </w:rPr>
            </w:pPr>
            <w:r>
              <w:rPr>
                <w:rFonts w:ascii="Times New Roman" w:cs="Times New Roman" w:eastAsia="Times New Roman" w:hAnsi="Times New Roman"/>
                <w:sz w:val="18"/>
                <w:szCs w:val="18"/>
                <w:b w:val="1"/>
                <w:bCs w:val="1"/>
                <w:color w:val="auto"/>
                <w:w w:val="97"/>
              </w:rPr>
              <w:t>Total Assets in</w:t>
            </w:r>
          </w:p>
        </w:tc>
        <w:tc>
          <w:tcPr>
            <w:tcW w:w="0" w:type="dxa"/>
            <w:vAlign w:val="bottom"/>
          </w:tcPr>
          <w:p>
            <w:pPr>
              <w:spacing w:after="0"/>
              <w:rPr>
                <w:sz w:val="1"/>
                <w:szCs w:val="1"/>
                <w:color w:val="auto"/>
              </w:rPr>
            </w:pPr>
          </w:p>
        </w:tc>
      </w:tr>
      <w:tr>
        <w:trPr>
          <w:trHeight w:val="238"/>
        </w:trPr>
        <w:tc>
          <w:tcPr>
            <w:tcW w:w="5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Transfer of loans - sale treatment</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Exposure to Loss</w:t>
            </w:r>
          </w:p>
        </w:tc>
        <w:tc>
          <w:tcPr>
            <w:tcW w:w="120" w:type="dxa"/>
            <w:vAlign w:val="bottom"/>
          </w:tcPr>
          <w:p>
            <w:pPr>
              <w:spacing w:after="0"/>
              <w:rPr>
                <w:sz w:val="20"/>
                <w:szCs w:val="20"/>
                <w:color w:val="auto"/>
              </w:rPr>
            </w:pPr>
          </w:p>
        </w:tc>
        <w:tc>
          <w:tcPr>
            <w:tcW w:w="1220" w:type="dxa"/>
            <w:vAlign w:val="bottom"/>
          </w:tcPr>
          <w:p>
            <w:pPr>
              <w:jc w:val="center"/>
              <w:ind w:right="14"/>
              <w:spacing w:after="0"/>
              <w:rPr>
                <w:sz w:val="20"/>
                <w:szCs w:val="20"/>
                <w:color w:val="auto"/>
              </w:rPr>
            </w:pPr>
            <w:r>
              <w:rPr>
                <w:rFonts w:ascii="Times New Roman" w:cs="Times New Roman" w:eastAsia="Times New Roman" w:hAnsi="Times New Roman"/>
                <w:sz w:val="18"/>
                <w:szCs w:val="18"/>
                <w:b w:val="1"/>
                <w:bCs w:val="1"/>
                <w:color w:val="auto"/>
                <w:w w:val="99"/>
              </w:rPr>
              <w:t>VIE</w:t>
            </w:r>
          </w:p>
        </w:tc>
        <w:tc>
          <w:tcPr>
            <w:tcW w:w="0" w:type="dxa"/>
            <w:vAlign w:val="bottom"/>
          </w:tcPr>
          <w:p>
            <w:pPr>
              <w:spacing w:after="0"/>
              <w:rPr>
                <w:sz w:val="1"/>
                <w:szCs w:val="1"/>
                <w:color w:val="auto"/>
              </w:rPr>
            </w:pPr>
          </w:p>
        </w:tc>
      </w:tr>
      <w:tr>
        <w:trPr>
          <w:trHeight w:val="205"/>
        </w:trPr>
        <w:tc>
          <w:tcPr>
            <w:tcW w:w="56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Retained interests</w:t>
            </w:r>
          </w:p>
        </w:tc>
        <w:tc>
          <w:tcPr>
            <w:tcW w:w="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77,701</w:t>
            </w:r>
          </w:p>
        </w:tc>
        <w:tc>
          <w:tcPr>
            <w:tcW w:w="4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213,307</w:t>
            </w:r>
          </w:p>
        </w:tc>
        <w:tc>
          <w:tcPr>
            <w:tcW w:w="0" w:type="dxa"/>
            <w:vAlign w:val="bottom"/>
          </w:tcPr>
          <w:p>
            <w:pPr>
              <w:spacing w:after="0"/>
              <w:rPr>
                <w:sz w:val="1"/>
                <w:szCs w:val="1"/>
                <w:color w:val="auto"/>
              </w:rPr>
            </w:pPr>
          </w:p>
        </w:tc>
      </w:tr>
      <w:tr>
        <w:trPr>
          <w:trHeight w:val="541"/>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4—INVESTMENTS:</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Investments consisted of the following at:</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5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80" w:type="dxa"/>
            <w:vAlign w:val="bottom"/>
            <w:gridSpan w:val="7"/>
          </w:tcPr>
          <w:p>
            <w:pPr>
              <w:ind w:left="6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60" w:type="dxa"/>
            <w:vAlign w:val="bottom"/>
            <w:gridSpan w:val="5"/>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4"/>
        </w:trPr>
        <w:tc>
          <w:tcPr>
            <w:tcW w:w="5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6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31"/>
        </w:trPr>
        <w:tc>
          <w:tcPr>
            <w:tcW w:w="5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Residuals in securitizations, at fair value (NOTE 3)</w:t>
            </w:r>
          </w:p>
        </w:tc>
        <w:tc>
          <w:tcPr>
            <w:tcW w:w="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32,481</w:t>
            </w:r>
          </w:p>
        </w:tc>
        <w:tc>
          <w:tcPr>
            <w:tcW w:w="4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77,701</w:t>
            </w:r>
          </w:p>
        </w:tc>
        <w:tc>
          <w:tcPr>
            <w:tcW w:w="20" w:type="dxa"/>
            <w:vAlign w:val="bottom"/>
            <w:shd w:val="clear" w:color="auto" w:fill="CCEEFF"/>
          </w:tcPr>
          <w:p>
            <w:pPr>
              <w:spacing w:after="0"/>
              <w:rPr>
                <w:sz w:val="20"/>
                <w:szCs w:val="20"/>
                <w:color w:val="auto"/>
              </w:rPr>
            </w:pPr>
          </w:p>
        </w:tc>
        <w:tc>
          <w:tcPr>
            <w:tcW w:w="3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Joint ventures and other non-control investments, at fair value</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54,493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57,678</w:t>
            </w:r>
          </w:p>
        </w:tc>
        <w:tc>
          <w:tcPr>
            <w:tcW w:w="0" w:type="dxa"/>
            <w:vAlign w:val="bottom"/>
          </w:tcPr>
          <w:p>
            <w:pPr>
              <w:spacing w:after="0"/>
              <w:rPr>
                <w:sz w:val="1"/>
                <w:szCs w:val="1"/>
                <w:color w:val="auto"/>
              </w:rPr>
            </w:pPr>
          </w:p>
        </w:tc>
      </w:tr>
      <w:tr>
        <w:trPr>
          <w:trHeight w:val="225"/>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securities available-for-sale, at fair value</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23,916</w:t>
            </w:r>
          </w:p>
        </w:tc>
        <w:tc>
          <w:tcPr>
            <w:tcW w:w="0" w:type="dxa"/>
            <w:vAlign w:val="bottom"/>
          </w:tcPr>
          <w:p>
            <w:pPr>
              <w:spacing w:after="0"/>
              <w:rPr>
                <w:sz w:val="1"/>
                <w:szCs w:val="1"/>
                <w:color w:val="auto"/>
              </w:rPr>
            </w:pPr>
          </w:p>
        </w:tc>
      </w:tr>
      <w:tr>
        <w:trPr>
          <w:trHeight w:val="225"/>
        </w:trPr>
        <w:tc>
          <w:tcPr>
            <w:tcW w:w="56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Federal Home Loan Bank and Federal Reserve Bank stock</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3,937</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30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105,148</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164,004</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71,558</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85,179</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Investments in Joint Ventures (JV) and Other Non-Control Investments</w:t>
      </w:r>
    </w:p>
    <w:p>
      <w:pPr>
        <w:spacing w:after="0" w:line="244"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7"/>
          <w:szCs w:val="17"/>
          <w:color w:val="auto"/>
        </w:rPr>
        <w:t>NCL JV: On May 20, 2019, the Company and its joint venture partner launched NCL JV to provide ALP loans (formerly referred to as non-conforming conventional commercial and industrial term loans) to U.S. middle-market companies and small businesses. NCL JV is a 50/50 joint venture between NCL, a wholly-owned subsidiary of the Company, and Conventional Lending TCP Holding, LLC, a wholly-owned, indirect subsidiary of BlackRock TCP Capital Corp. (Nasdaq: TCPC). NCL JV ceased funding new ALP loans during 2020. On January 28, 2022, NCL JV closed a securitization with the sale of</w:t>
      </w:r>
    </w:p>
    <w:p>
      <w:pPr>
        <w:ind w:right="20"/>
        <w:spacing w:after="0" w:line="246" w:lineRule="auto"/>
        <w:rPr>
          <w:sz w:val="20"/>
          <w:szCs w:val="20"/>
          <w:color w:val="auto"/>
        </w:rPr>
      </w:pPr>
      <w:r>
        <w:rPr>
          <w:rFonts w:ascii="Times New Roman" w:cs="Times New Roman" w:eastAsia="Times New Roman" w:hAnsi="Times New Roman"/>
          <w:sz w:val="18"/>
          <w:szCs w:val="18"/>
          <w:color w:val="auto"/>
        </w:rPr>
        <w:t>$56.3 million of Class A Notes, NCL Business Loan Trust 2022-1, Business Loan-Backed Notes, Series 2022-1, secured by a segregated asset pool consisting primarily of NCL JV’s portfolio of ALP loans secured by liens on commercial or residential mortgaged properties, originated by NCL JV and NBL. The Notes were rated “A” (sf) by DBRS Morningstar. The Notes were priced at a yield of 3.209%. The proceeds of the securitization were used, in part, to repay NCL JV’s credit facility and return capital to the NCL JV partners. In July 2025, NCL JV notified the trustee of the NCL Business Loan Trust 2022-1 that the NCL Business Loan Trust 2022-1 would be terminated in August 2025 as a result of the Class A Noteholders being re-paid in full.</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tables show certain summarized financial information for NCL JV:</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0"/>
        </w:trPr>
        <w:tc>
          <w:tcPr>
            <w:tcW w:w="20" w:type="dxa"/>
            <w:vAlign w:val="bottom"/>
          </w:tcPr>
          <w:p>
            <w:pPr>
              <w:spacing w:after="0"/>
              <w:rPr>
                <w:sz w:val="24"/>
                <w:szCs w:val="24"/>
                <w:color w:val="auto"/>
              </w:rPr>
            </w:pPr>
          </w:p>
        </w:tc>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Selected Statements of Assets and Liabilities Information (Unaudited)</w:t>
            </w:r>
          </w:p>
        </w:tc>
        <w:tc>
          <w:tcPr>
            <w:tcW w:w="260" w:type="dxa"/>
            <w:vAlign w:val="bottom"/>
          </w:tcPr>
          <w:p>
            <w:pPr>
              <w:spacing w:after="0"/>
              <w:rPr>
                <w:sz w:val="24"/>
                <w:szCs w:val="24"/>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24"/>
                <w:szCs w:val="24"/>
                <w:color w:val="auto"/>
              </w:rPr>
            </w:pPr>
          </w:p>
        </w:tc>
        <w:tc>
          <w:tcPr>
            <w:tcW w:w="14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at FV (amortized cost of $32,562 and $52,751, respectively)</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0"/>
                <w:szCs w:val="20"/>
                <w:color w:val="auto"/>
              </w:rPr>
            </w:pPr>
          </w:p>
        </w:tc>
        <w:tc>
          <w:tcPr>
            <w:tcW w:w="78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40,766</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Securitization notes payable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7860" w:type="dxa"/>
            <w:vAlign w:val="bottom"/>
            <w:vMerge w:val="continue"/>
          </w:tcPr>
          <w:p>
            <w:pPr>
              <w:spacing w:after="0"/>
              <w:rPr>
                <w:sz w:val="17"/>
                <w:szCs w:val="17"/>
                <w:color w:val="auto"/>
              </w:rPr>
            </w:pPr>
          </w:p>
        </w:tc>
        <w:tc>
          <w:tcPr>
            <w:tcW w:w="260" w:type="dxa"/>
            <w:vAlign w:val="bottom"/>
          </w:tcPr>
          <w:p>
            <w:pPr>
              <w:jc w:val="right"/>
              <w:ind w:right="52"/>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7,678</w:t>
            </w:r>
          </w:p>
        </w:tc>
        <w:tc>
          <w:tcPr>
            <w:tcW w:w="80" w:type="dxa"/>
            <w:vAlign w:val="bottom"/>
          </w:tcPr>
          <w:p>
            <w:pPr>
              <w:spacing w:after="0"/>
              <w:rPr>
                <w:sz w:val="17"/>
                <w:szCs w:val="17"/>
                <w:color w:val="auto"/>
              </w:rPr>
            </w:pPr>
          </w:p>
        </w:tc>
        <w:tc>
          <w:tcPr>
            <w:tcW w:w="1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25,322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26,189</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net assets</w:t>
            </w: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40,766</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Selected Statements of Operations Information</w:t>
      </w:r>
    </w:p>
    <w:tbl>
      <w:tblPr>
        <w:tblLayout w:type="fixed"/>
        <w:tblInd w:w="20" w:type="dxa"/>
        <w:tblCellMar>
          <w:top w:w="0" w:type="dxa"/>
          <w:left w:w="0" w:type="dxa"/>
          <w:bottom w:w="0" w:type="dxa"/>
          <w:right w:w="0" w:type="dxa"/>
        </w:tblCellMar>
      </w:tblPr>
      <w:tr>
        <w:trPr>
          <w:trHeight w:val="22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760" w:type="dxa"/>
            <w:vAlign w:val="bottom"/>
            <w:tcBorders>
              <w:bottom w:val="single" w:sz="8" w:color="auto"/>
            </w:tcBorders>
            <w:gridSpan w:val="4"/>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4"/>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85"/>
        </w:trPr>
        <w:tc>
          <w:tcPr>
            <w:tcW w:w="44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4"/>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1020" w:type="dxa"/>
            <w:vAlign w:val="bottom"/>
            <w:shd w:val="clear" w:color="auto" w:fill="CCEEFF"/>
          </w:tcPr>
          <w:p>
            <w:pPr>
              <w:jc w:val="right"/>
              <w:ind w:right="82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w:t>
            </w:r>
          </w:p>
        </w:tc>
      </w:tr>
      <w:tr>
        <w:trPr>
          <w:trHeight w:val="225"/>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w:t>
            </w:r>
          </w:p>
        </w:tc>
      </w:tr>
      <w:tr>
        <w:trPr>
          <w:trHeight w:val="218"/>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w:t>
            </w:r>
          </w:p>
        </w:tc>
      </w:tr>
      <w:tr>
        <w:trPr>
          <w:trHeight w:val="225"/>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Unrealized (depreciation) appreciation on investments</w:t>
            </w: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(5,171)</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(3,966)</w:t>
            </w: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w:t>
            </w:r>
          </w:p>
        </w:tc>
      </w:tr>
      <w:tr>
        <w:trPr>
          <w:trHeight w:val="243"/>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Net (decrease) increase in net assets resulting from operations</w:t>
            </w:r>
          </w:p>
        </w:tc>
        <w:tc>
          <w:tcPr>
            <w:tcW w:w="1020" w:type="dxa"/>
            <w:vAlign w:val="bottom"/>
            <w:tcBorders>
              <w:bottom w:val="single" w:sz="8" w:color="auto"/>
            </w:tcBorders>
            <w:shd w:val="clear" w:color="auto" w:fill="CCEEFF"/>
          </w:tcPr>
          <w:p>
            <w:pPr>
              <w:jc w:val="right"/>
              <w:ind w:right="82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5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8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TSO JV: On August 5, 2022, NCL and TSO II Booster Aggregator, L.P. (“TSO II”) entered into a joint venture, TSO JV, and began making investments in ALP loans during the fourth quarter of 2022. NCL and TSO II each committed to contribute an equal share of equity funding to the TSO JV and each have equal voting rights on all material matters. On July 23, 2024, TSO JV closed a securitization backed by ALP loans, selling $137.2 million of Class A Notes and $17.2 million of Class B Notes (collectively, the “TSO Notes”) issued by NALP Business Loan Trust 2024-1. The TSO Notes were backed by $190.5 million of collateral, consisting of Company originated ALP loans. The Class A and Class B Notes received Morningstar DBRS ratings of “A (sf)” and “BBB (high) (sf),” respectively. TSO JV ceased investing in new ALP loans in July 2023.</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show certain summarized financial information for TSO JV:</w:t>
      </w:r>
    </w:p>
    <w:p>
      <w:pPr>
        <w:spacing w:after="0" w:line="280"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6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Selected Statements of Assets and Liabilities Information (Unaudited)</w:t>
            </w: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18"/>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5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0" w:type="dxa"/>
            <w:vAlign w:val="bottom"/>
          </w:tcPr>
          <w:p>
            <w:pPr>
              <w:spacing w:after="0"/>
              <w:rPr>
                <w:sz w:val="1"/>
                <w:szCs w:val="1"/>
                <w:color w:val="auto"/>
              </w:rPr>
            </w:pPr>
          </w:p>
        </w:tc>
      </w:tr>
      <w:tr>
        <w:trPr>
          <w:trHeight w:val="225"/>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18,399</w:t>
            </w:r>
          </w:p>
        </w:tc>
        <w:tc>
          <w:tcPr>
            <w:tcW w:w="0" w:type="dxa"/>
            <w:vAlign w:val="bottom"/>
          </w:tcPr>
          <w:p>
            <w:pPr>
              <w:spacing w:after="0"/>
              <w:rPr>
                <w:sz w:val="1"/>
                <w:szCs w:val="1"/>
                <w:color w:val="auto"/>
              </w:rPr>
            </w:pPr>
          </w:p>
        </w:tc>
      </w:tr>
      <w:tr>
        <w:trPr>
          <w:trHeight w:val="225"/>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Loans, at FV (amortized cost of $165,159 and $173,654, respectively)</w:t>
            </w: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183,694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183,084</w:t>
            </w:r>
          </w:p>
        </w:tc>
        <w:tc>
          <w:tcPr>
            <w:tcW w:w="0" w:type="dxa"/>
            <w:vAlign w:val="bottom"/>
          </w:tcPr>
          <w:p>
            <w:pPr>
              <w:spacing w:after="0"/>
              <w:rPr>
                <w:sz w:val="1"/>
                <w:szCs w:val="1"/>
                <w:color w:val="auto"/>
              </w:rPr>
            </w:pPr>
          </w:p>
        </w:tc>
      </w:tr>
      <w:tr>
        <w:trPr>
          <w:trHeight w:val="225"/>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5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3,193</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5,112</w:t>
            </w:r>
          </w:p>
        </w:tc>
        <w:tc>
          <w:tcPr>
            <w:tcW w:w="0" w:type="dxa"/>
            <w:vAlign w:val="bottom"/>
          </w:tcPr>
          <w:p>
            <w:pPr>
              <w:spacing w:after="0"/>
              <w:rPr>
                <w:sz w:val="1"/>
                <w:szCs w:val="1"/>
                <w:color w:val="auto"/>
              </w:rPr>
            </w:pPr>
          </w:p>
        </w:tc>
      </w:tr>
      <w:tr>
        <w:trPr>
          <w:trHeight w:val="217"/>
        </w:trPr>
        <w:tc>
          <w:tcPr>
            <w:tcW w:w="4540" w:type="dxa"/>
            <w:vAlign w:val="bottom"/>
            <w:tcBorders>
              <w:bottom w:val="single" w:sz="8" w:color="CCEEFF"/>
            </w:tcBorders>
            <w:shd w:val="clear" w:color="auto" w:fill="CCEEFF"/>
          </w:tcPr>
          <w:p>
            <w:pPr>
              <w:ind w:left="340"/>
              <w:spacing w:after="0" w:line="192" w:lineRule="exact"/>
              <w:rPr>
                <w:sz w:val="20"/>
                <w:szCs w:val="20"/>
                <w:color w:val="auto"/>
              </w:rPr>
            </w:pPr>
            <w:r>
              <w:rPr>
                <w:rFonts w:ascii="Times New Roman" w:cs="Times New Roman" w:eastAsia="Times New Roman" w:hAnsi="Times New Roman"/>
                <w:sz w:val="18"/>
                <w:szCs w:val="18"/>
                <w:color w:val="auto"/>
              </w:rPr>
              <w:t>Total assets</w:t>
            </w:r>
          </w:p>
        </w:tc>
        <w:tc>
          <w:tcPr>
            <w:tcW w:w="5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jc w:val="right"/>
              <w:ind w:right="72"/>
              <w:spacing w:after="0" w:line="192"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198,063</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jc w:val="right"/>
              <w:ind w:right="12"/>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208,375</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Securitization notes payable</w:t>
            </w:r>
          </w:p>
        </w:tc>
        <w:tc>
          <w:tcPr>
            <w:tcW w:w="5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54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gridSpan w:val="2"/>
          </w:tcPr>
          <w:p>
            <w:pPr>
              <w:jc w:val="right"/>
              <w:ind w:right="72"/>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117,709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gridSpan w:val="2"/>
          </w:tcPr>
          <w:p>
            <w:pPr>
              <w:jc w:val="right"/>
              <w:ind w:right="1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140,224</w:t>
            </w:r>
          </w:p>
        </w:tc>
        <w:tc>
          <w:tcPr>
            <w:tcW w:w="0" w:type="dxa"/>
            <w:vAlign w:val="bottom"/>
          </w:tcPr>
          <w:p>
            <w:pPr>
              <w:spacing w:after="0"/>
              <w:rPr>
                <w:sz w:val="1"/>
                <w:szCs w:val="1"/>
                <w:color w:val="auto"/>
              </w:rPr>
            </w:pPr>
          </w:p>
        </w:tc>
      </w:tr>
      <w:tr>
        <w:trPr>
          <w:trHeight w:val="225"/>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Payable</w:t>
            </w: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5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18"/>
        </w:trPr>
        <w:tc>
          <w:tcPr>
            <w:tcW w:w="4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119,269</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140,651</w:t>
            </w:r>
          </w:p>
        </w:tc>
        <w:tc>
          <w:tcPr>
            <w:tcW w:w="0" w:type="dxa"/>
            <w:vAlign w:val="bottom"/>
          </w:tcPr>
          <w:p>
            <w:pPr>
              <w:spacing w:after="0"/>
              <w:rPr>
                <w:sz w:val="1"/>
                <w:szCs w:val="1"/>
                <w:color w:val="auto"/>
              </w:rPr>
            </w:pPr>
          </w:p>
        </w:tc>
      </w:tr>
      <w:tr>
        <w:trPr>
          <w:trHeight w:val="218"/>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assets</w:t>
            </w:r>
          </w:p>
        </w:tc>
        <w:tc>
          <w:tcPr>
            <w:tcW w:w="54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78,794</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67,724</w:t>
            </w:r>
          </w:p>
        </w:tc>
        <w:tc>
          <w:tcPr>
            <w:tcW w:w="0" w:type="dxa"/>
            <w:vAlign w:val="bottom"/>
          </w:tcPr>
          <w:p>
            <w:pPr>
              <w:spacing w:after="0"/>
              <w:rPr>
                <w:sz w:val="1"/>
                <w:szCs w:val="1"/>
                <w:color w:val="auto"/>
              </w:rPr>
            </w:pPr>
          </w:p>
        </w:tc>
      </w:tr>
      <w:tr>
        <w:trPr>
          <w:trHeight w:val="243"/>
        </w:trPr>
        <w:tc>
          <w:tcPr>
            <w:tcW w:w="45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net assets</w:t>
            </w:r>
          </w:p>
        </w:tc>
        <w:tc>
          <w:tcPr>
            <w:tcW w:w="5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198,063</w:t>
            </w:r>
          </w:p>
        </w:tc>
        <w:tc>
          <w:tcPr>
            <w:tcW w:w="2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208,375</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Selected Statements of Operations Information (Unaudited)</w:t>
            </w:r>
          </w:p>
        </w:tc>
        <w:tc>
          <w:tcPr>
            <w:tcW w:w="5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gridSpan w:val="2"/>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gridSpan w:val="2"/>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4540" w:type="dxa"/>
            <w:vAlign w:val="bottom"/>
            <w:vMerge w:val="continue"/>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6"/>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86"/>
        </w:trPr>
        <w:tc>
          <w:tcPr>
            <w:tcW w:w="454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4"/>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5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6,683</w:t>
            </w:r>
          </w:p>
        </w:tc>
        <w:tc>
          <w:tcPr>
            <w:tcW w:w="0" w:type="dxa"/>
            <w:vAlign w:val="bottom"/>
          </w:tcPr>
          <w:p>
            <w:pPr>
              <w:spacing w:after="0"/>
              <w:rPr>
                <w:sz w:val="1"/>
                <w:szCs w:val="1"/>
                <w:color w:val="auto"/>
              </w:rPr>
            </w:pPr>
          </w:p>
        </w:tc>
      </w:tr>
      <w:tr>
        <w:trPr>
          <w:trHeight w:val="225"/>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5,194</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3,564</w:t>
            </w:r>
          </w:p>
        </w:tc>
        <w:tc>
          <w:tcPr>
            <w:tcW w:w="0" w:type="dxa"/>
            <w:vAlign w:val="bottom"/>
          </w:tcPr>
          <w:p>
            <w:pPr>
              <w:spacing w:after="0"/>
              <w:rPr>
                <w:sz w:val="1"/>
                <w:szCs w:val="1"/>
                <w:color w:val="auto"/>
              </w:rPr>
            </w:pPr>
          </w:p>
        </w:tc>
      </w:tr>
      <w:tr>
        <w:trPr>
          <w:trHeight w:val="218"/>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5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8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5,666</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0" w:type="dxa"/>
            <w:vAlign w:val="bottom"/>
          </w:tcPr>
          <w:p>
            <w:pPr>
              <w:spacing w:after="0"/>
              <w:rPr>
                <w:sz w:val="1"/>
                <w:szCs w:val="1"/>
                <w:color w:val="auto"/>
              </w:rPr>
            </w:pPr>
          </w:p>
        </w:tc>
      </w:tr>
      <w:tr>
        <w:trPr>
          <w:trHeight w:val="218"/>
        </w:trPr>
        <w:tc>
          <w:tcPr>
            <w:tcW w:w="4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Unrealized appreciation (depreciation) on investments</w:t>
            </w:r>
          </w:p>
        </w:tc>
        <w:tc>
          <w:tcPr>
            <w:tcW w:w="5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4,278</w:t>
            </w:r>
          </w:p>
        </w:tc>
        <w:tc>
          <w:tcPr>
            <w:tcW w:w="0" w:type="dxa"/>
            <w:vAlign w:val="bottom"/>
          </w:tcPr>
          <w:p>
            <w:pPr>
              <w:spacing w:after="0"/>
              <w:rPr>
                <w:sz w:val="1"/>
                <w:szCs w:val="1"/>
                <w:color w:val="auto"/>
              </w:rPr>
            </w:pPr>
          </w:p>
        </w:tc>
      </w:tr>
      <w:tr>
        <w:trPr>
          <w:trHeight w:val="225"/>
        </w:trPr>
        <w:tc>
          <w:tcPr>
            <w:tcW w:w="4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Realized gain on derivative transactions</w:t>
            </w:r>
          </w:p>
        </w:tc>
        <w:tc>
          <w:tcPr>
            <w:tcW w:w="5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0" w:type="dxa"/>
            <w:vAlign w:val="bottom"/>
          </w:tcPr>
          <w:p>
            <w:pPr>
              <w:spacing w:after="0"/>
              <w:rPr>
                <w:sz w:val="1"/>
                <w:szCs w:val="1"/>
                <w:color w:val="auto"/>
              </w:rPr>
            </w:pPr>
          </w:p>
        </w:tc>
      </w:tr>
      <w:tr>
        <w:trPr>
          <w:trHeight w:val="225"/>
        </w:trPr>
        <w:tc>
          <w:tcPr>
            <w:tcW w:w="4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Unrealized loss on derivative transactions</w:t>
            </w:r>
          </w:p>
        </w:tc>
        <w:tc>
          <w:tcPr>
            <w:tcW w:w="5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43"/>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net assets resulting from operations</w:t>
            </w:r>
          </w:p>
        </w:tc>
        <w:tc>
          <w:tcPr>
            <w:tcW w:w="540" w:type="dxa"/>
            <w:vAlign w:val="bottom"/>
            <w:tcBorders>
              <w:top w:val="single" w:sz="8" w:color="auto"/>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ind w:right="83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14,770</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8,305</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Intelligent Protection Management Corp.</w:t>
      </w:r>
    </w:p>
    <w:p>
      <w:pPr>
        <w:spacing w:after="0" w:line="231"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8"/>
          <w:szCs w:val="18"/>
          <w:color w:val="auto"/>
        </w:rPr>
        <w:t>On January 2, 2025, the Company completed the previously announced sale of its wholly owned subsidiary Newtek Technology Solutions, Inc. (“NTS”) to Paltalk, Inc. (subsequently renamed Intelligent Protection Management Corp. (“IPM”)) (Nasdaq: IPM) (the “NTS Sale”). In connection with the NTS Sale, the Company received the Closing Consideration consisting of $4.0 million Cash Consideration and 4.0 million shares of IPM Preferred Stock. Upon the occurrence of certain specified transfers of the IPM Preferred Stock, each share of IPM Preferred Stock will automatically convert into one share of common stock of IPM, subject to certain anti-dilution adjustments. In addition to the Closing Consideration, the Company may be entitled to receive the Earn-out in an amount of up to $5.0 million, payable in cash, IPM Preferred Stock, or a combination thereof (as determined in IPM’s discretion), based on IPM’s achievement of certain cumulative average Adjusted EBITDA thresholds for the 2025 and 2026 fiscal years. The Company is entitled to appoint one representative to the IPM board of directors. Barry Sloane, the Company’s President, Chairman and Chief Executive Officer serves on the IPM board of directors as the Company’s representative. The Company has accounted for our investment in IPM under ASC 321 beginning in the first quarter of 2025 and as such management measured the equity investment at fair value and the carrying amount will be remeasured at each reporting period with changes in fair value recorded in earnings. In addition, the assets, liabilities and operations of NTS were classified as held for sale as of December 31, 2024.</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in Affiliated Companies</w:t>
      </w:r>
    </w:p>
    <w:p>
      <w:pPr>
        <w:spacing w:after="0" w:line="244"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8"/>
          <w:szCs w:val="18"/>
          <w:color w:val="auto"/>
        </w:rPr>
        <w:t>An affiliated company is an unconsolidated entity in which the Company has an ownership of 5% or more of its voting securities. Investments related to our joint ventures and other non-controlled investments for the six months ended June 30, 2025 and 2024 were as follows:</w:t>
      </w:r>
    </w:p>
    <w:p>
      <w:pPr>
        <w:spacing w:after="0" w:line="6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6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 at December</w:t>
            </w:r>
          </w:p>
        </w:tc>
        <w:tc>
          <w:tcPr>
            <w:tcW w:w="140" w:type="dxa"/>
            <w:vAlign w:val="bottom"/>
          </w:tcPr>
          <w:p>
            <w:pPr>
              <w:spacing w:after="0"/>
              <w:rPr>
                <w:sz w:val="13"/>
                <w:szCs w:val="13"/>
                <w:color w:val="auto"/>
              </w:rPr>
            </w:pPr>
          </w:p>
        </w:tc>
        <w:tc>
          <w:tcPr>
            <w:tcW w:w="84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Return of</w:t>
            </w:r>
          </w:p>
        </w:tc>
        <w:tc>
          <w:tcPr>
            <w:tcW w:w="260" w:type="dxa"/>
            <w:vAlign w:val="bottom"/>
          </w:tcPr>
          <w:p>
            <w:pPr>
              <w:spacing w:after="0"/>
              <w:rPr>
                <w:sz w:val="13"/>
                <w:szCs w:val="13"/>
                <w:color w:val="auto"/>
              </w:rPr>
            </w:pPr>
          </w:p>
        </w:tc>
        <w:tc>
          <w:tcPr>
            <w:tcW w:w="8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15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 at June 30,</w:t>
            </w:r>
          </w:p>
        </w:tc>
        <w:tc>
          <w:tcPr>
            <w:tcW w:w="140" w:type="dxa"/>
            <w:vAlign w:val="bottom"/>
          </w:tcPr>
          <w:p>
            <w:pPr>
              <w:spacing w:after="0"/>
              <w:rPr>
                <w:sz w:val="13"/>
                <w:szCs w:val="13"/>
                <w:color w:val="auto"/>
              </w:rPr>
            </w:pPr>
          </w:p>
        </w:tc>
        <w:tc>
          <w:tcPr>
            <w:tcW w:w="72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w w:val="99"/>
              </w:rPr>
              <w:t>Dividend</w:t>
            </w:r>
          </w:p>
        </w:tc>
        <w:tc>
          <w:tcPr>
            <w:tcW w:w="0" w:type="dxa"/>
            <w:vAlign w:val="bottom"/>
          </w:tcPr>
          <w:p>
            <w:pPr>
              <w:spacing w:after="0"/>
              <w:rPr>
                <w:sz w:val="1"/>
                <w:szCs w:val="1"/>
                <w:color w:val="auto"/>
              </w:rPr>
            </w:pPr>
          </w:p>
        </w:tc>
      </w:tr>
      <w:tr>
        <w:trPr>
          <w:trHeight w:val="192"/>
        </w:trPr>
        <w:tc>
          <w:tcPr>
            <w:tcW w:w="38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360" w:type="dxa"/>
            <w:vAlign w:val="bottom"/>
          </w:tcPr>
          <w:p>
            <w:pPr>
              <w:spacing w:after="0"/>
              <w:rPr>
                <w:sz w:val="16"/>
                <w:szCs w:val="16"/>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224"/>
        </w:trPr>
        <w:tc>
          <w:tcPr>
            <w:tcW w:w="37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Joint Ventures</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840" w:type="dxa"/>
            <w:vAlign w:val="bottom"/>
            <w:tcBorders>
              <w:top w:val="single" w:sz="8" w:color="auto"/>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860" w:type="dxa"/>
            <w:vAlign w:val="bottom"/>
            <w:tcBorders>
              <w:top w:val="single" w:sz="8" w:color="auto"/>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CCEEFF"/>
            </w:tcBorders>
          </w:tcPr>
          <w:p>
            <w:pPr>
              <w:spacing w:after="0"/>
              <w:rPr>
                <w:sz w:val="19"/>
                <w:szCs w:val="19"/>
                <w:color w:val="auto"/>
              </w:rPr>
            </w:pPr>
          </w:p>
        </w:tc>
        <w:tc>
          <w:tcPr>
            <w:tcW w:w="740" w:type="dxa"/>
            <w:vAlign w:val="bottom"/>
            <w:tcBorders>
              <w:top w:val="single" w:sz="8" w:color="auto"/>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CCEEFF"/>
            </w:tcBorders>
          </w:tcPr>
          <w:p>
            <w:pPr>
              <w:spacing w:after="0"/>
              <w:rPr>
                <w:sz w:val="19"/>
                <w:szCs w:val="19"/>
                <w:color w:val="auto"/>
              </w:rPr>
            </w:pPr>
          </w:p>
        </w:tc>
        <w:tc>
          <w:tcPr>
            <w:tcW w:w="1120" w:type="dxa"/>
            <w:vAlign w:val="bottom"/>
            <w:tcBorders>
              <w:top w:val="single" w:sz="8" w:color="auto"/>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720" w:type="dxa"/>
            <w:vAlign w:val="bottom"/>
            <w:tcBorders>
              <w:top w:val="single" w:sz="8" w:color="auto"/>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NCL JV</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25"/>
        </w:trPr>
        <w:tc>
          <w:tcPr>
            <w:tcW w:w="3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TSO JV</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center"/>
              <w:ind w:left="355"/>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0" w:type="dxa"/>
            <w:vAlign w:val="bottom"/>
          </w:tcPr>
          <w:p>
            <w:pPr>
              <w:spacing w:after="0"/>
              <w:rPr>
                <w:sz w:val="1"/>
                <w:szCs w:val="1"/>
                <w:color w:val="auto"/>
              </w:rPr>
            </w:pPr>
          </w:p>
        </w:tc>
      </w:tr>
      <w:tr>
        <w:trPr>
          <w:trHeight w:val="218"/>
        </w:trPr>
        <w:tc>
          <w:tcPr>
            <w:tcW w:w="38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Joint Ventures</w:t>
            </w:r>
          </w:p>
        </w:tc>
        <w:tc>
          <w:tcPr>
            <w:tcW w:w="30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56,900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center"/>
              <w:ind w:left="435"/>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56,487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0" w:type="dxa"/>
            <w:vAlign w:val="bottom"/>
          </w:tcPr>
          <w:p>
            <w:pPr>
              <w:spacing w:after="0"/>
              <w:rPr>
                <w:sz w:val="1"/>
                <w:szCs w:val="1"/>
                <w:color w:val="auto"/>
              </w:rPr>
            </w:pPr>
          </w:p>
        </w:tc>
      </w:tr>
      <w:tr>
        <w:trPr>
          <w:trHeight w:val="205"/>
        </w:trPr>
        <w:tc>
          <w:tcPr>
            <w:tcW w:w="382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Other Non-Control Investments</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7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EMCAP Loan Holdings, LLC</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CCEEFF"/>
            </w:tcBorders>
            <w:shd w:val="clear" w:color="auto" w:fill="CCEEFF"/>
          </w:tcPr>
          <w:p>
            <w:pPr>
              <w:jc w:val="center"/>
              <w:ind w:left="415"/>
              <w:spacing w:after="0"/>
              <w:rPr>
                <w:sz w:val="20"/>
                <w:szCs w:val="20"/>
                <w:color w:val="auto"/>
              </w:rPr>
            </w:pPr>
            <w:r>
              <w:rPr>
                <w:rFonts w:ascii="Times New Roman" w:cs="Times New Roman" w:eastAsia="Times New Roman" w:hAnsi="Times New Roman"/>
                <w:sz w:val="18"/>
                <w:szCs w:val="18"/>
                <w:color w:val="auto"/>
                <w:w w:val="93"/>
              </w:rPr>
              <w:t>(14)</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Biller Genie Software, LLC</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center"/>
              <w:ind w:left="355"/>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Intelligent Protection Management Corp.</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10,468</w:t>
            </w: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1</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3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Other Non-Control Investments</w:t>
            </w:r>
          </w:p>
        </w:tc>
        <w:tc>
          <w:tcPr>
            <w:tcW w:w="30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10,468</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center"/>
              <w:ind w:left="415"/>
              <w:spacing w:after="0"/>
              <w:rPr>
                <w:sz w:val="20"/>
                <w:szCs w:val="20"/>
                <w:color w:val="auto"/>
              </w:rPr>
            </w:pPr>
            <w:r>
              <w:rPr>
                <w:rFonts w:ascii="Times New Roman" w:cs="Times New Roman" w:eastAsia="Times New Roman" w:hAnsi="Times New Roman"/>
                <w:sz w:val="18"/>
                <w:szCs w:val="18"/>
                <w:color w:val="auto"/>
                <w:w w:val="93"/>
              </w:rPr>
              <w:t>(14)</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11,634</w:t>
            </w: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10,553</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center"/>
              <w:ind w:left="415"/>
              <w:spacing w:after="0"/>
              <w:rPr>
                <w:sz w:val="20"/>
                <w:szCs w:val="20"/>
                <w:color w:val="auto"/>
              </w:rPr>
            </w:pPr>
            <w:r>
              <w:rPr>
                <w:rFonts w:ascii="Times New Roman" w:cs="Times New Roman" w:eastAsia="Times New Roman" w:hAnsi="Times New Roman"/>
                <w:sz w:val="18"/>
                <w:szCs w:val="18"/>
                <w:color w:val="auto"/>
                <w:w w:val="93"/>
              </w:rPr>
              <w:t>(14)</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68,121</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160" w:hanging="154"/>
        <w:spacing w:after="0" w:line="224" w:lineRule="auto"/>
        <w:tabs>
          <w:tab w:leader="none" w:pos="173"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Four million shares of IPM Preferred Stock valued at $2.05 per share, which was the closing price of IPM’s common shares on January 2, 2025; plus the fair value of the Earn-out of $2.268 million as of January 2, 2025, valued in accordance with ASC 805 and ASC 820</w:t>
      </w:r>
    </w:p>
    <w:p>
      <w:pPr>
        <w:spacing w:after="0" w:line="9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6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 at December</w:t>
            </w:r>
          </w:p>
        </w:tc>
        <w:tc>
          <w:tcPr>
            <w:tcW w:w="14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140" w:type="dxa"/>
            <w:vAlign w:val="bottom"/>
          </w:tcPr>
          <w:p>
            <w:pPr>
              <w:spacing w:after="0"/>
              <w:rPr>
                <w:sz w:val="13"/>
                <w:szCs w:val="13"/>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Return of</w:t>
            </w:r>
          </w:p>
        </w:tc>
        <w:tc>
          <w:tcPr>
            <w:tcW w:w="240" w:type="dxa"/>
            <w:vAlign w:val="bottom"/>
          </w:tcPr>
          <w:p>
            <w:pPr>
              <w:spacing w:after="0"/>
              <w:rPr>
                <w:sz w:val="13"/>
                <w:szCs w:val="13"/>
                <w:color w:val="auto"/>
              </w:rPr>
            </w:pP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3"/>
                <w:szCs w:val="13"/>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Fair Value at June 30,</w:t>
            </w:r>
          </w:p>
        </w:tc>
        <w:tc>
          <w:tcPr>
            <w:tcW w:w="120" w:type="dxa"/>
            <w:vAlign w:val="bottom"/>
          </w:tcPr>
          <w:p>
            <w:pPr>
              <w:spacing w:after="0"/>
              <w:rPr>
                <w:sz w:val="13"/>
                <w:szCs w:val="13"/>
                <w:color w:val="auto"/>
              </w:rPr>
            </w:pPr>
          </w:p>
        </w:tc>
        <w:tc>
          <w:tcPr>
            <w:tcW w:w="68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9"/>
              </w:rPr>
              <w:t>Dividend</w:t>
            </w:r>
          </w:p>
        </w:tc>
        <w:tc>
          <w:tcPr>
            <w:tcW w:w="0" w:type="dxa"/>
            <w:vAlign w:val="bottom"/>
          </w:tcPr>
          <w:p>
            <w:pPr>
              <w:spacing w:after="0"/>
              <w:rPr>
                <w:sz w:val="1"/>
                <w:szCs w:val="1"/>
                <w:color w:val="auto"/>
              </w:rPr>
            </w:pPr>
          </w:p>
        </w:tc>
      </w:tr>
      <w:tr>
        <w:trPr>
          <w:trHeight w:val="192"/>
        </w:trPr>
        <w:tc>
          <w:tcPr>
            <w:tcW w:w="38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6"/>
                <w:szCs w:val="16"/>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Gains/(Losses)</w:t>
            </w:r>
          </w:p>
        </w:tc>
        <w:tc>
          <w:tcPr>
            <w:tcW w:w="120" w:type="dxa"/>
            <w:vAlign w:val="bottom"/>
          </w:tcPr>
          <w:p>
            <w:pPr>
              <w:spacing w:after="0"/>
              <w:rPr>
                <w:sz w:val="16"/>
                <w:szCs w:val="16"/>
                <w:color w:val="auto"/>
              </w:rPr>
            </w:pPr>
          </w:p>
        </w:tc>
        <w:tc>
          <w:tcPr>
            <w:tcW w:w="146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Joint Ventures</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840" w:type="dxa"/>
            <w:vAlign w:val="bottom"/>
            <w:tcBorders>
              <w:top w:val="single" w:sz="8" w:color="auto"/>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860" w:type="dxa"/>
            <w:vAlign w:val="bottom"/>
            <w:tcBorders>
              <w:top w:val="single" w:sz="8" w:color="auto"/>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740" w:type="dxa"/>
            <w:vAlign w:val="bottom"/>
            <w:tcBorders>
              <w:top w:val="single" w:sz="8" w:color="auto"/>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460" w:type="dxa"/>
            <w:vAlign w:val="bottom"/>
            <w:tcBorders>
              <w:top w:val="single" w:sz="8" w:color="auto"/>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680" w:type="dxa"/>
            <w:vAlign w:val="bottom"/>
            <w:tcBorders>
              <w:top w:val="single" w:sz="8" w:color="auto"/>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NCL JV</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0" w:type="dxa"/>
            <w:vAlign w:val="bottom"/>
          </w:tcPr>
          <w:p>
            <w:pPr>
              <w:spacing w:after="0"/>
              <w:rPr>
                <w:sz w:val="1"/>
                <w:szCs w:val="1"/>
                <w:color w:val="auto"/>
              </w:rPr>
            </w:pPr>
          </w:p>
        </w:tc>
      </w:tr>
      <w:tr>
        <w:trPr>
          <w:trHeight w:val="225"/>
        </w:trPr>
        <w:tc>
          <w:tcPr>
            <w:tcW w:w="3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TSO JV</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51,253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38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Joint Ventures</w:t>
            </w:r>
          </w:p>
        </w:tc>
        <w:tc>
          <w:tcPr>
            <w:tcW w:w="32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69,803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0" w:type="dxa"/>
            <w:vAlign w:val="bottom"/>
          </w:tcPr>
          <w:p>
            <w:pPr>
              <w:spacing w:after="0"/>
              <w:rPr>
                <w:sz w:val="1"/>
                <w:szCs w:val="1"/>
                <w:color w:val="auto"/>
              </w:rPr>
            </w:pPr>
          </w:p>
        </w:tc>
      </w:tr>
      <w:tr>
        <w:trPr>
          <w:trHeight w:val="205"/>
        </w:trPr>
        <w:tc>
          <w:tcPr>
            <w:tcW w:w="384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Other Non-Control Investments</w:t>
            </w: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74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EMCAP Loan Holdings, LLC</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7"/>
              </w:rPr>
              <w:t>(116)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5"/>
        </w:trPr>
        <w:tc>
          <w:tcPr>
            <w:tcW w:w="3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Biller Genie Software, LLC</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38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Non-Control Investments</w:t>
            </w:r>
          </w:p>
        </w:tc>
        <w:tc>
          <w:tcPr>
            <w:tcW w:w="32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7"/>
              </w:rPr>
              <w:t>(116)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8"/>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41,587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25,642</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w w:val="97"/>
              </w:rPr>
              <w:t>(116)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70,543</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Securities Available-for-Sale</w:t>
      </w:r>
    </w:p>
    <w:p>
      <w:pPr>
        <w:spacing w:after="0" w:line="244"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18"/>
          <w:szCs w:val="18"/>
          <w:color w:val="auto"/>
        </w:rPr>
        <w:t>The following tables summarize the amortized cost and fair value of debt securities available-for-sale by major type as of June 30, 2025 and December 31, 2024:</w:t>
      </w: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2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r>
      <w:tr>
        <w:trPr>
          <w:trHeight w:val="166"/>
        </w:trPr>
        <w:tc>
          <w:tcPr>
            <w:tcW w:w="2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line="165" w:lineRule="exact"/>
              <w:rPr>
                <w:sz w:val="20"/>
                <w:szCs w:val="20"/>
                <w:color w:val="auto"/>
              </w:rPr>
            </w:pPr>
            <w:r>
              <w:rPr>
                <w:rFonts w:ascii="Times New Roman" w:cs="Times New Roman" w:eastAsia="Times New Roman" w:hAnsi="Times New Roman"/>
                <w:sz w:val="18"/>
                <w:szCs w:val="18"/>
                <w:color w:val="auto"/>
                <w:w w:val="96"/>
              </w:rPr>
              <w:t>Amortized</w:t>
            </w:r>
          </w:p>
        </w:tc>
        <w:tc>
          <w:tcPr>
            <w:tcW w:w="120" w:type="dxa"/>
            <w:vAlign w:val="bottom"/>
          </w:tcPr>
          <w:p>
            <w:pPr>
              <w:spacing w:after="0"/>
              <w:rPr>
                <w:sz w:val="14"/>
                <w:szCs w:val="14"/>
                <w:color w:val="auto"/>
              </w:rPr>
            </w:pPr>
          </w:p>
        </w:tc>
        <w:tc>
          <w:tcPr>
            <w:tcW w:w="1060" w:type="dxa"/>
            <w:vAlign w:val="bottom"/>
            <w:gridSpan w:val="2"/>
          </w:tcPr>
          <w:p>
            <w:pPr>
              <w:jc w:val="center"/>
              <w:ind w:right="220"/>
              <w:spacing w:after="0" w:line="165" w:lineRule="exact"/>
              <w:rPr>
                <w:sz w:val="20"/>
                <w:szCs w:val="20"/>
                <w:color w:val="auto"/>
              </w:rPr>
            </w:pPr>
            <w:r>
              <w:rPr>
                <w:rFonts w:ascii="Times New Roman" w:cs="Times New Roman" w:eastAsia="Times New Roman" w:hAnsi="Times New Roman"/>
                <w:sz w:val="18"/>
                <w:szCs w:val="18"/>
                <w:color w:val="auto"/>
                <w:w w:val="96"/>
              </w:rPr>
              <w:t>Unrealized</w:t>
            </w:r>
          </w:p>
        </w:tc>
        <w:tc>
          <w:tcPr>
            <w:tcW w:w="120" w:type="dxa"/>
            <w:vAlign w:val="bottom"/>
          </w:tcPr>
          <w:p>
            <w:pPr>
              <w:spacing w:after="0"/>
              <w:rPr>
                <w:sz w:val="14"/>
                <w:szCs w:val="14"/>
                <w:color w:val="auto"/>
              </w:rPr>
            </w:pPr>
          </w:p>
        </w:tc>
        <w:tc>
          <w:tcPr>
            <w:tcW w:w="1060" w:type="dxa"/>
            <w:vAlign w:val="bottom"/>
            <w:gridSpan w:val="2"/>
          </w:tcPr>
          <w:p>
            <w:pPr>
              <w:jc w:val="center"/>
              <w:ind w:right="240"/>
              <w:spacing w:after="0" w:line="165" w:lineRule="exact"/>
              <w:rPr>
                <w:sz w:val="20"/>
                <w:szCs w:val="20"/>
                <w:color w:val="auto"/>
              </w:rPr>
            </w:pPr>
            <w:r>
              <w:rPr>
                <w:rFonts w:ascii="Times New Roman" w:cs="Times New Roman" w:eastAsia="Times New Roman" w:hAnsi="Times New Roman"/>
                <w:sz w:val="18"/>
                <w:szCs w:val="18"/>
                <w:color w:val="auto"/>
                <w:w w:val="98"/>
              </w:rPr>
              <w:t>Unrealized</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20"/>
              <w:spacing w:after="0" w:line="165" w:lineRule="exact"/>
              <w:rPr>
                <w:sz w:val="20"/>
                <w:szCs w:val="20"/>
                <w:color w:val="auto"/>
              </w:rPr>
            </w:pPr>
            <w:r>
              <w:rPr>
                <w:rFonts w:ascii="Times New Roman" w:cs="Times New Roman" w:eastAsia="Times New Roman" w:hAnsi="Times New Roman"/>
                <w:sz w:val="18"/>
                <w:szCs w:val="18"/>
                <w:color w:val="auto"/>
                <w:w w:val="98"/>
              </w:rPr>
              <w:t>Amortized</w:t>
            </w:r>
          </w:p>
        </w:tc>
        <w:tc>
          <w:tcPr>
            <w:tcW w:w="120" w:type="dxa"/>
            <w:vAlign w:val="bottom"/>
          </w:tcPr>
          <w:p>
            <w:pPr>
              <w:spacing w:after="0"/>
              <w:rPr>
                <w:sz w:val="14"/>
                <w:szCs w:val="14"/>
                <w:color w:val="auto"/>
              </w:rPr>
            </w:pPr>
          </w:p>
        </w:tc>
        <w:tc>
          <w:tcPr>
            <w:tcW w:w="1040" w:type="dxa"/>
            <w:vAlign w:val="bottom"/>
            <w:gridSpan w:val="2"/>
          </w:tcPr>
          <w:p>
            <w:pPr>
              <w:jc w:val="center"/>
              <w:ind w:right="220"/>
              <w:spacing w:after="0" w:line="165" w:lineRule="exact"/>
              <w:rPr>
                <w:sz w:val="20"/>
                <w:szCs w:val="20"/>
                <w:color w:val="auto"/>
              </w:rPr>
            </w:pPr>
            <w:r>
              <w:rPr>
                <w:rFonts w:ascii="Times New Roman" w:cs="Times New Roman" w:eastAsia="Times New Roman" w:hAnsi="Times New Roman"/>
                <w:sz w:val="18"/>
                <w:szCs w:val="18"/>
                <w:color w:val="auto"/>
                <w:w w:val="98"/>
              </w:rPr>
              <w:t>Unrealized</w:t>
            </w:r>
          </w:p>
        </w:tc>
        <w:tc>
          <w:tcPr>
            <w:tcW w:w="140" w:type="dxa"/>
            <w:vAlign w:val="bottom"/>
          </w:tcPr>
          <w:p>
            <w:pPr>
              <w:spacing w:after="0"/>
              <w:rPr>
                <w:sz w:val="14"/>
                <w:szCs w:val="14"/>
                <w:color w:val="auto"/>
              </w:rPr>
            </w:pPr>
          </w:p>
        </w:tc>
        <w:tc>
          <w:tcPr>
            <w:tcW w:w="1040" w:type="dxa"/>
            <w:vAlign w:val="bottom"/>
            <w:gridSpan w:val="2"/>
          </w:tcPr>
          <w:p>
            <w:pPr>
              <w:jc w:val="center"/>
              <w:ind w:right="220"/>
              <w:spacing w:after="0" w:line="165" w:lineRule="exact"/>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38"/>
        </w:trPr>
        <w:tc>
          <w:tcPr>
            <w:tcW w:w="2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Cost</w:t>
            </w:r>
          </w:p>
        </w:tc>
        <w:tc>
          <w:tcPr>
            <w:tcW w:w="120" w:type="dxa"/>
            <w:vAlign w:val="bottom"/>
          </w:tcPr>
          <w:p>
            <w:pPr>
              <w:spacing w:after="0"/>
              <w:rPr>
                <w:sz w:val="20"/>
                <w:szCs w:val="20"/>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Gains</w:t>
            </w:r>
          </w:p>
        </w:tc>
        <w:tc>
          <w:tcPr>
            <w:tcW w:w="120" w:type="dxa"/>
            <w:vAlign w:val="bottom"/>
          </w:tcPr>
          <w:p>
            <w:pPr>
              <w:spacing w:after="0"/>
              <w:rPr>
                <w:sz w:val="20"/>
                <w:szCs w:val="20"/>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Losses</w:t>
            </w:r>
          </w:p>
        </w:tc>
        <w:tc>
          <w:tcPr>
            <w:tcW w:w="10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w:t>
            </w:r>
          </w:p>
        </w:tc>
        <w:tc>
          <w:tcPr>
            <w:tcW w:w="120" w:type="dxa"/>
            <w:vAlign w:val="bottom"/>
          </w:tcPr>
          <w:p>
            <w:pPr>
              <w:spacing w:after="0"/>
              <w:rPr>
                <w:sz w:val="20"/>
                <w:szCs w:val="20"/>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Cost</w:t>
            </w:r>
          </w:p>
        </w:tc>
        <w:tc>
          <w:tcPr>
            <w:tcW w:w="12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Gains</w:t>
            </w:r>
          </w:p>
        </w:tc>
        <w:tc>
          <w:tcPr>
            <w:tcW w:w="14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Losses</w:t>
            </w:r>
          </w:p>
        </w:tc>
        <w:tc>
          <w:tcPr>
            <w:tcW w:w="12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4"/>
              </w:rPr>
              <w:t>Fair Value</w:t>
            </w:r>
          </w:p>
        </w:tc>
      </w:tr>
      <w:tr>
        <w:trPr>
          <w:trHeight w:val="218"/>
        </w:trPr>
        <w:tc>
          <w:tcPr>
            <w:tcW w:w="2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notes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center"/>
              <w:ind w:left="652"/>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center"/>
              <w:ind w:left="632"/>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23,916</w:t>
            </w:r>
          </w:p>
        </w:tc>
      </w:tr>
      <w:tr>
        <w:trPr>
          <w:trHeight w:val="172"/>
        </w:trPr>
        <w:tc>
          <w:tcPr>
            <w:tcW w:w="212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Government agency</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38"/>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debentures</w:t>
            </w:r>
          </w:p>
        </w:tc>
        <w:tc>
          <w:tcPr>
            <w:tcW w:w="14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60" w:type="dxa"/>
            <w:vAlign w:val="bottom"/>
            <w:gridSpan w:val="2"/>
          </w:tcPr>
          <w:p>
            <w:pPr>
              <w:jc w:val="center"/>
              <w:ind w:left="552"/>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0"/>
                <w:szCs w:val="20"/>
                <w:color w:val="auto"/>
              </w:rPr>
            </w:pPr>
          </w:p>
        </w:tc>
        <w:tc>
          <w:tcPr>
            <w:tcW w:w="1060" w:type="dxa"/>
            <w:vAlign w:val="bottom"/>
            <w:gridSpan w:val="2"/>
          </w:tcPr>
          <w:p>
            <w:pPr>
              <w:jc w:val="center"/>
              <w:ind w:left="552"/>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center"/>
              <w:ind w:left="652"/>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center"/>
              <w:ind w:left="632"/>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23,916</w:t>
            </w: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8"/>
          <w:szCs w:val="18"/>
          <w:color w:val="auto"/>
        </w:rPr>
        <w:t>As of June 30, 2025 and December 31, 2024, there was none and $30.4 thousand of accrued interest receivable on available-for-sale securities, respectively, included in Other assets in the accompanying Consolidated Statements of Financial Condition.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2025 and 2024, securities sold or settled were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3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3"/>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3"/>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860" w:type="dxa"/>
            <w:vAlign w:val="bottom"/>
            <w:tcBorders>
              <w:bottom w:val="single" w:sz="8" w:color="auto"/>
            </w:tcBorders>
          </w:tcPr>
          <w:p>
            <w:pPr>
              <w:spacing w:after="0"/>
              <w:rPr>
                <w:sz w:val="20"/>
                <w:szCs w:val="20"/>
                <w:color w:val="auto"/>
              </w:rPr>
            </w:pPr>
          </w:p>
        </w:tc>
      </w:tr>
      <w:tr>
        <w:trPr>
          <w:trHeight w:val="218"/>
        </w:trPr>
        <w:tc>
          <w:tcPr>
            <w:tcW w:w="2320" w:type="dxa"/>
            <w:vAlign w:val="bottom"/>
          </w:tcPr>
          <w:p>
            <w:pPr>
              <w:spacing w:after="0"/>
              <w:rPr>
                <w:sz w:val="18"/>
                <w:szCs w:val="18"/>
                <w:color w:val="auto"/>
              </w:rPr>
            </w:pPr>
          </w:p>
        </w:tc>
        <w:tc>
          <w:tcPr>
            <w:tcW w:w="2160" w:type="dxa"/>
            <w:vAlign w:val="bottom"/>
            <w:tcBorders>
              <w:bottom w:val="single" w:sz="8" w:color="auto"/>
            </w:tcBorders>
            <w:gridSpan w:val="2"/>
          </w:tcPr>
          <w:p>
            <w:pPr>
              <w:jc w:val="right"/>
              <w:ind w:right="8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8"/>
                <w:szCs w:val="18"/>
                <w:color w:val="auto"/>
              </w:rPr>
            </w:pPr>
          </w:p>
        </w:tc>
        <w:tc>
          <w:tcPr>
            <w:tcW w:w="13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Borders>
              <w:bottom w:val="single" w:sz="8" w:color="auto"/>
            </w:tcBorders>
            <w:gridSpan w:val="2"/>
          </w:tcPr>
          <w:p>
            <w:pPr>
              <w:jc w:val="right"/>
              <w:ind w:right="8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860" w:type="dxa"/>
            <w:vAlign w:val="bottom"/>
            <w:tcBorders>
              <w:bottom w:val="single" w:sz="8" w:color="auto"/>
            </w:tcBorders>
          </w:tcPr>
          <w:p>
            <w:pPr>
              <w:spacing w:after="0"/>
              <w:rPr>
                <w:sz w:val="18"/>
                <w:szCs w:val="18"/>
                <w:color w:val="auto"/>
              </w:rPr>
            </w:pPr>
          </w:p>
        </w:tc>
      </w:tr>
      <w:tr>
        <w:trPr>
          <w:trHeight w:val="218"/>
        </w:trPr>
        <w:tc>
          <w:tcPr>
            <w:tcW w:w="2320" w:type="dxa"/>
            <w:vAlign w:val="bottom"/>
          </w:tcPr>
          <w:p>
            <w:pPr>
              <w:spacing w:after="0"/>
              <w:rPr>
                <w:sz w:val="18"/>
                <w:szCs w:val="18"/>
                <w:color w:val="auto"/>
              </w:rPr>
            </w:pPr>
          </w:p>
        </w:tc>
        <w:tc>
          <w:tcPr>
            <w:tcW w:w="98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380" w:type="dxa"/>
            <w:vAlign w:val="bottom"/>
          </w:tcPr>
          <w:p>
            <w:pPr>
              <w:jc w:val="right"/>
              <w:ind w:right="69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0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sold or settled</w:t>
            </w:r>
          </w:p>
        </w:tc>
        <w:tc>
          <w:tcPr>
            <w:tcW w:w="98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8"/>
              </w:rPr>
              <w:t>one settled</w:t>
            </w:r>
          </w:p>
        </w:tc>
        <w:tc>
          <w:tcPr>
            <w:tcW w:w="118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right="192"/>
              <w:spacing w:after="0"/>
              <w:rPr>
                <w:sz w:val="20"/>
                <w:szCs w:val="20"/>
                <w:color w:val="auto"/>
              </w:rPr>
            </w:pPr>
            <w:r>
              <w:rPr>
                <w:rFonts w:ascii="Times New Roman" w:cs="Times New Roman" w:eastAsia="Times New Roman" w:hAnsi="Times New Roman"/>
                <w:sz w:val="18"/>
                <w:szCs w:val="18"/>
                <w:color w:val="auto"/>
                <w:w w:val="97"/>
              </w:rPr>
              <w:t>none</w:t>
            </w:r>
          </w:p>
        </w:tc>
        <w:tc>
          <w:tcPr>
            <w:tcW w:w="880" w:type="dxa"/>
            <w:vAlign w:val="bottom"/>
            <w:gridSpan w:val="2"/>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color w:val="auto"/>
                <w:w w:val="96"/>
              </w:rPr>
              <w:t>$—</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four settled</w:t>
            </w:r>
          </w:p>
        </w:tc>
        <w:tc>
          <w:tcPr>
            <w:tcW w:w="11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$14,000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right="132"/>
              <w:spacing w:after="0"/>
              <w:rPr>
                <w:sz w:val="20"/>
                <w:szCs w:val="20"/>
                <w:color w:val="auto"/>
              </w:rPr>
            </w:pPr>
            <w:r>
              <w:rPr>
                <w:rFonts w:ascii="Times New Roman" w:cs="Times New Roman" w:eastAsia="Times New Roman" w:hAnsi="Times New Roman"/>
                <w:sz w:val="18"/>
                <w:szCs w:val="18"/>
                <w:color w:val="auto"/>
                <w:w w:val="98"/>
              </w:rPr>
              <w:t>one settled</w:t>
            </w:r>
          </w:p>
        </w:tc>
        <w:tc>
          <w:tcPr>
            <w:tcW w:w="8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99"/>
              </w:rPr>
              <w:t>$29,500</w:t>
            </w: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Unrealized Losses</w:t>
      </w:r>
    </w:p>
    <w:p>
      <w:pPr>
        <w:spacing w:after="0" w:line="244"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8"/>
          <w:szCs w:val="18"/>
          <w:color w:val="auto"/>
        </w:rPr>
        <w:t>The following tables summarize the gross unrealized losses and fair value of debt securities available-for-sale by length of time each major security type has been in a continuous unrealized loss position:</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0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June 30, 2025</w:t>
            </w:r>
          </w:p>
        </w:tc>
        <w:tc>
          <w:tcPr>
            <w:tcW w:w="9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18"/>
        </w:trPr>
        <w:tc>
          <w:tcPr>
            <w:tcW w:w="3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3"/>
          </w:tcPr>
          <w:p>
            <w:pPr>
              <w:jc w:val="right"/>
              <w:ind w:right="132"/>
              <w:spacing w:after="0"/>
              <w:rPr>
                <w:sz w:val="20"/>
                <w:szCs w:val="20"/>
                <w:color w:val="auto"/>
              </w:rPr>
            </w:pPr>
            <w:r>
              <w:rPr>
                <w:rFonts w:ascii="Times New Roman" w:cs="Times New Roman" w:eastAsia="Times New Roman" w:hAnsi="Times New Roman"/>
                <w:sz w:val="18"/>
                <w:szCs w:val="18"/>
                <w:color w:val="auto"/>
              </w:rPr>
              <w:t>Less Than 12 Months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12 Months or More</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4"/>
              </w:rPr>
              <w:t>Total</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73"/>
        </w:trPr>
        <w:tc>
          <w:tcPr>
            <w:tcW w:w="30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center"/>
              <w:ind w:left="72"/>
              <w:spacing w:after="0" w:line="173" w:lineRule="exact"/>
              <w:rPr>
                <w:sz w:val="20"/>
                <w:szCs w:val="20"/>
                <w:color w:val="auto"/>
              </w:rPr>
            </w:pPr>
            <w:r>
              <w:rPr>
                <w:rFonts w:ascii="Times New Roman" w:cs="Times New Roman" w:eastAsia="Times New Roman" w:hAnsi="Times New Roman"/>
                <w:sz w:val="18"/>
                <w:szCs w:val="18"/>
                <w:color w:val="auto"/>
                <w:w w:val="98"/>
              </w:rPr>
              <w:t>Unrealized</w:t>
            </w:r>
          </w:p>
        </w:tc>
        <w:tc>
          <w:tcPr>
            <w:tcW w:w="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center"/>
              <w:ind w:right="32"/>
              <w:spacing w:after="0" w:line="173" w:lineRule="exact"/>
              <w:rPr>
                <w:sz w:val="20"/>
                <w:szCs w:val="20"/>
                <w:color w:val="auto"/>
              </w:rPr>
            </w:pPr>
            <w:r>
              <w:rPr>
                <w:rFonts w:ascii="Times New Roman" w:cs="Times New Roman" w:eastAsia="Times New Roman" w:hAnsi="Times New Roman"/>
                <w:sz w:val="18"/>
                <w:szCs w:val="18"/>
                <w:color w:val="auto"/>
                <w:w w:val="96"/>
              </w:rPr>
              <w:t>Unrealized</w:t>
            </w:r>
          </w:p>
        </w:tc>
        <w:tc>
          <w:tcPr>
            <w:tcW w:w="100" w:type="dxa"/>
            <w:vAlign w:val="bottom"/>
          </w:tcPr>
          <w:p>
            <w:pPr>
              <w:spacing w:after="0"/>
              <w:rPr>
                <w:sz w:val="15"/>
                <w:szCs w:val="15"/>
                <w:color w:val="auto"/>
              </w:rPr>
            </w:pPr>
          </w:p>
        </w:tc>
        <w:tc>
          <w:tcPr>
            <w:tcW w:w="940" w:type="dxa"/>
            <w:vAlign w:val="bottom"/>
            <w:tcBorders>
              <w:top w:val="single" w:sz="8" w:color="auto"/>
            </w:tcBorders>
          </w:tcPr>
          <w:p>
            <w:pPr>
              <w:jc w:val="center"/>
              <w:ind w:left="72"/>
              <w:spacing w:after="0" w:line="173" w:lineRule="exact"/>
              <w:rPr>
                <w:sz w:val="20"/>
                <w:szCs w:val="20"/>
                <w:color w:val="auto"/>
              </w:rPr>
            </w:pPr>
            <w:r>
              <w:rPr>
                <w:rFonts w:ascii="Times New Roman" w:cs="Times New Roman" w:eastAsia="Times New Roman" w:hAnsi="Times New Roman"/>
                <w:sz w:val="18"/>
                <w:szCs w:val="18"/>
                <w:color w:val="auto"/>
                <w:w w:val="99"/>
              </w:rPr>
              <w:t>Number of</w:t>
            </w:r>
          </w:p>
        </w:tc>
        <w:tc>
          <w:tcPr>
            <w:tcW w:w="1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center"/>
              <w:ind w:right="52"/>
              <w:spacing w:after="0" w:line="173" w:lineRule="exact"/>
              <w:rPr>
                <w:sz w:val="20"/>
                <w:szCs w:val="20"/>
                <w:color w:val="auto"/>
              </w:rPr>
            </w:pPr>
            <w:r>
              <w:rPr>
                <w:rFonts w:ascii="Times New Roman" w:cs="Times New Roman" w:eastAsia="Times New Roman" w:hAnsi="Times New Roman"/>
                <w:sz w:val="18"/>
                <w:szCs w:val="18"/>
                <w:color w:val="auto"/>
                <w:w w:val="98"/>
              </w:rPr>
              <w:t>Unrealized</w:t>
            </w:r>
          </w:p>
        </w:tc>
      </w:tr>
      <w:tr>
        <w:trPr>
          <w:trHeight w:val="229"/>
        </w:trPr>
        <w:tc>
          <w:tcPr>
            <w:tcW w:w="3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Fair Value</w:t>
            </w:r>
          </w:p>
        </w:tc>
        <w:tc>
          <w:tcPr>
            <w:tcW w:w="94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7"/>
              </w:rPr>
              <w:t>Losses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Fair Value</w:t>
            </w:r>
          </w:p>
        </w:tc>
        <w:tc>
          <w:tcPr>
            <w:tcW w:w="140" w:type="dxa"/>
            <w:vAlign w:val="bottom"/>
          </w:tcPr>
          <w:p>
            <w:pPr>
              <w:spacing w:after="0"/>
              <w:rPr>
                <w:sz w:val="19"/>
                <w:szCs w:val="19"/>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Losses</w:t>
            </w:r>
          </w:p>
        </w:tc>
        <w:tc>
          <w:tcPr>
            <w:tcW w:w="94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9"/>
              </w:rPr>
              <w:t>Holdings</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6"/>
              </w:rPr>
              <w:t>Fair Value</w:t>
            </w:r>
          </w:p>
        </w:tc>
        <w:tc>
          <w:tcPr>
            <w:tcW w:w="140" w:type="dxa"/>
            <w:vAlign w:val="bottom"/>
          </w:tcPr>
          <w:p>
            <w:pPr>
              <w:spacing w:after="0"/>
              <w:rPr>
                <w:sz w:val="19"/>
                <w:szCs w:val="19"/>
                <w:color w:val="auto"/>
              </w:rPr>
            </w:pPr>
          </w:p>
        </w:tc>
        <w:tc>
          <w:tcPr>
            <w:tcW w:w="96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7"/>
              </w:rPr>
              <w:t>Losses</w:t>
            </w:r>
          </w:p>
        </w:tc>
      </w:tr>
      <w:tr>
        <w:trPr>
          <w:trHeight w:val="218"/>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notes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0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6"/>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7"/>
              </w:rPr>
              <w:t>December 31, 2024</w:t>
            </w:r>
          </w:p>
        </w:tc>
        <w:tc>
          <w:tcPr>
            <w:tcW w:w="8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18"/>
        </w:trPr>
        <w:tc>
          <w:tcPr>
            <w:tcW w:w="3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Less Than 12 Months</w:t>
            </w:r>
          </w:p>
        </w:tc>
        <w:tc>
          <w:tcPr>
            <w:tcW w:w="140" w:type="dxa"/>
            <w:vAlign w:val="bottom"/>
          </w:tcPr>
          <w:p>
            <w:pPr>
              <w:spacing w:after="0"/>
              <w:rPr>
                <w:sz w:val="18"/>
                <w:szCs w:val="18"/>
                <w:color w:val="auto"/>
              </w:rPr>
            </w:pPr>
          </w:p>
        </w:tc>
        <w:tc>
          <w:tcPr>
            <w:tcW w:w="2340" w:type="dxa"/>
            <w:vAlign w:val="bottom"/>
            <w:gridSpan w:val="7"/>
          </w:tcPr>
          <w:p>
            <w:pPr>
              <w:ind w:left="300"/>
              <w:spacing w:after="0"/>
              <w:rPr>
                <w:sz w:val="20"/>
                <w:szCs w:val="20"/>
                <w:color w:val="auto"/>
              </w:rPr>
            </w:pPr>
            <w:r>
              <w:rPr>
                <w:rFonts w:ascii="Times New Roman" w:cs="Times New Roman" w:eastAsia="Times New Roman" w:hAnsi="Times New Roman"/>
                <w:sz w:val="18"/>
                <w:szCs w:val="18"/>
                <w:color w:val="auto"/>
              </w:rPr>
              <w:t>12 Months or More</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4"/>
              </w:rPr>
              <w:t>Total</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65"/>
        </w:trPr>
        <w:tc>
          <w:tcPr>
            <w:tcW w:w="30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center"/>
              <w:ind w:right="32"/>
              <w:spacing w:after="0" w:line="165" w:lineRule="exact"/>
              <w:rPr>
                <w:sz w:val="20"/>
                <w:szCs w:val="20"/>
                <w:color w:val="auto"/>
              </w:rPr>
            </w:pPr>
            <w:r>
              <w:rPr>
                <w:rFonts w:ascii="Times New Roman" w:cs="Times New Roman" w:eastAsia="Times New Roman" w:hAnsi="Times New Roman"/>
                <w:sz w:val="18"/>
                <w:szCs w:val="18"/>
                <w:color w:val="auto"/>
                <w:w w:val="96"/>
              </w:rPr>
              <w:t>Unrealized</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center"/>
              <w:ind w:right="32"/>
              <w:spacing w:after="0" w:line="165" w:lineRule="exact"/>
              <w:rPr>
                <w:sz w:val="20"/>
                <w:szCs w:val="20"/>
                <w:color w:val="auto"/>
              </w:rPr>
            </w:pPr>
            <w:r>
              <w:rPr>
                <w:rFonts w:ascii="Times New Roman" w:cs="Times New Roman" w:eastAsia="Times New Roman" w:hAnsi="Times New Roman"/>
                <w:sz w:val="18"/>
                <w:szCs w:val="18"/>
                <w:color w:val="auto"/>
                <w:w w:val="98"/>
              </w:rPr>
              <w:t>Unrealized</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center"/>
              <w:spacing w:after="0" w:line="165" w:lineRule="exact"/>
              <w:rPr>
                <w:sz w:val="20"/>
                <w:szCs w:val="20"/>
                <w:color w:val="auto"/>
              </w:rPr>
            </w:pPr>
            <w:r>
              <w:rPr>
                <w:rFonts w:ascii="Times New Roman" w:cs="Times New Roman" w:eastAsia="Times New Roman" w:hAnsi="Times New Roman"/>
                <w:sz w:val="18"/>
                <w:szCs w:val="18"/>
                <w:color w:val="auto"/>
                <w:w w:val="96"/>
              </w:rPr>
              <w:t>Number of</w:t>
            </w:r>
          </w:p>
        </w:tc>
        <w:tc>
          <w:tcPr>
            <w:tcW w:w="1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center"/>
              <w:ind w:right="52"/>
              <w:spacing w:after="0" w:line="165" w:lineRule="exact"/>
              <w:rPr>
                <w:sz w:val="20"/>
                <w:szCs w:val="20"/>
                <w:color w:val="auto"/>
              </w:rPr>
            </w:pPr>
            <w:r>
              <w:rPr>
                <w:rFonts w:ascii="Times New Roman" w:cs="Times New Roman" w:eastAsia="Times New Roman" w:hAnsi="Times New Roman"/>
                <w:sz w:val="18"/>
                <w:szCs w:val="18"/>
                <w:color w:val="auto"/>
                <w:w w:val="98"/>
              </w:rPr>
              <w:t>Unrealized</w:t>
            </w:r>
          </w:p>
        </w:tc>
      </w:tr>
      <w:tr>
        <w:trPr>
          <w:trHeight w:val="238"/>
        </w:trPr>
        <w:tc>
          <w:tcPr>
            <w:tcW w:w="3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Fair Value</w:t>
            </w:r>
          </w:p>
        </w:tc>
        <w:tc>
          <w:tcPr>
            <w:tcW w:w="140" w:type="dxa"/>
            <w:vAlign w:val="bottom"/>
          </w:tcPr>
          <w:p>
            <w:pPr>
              <w:spacing w:after="0"/>
              <w:rPr>
                <w:sz w:val="20"/>
                <w:szCs w:val="20"/>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Losses</w:t>
            </w:r>
          </w:p>
        </w:tc>
        <w:tc>
          <w:tcPr>
            <w:tcW w:w="140" w:type="dxa"/>
            <w:vAlign w:val="bottom"/>
          </w:tcPr>
          <w:p>
            <w:pPr>
              <w:spacing w:after="0"/>
              <w:rPr>
                <w:sz w:val="20"/>
                <w:szCs w:val="20"/>
                <w:color w:val="auto"/>
              </w:rPr>
            </w:pPr>
          </w:p>
        </w:tc>
        <w:tc>
          <w:tcPr>
            <w:tcW w:w="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Fair Value</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7"/>
              </w:rPr>
              <w:t>Losses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Holdings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6"/>
              </w:rPr>
              <w:t>Fair Value</w:t>
            </w:r>
          </w:p>
        </w:tc>
        <w:tc>
          <w:tcPr>
            <w:tcW w:w="140" w:type="dxa"/>
            <w:vAlign w:val="bottom"/>
          </w:tcPr>
          <w:p>
            <w:pPr>
              <w:spacing w:after="0"/>
              <w:rPr>
                <w:sz w:val="20"/>
                <w:szCs w:val="20"/>
                <w:color w:val="auto"/>
              </w:rPr>
            </w:pPr>
          </w:p>
        </w:tc>
        <w:tc>
          <w:tcPr>
            <w:tcW w:w="96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7"/>
              </w:rPr>
              <w:t>Losses</w:t>
            </w:r>
          </w:p>
        </w:tc>
      </w:tr>
      <w:tr>
        <w:trPr>
          <w:trHeight w:val="218"/>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notes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bl>
    <w:p>
      <w:pPr>
        <w:spacing w:after="0" w:line="312"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Management evaluates debt securities available-for-sale debt to determine whether the unrealized loss is due to credit-related factors or non-credit-related factors. The evaluation considers the extent to which the security’s fair value is less than cost, the financial condition and near-term prospects of the issuer, and intent and ability of the Company to retain its investment in the security for a period of time sufficient to allow for any anticipated recovery in fair value. These unrealized losses are primarily the result of non-credit-related volatility in the market and market interest rates. Since none of the unrealized losses relate to marketability of the securities or the issuers' ability to honor redemption obligations and the Company has the intent and ability to hold the securities for a sufficient period of time to recover unrealized losses, none of the losses have been recognized in the Company’s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Maturities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amortized cost and fair value of debt securities available-for-sale by contractual maturity:</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gridSpan w:val="5"/>
          </w:tcPr>
          <w:p>
            <w:pPr>
              <w:ind w:left="90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60" w:type="dxa"/>
            <w:vAlign w:val="bottom"/>
          </w:tcPr>
          <w:p>
            <w:pPr>
              <w:spacing w:after="0"/>
              <w:rPr>
                <w:sz w:val="20"/>
                <w:szCs w:val="20"/>
                <w:color w:val="auto"/>
              </w:rPr>
            </w:pPr>
          </w:p>
        </w:tc>
        <w:tc>
          <w:tcPr>
            <w:tcW w:w="3000" w:type="dxa"/>
            <w:vAlign w:val="bottom"/>
            <w:gridSpan w:val="4"/>
          </w:tcPr>
          <w:p>
            <w:pPr>
              <w:jc w:val="right"/>
              <w:ind w:right="792"/>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8"/>
        </w:trPr>
        <w:tc>
          <w:tcPr>
            <w:tcW w:w="48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Amortized Cost</w:t>
            </w:r>
          </w:p>
        </w:tc>
        <w:tc>
          <w:tcPr>
            <w:tcW w:w="2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Fair Value</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Amortized Cost</w:t>
            </w:r>
          </w:p>
        </w:tc>
        <w:tc>
          <w:tcPr>
            <w:tcW w:w="2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Fair Value</w:t>
            </w:r>
          </w:p>
        </w:tc>
      </w:tr>
      <w:tr>
        <w:trPr>
          <w:trHeight w:val="218"/>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Maturing within 1 year</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14,235</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15,838</w:t>
            </w:r>
          </w:p>
        </w:tc>
      </w:tr>
      <w:tr>
        <w:trPr>
          <w:trHeight w:val="225"/>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After 1 year through 5 years</w:t>
            </w:r>
          </w:p>
        </w:tc>
        <w:tc>
          <w:tcPr>
            <w:tcW w:w="1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8,078</w:t>
            </w:r>
          </w:p>
        </w:tc>
      </w:tr>
      <w:tr>
        <w:trPr>
          <w:trHeight w:val="243"/>
        </w:trPr>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23,916</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information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Newtek Bank’s debt securities available-for-sale pledged for deposits, borrowings, and other purposes: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78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56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8"/>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Pledged for deposits</w:t>
            </w:r>
          </w:p>
        </w:tc>
        <w:tc>
          <w:tcPr>
            <w:tcW w:w="1600" w:type="dxa"/>
            <w:vAlign w:val="bottom"/>
            <w:shd w:val="clear" w:color="auto" w:fill="CCEEFF"/>
          </w:tcPr>
          <w:p>
            <w:pPr>
              <w:jc w:val="right"/>
              <w:ind w:right="141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Pledged for borrowings and other:</w:t>
            </w:r>
          </w:p>
        </w:tc>
        <w:tc>
          <w:tcPr>
            <w:tcW w:w="16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14,245</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23,916</w:t>
            </w:r>
          </w:p>
        </w:tc>
      </w:tr>
      <w:tr>
        <w:trPr>
          <w:trHeight w:val="225"/>
        </w:trPr>
        <w:tc>
          <w:tcPr>
            <w:tcW w:w="6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FRB borrowings</w:t>
            </w:r>
          </w:p>
        </w:tc>
        <w:tc>
          <w:tcPr>
            <w:tcW w:w="16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w:t>
            </w:r>
          </w:p>
        </w:tc>
      </w:tr>
      <w:tr>
        <w:trPr>
          <w:trHeight w:val="225"/>
        </w:trPr>
        <w:tc>
          <w:tcPr>
            <w:tcW w:w="67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FHLB borrowings</w:t>
            </w:r>
          </w:p>
        </w:tc>
        <w:tc>
          <w:tcPr>
            <w:tcW w:w="16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12,267</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20,937</w:t>
            </w:r>
          </w:p>
        </w:tc>
      </w:tr>
      <w:tr>
        <w:trPr>
          <w:trHeight w:val="243"/>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pledged</w:t>
            </w:r>
          </w:p>
        </w:tc>
        <w:tc>
          <w:tcPr>
            <w:tcW w:w="1600" w:type="dxa"/>
            <w:vAlign w:val="bottom"/>
            <w:tcBorders>
              <w:bottom w:val="single" w:sz="8" w:color="auto"/>
            </w:tcBorders>
            <w:shd w:val="clear" w:color="auto" w:fill="CCEEFF"/>
          </w:tcPr>
          <w:p>
            <w:pPr>
              <w:jc w:val="right"/>
              <w:ind w:right="141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14,245</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23,916</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5—LOANS</w:t>
      </w:r>
      <w:r>
        <w:rPr>
          <w:rFonts w:ascii="Times New Roman" w:cs="Times New Roman" w:eastAsia="Times New Roman" w:hAnsi="Times New Roman"/>
          <w:sz w:val="18"/>
          <w:szCs w:val="18"/>
          <w:color w:val="auto"/>
        </w:rPr>
        <w: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Loans held for investment (HFI), at fair value</w:t>
      </w:r>
    </w:p>
    <w:p>
      <w:pPr>
        <w:spacing w:after="0" w:line="24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Loans HFI, at fair value, includes SBA 7(a) loans originated by NSBF. On occasion, NSBF has distributed loans to NewtekOne that were originated as SBA 7(a) loans by NSBF where the SBA guarantee has been subsequently repurchased by NSBF. The following table shows the Company’s loan portfolio by collateral type for loans HFI, at fair value: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5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Loans HFI, at Fair Value</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188"/>
        </w:trPr>
        <w:tc>
          <w:tcPr>
            <w:tcW w:w="6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6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60" w:type="dxa"/>
            <w:vAlign w:val="bottom"/>
          </w:tcPr>
          <w:p>
            <w:pPr>
              <w:spacing w:after="0"/>
              <w:rPr>
                <w:sz w:val="16"/>
                <w:szCs w:val="16"/>
                <w:color w:val="auto"/>
              </w:rPr>
            </w:pPr>
          </w:p>
        </w:tc>
        <w:tc>
          <w:tcPr>
            <w:tcW w:w="1980" w:type="dxa"/>
            <w:vAlign w:val="bottom"/>
            <w:gridSpan w:val="4"/>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92"/>
        </w:trPr>
        <w:tc>
          <w:tcPr>
            <w:tcW w:w="65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4"/>
        </w:trPr>
        <w:tc>
          <w:tcPr>
            <w:tcW w:w="6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w:t>
            </w: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86,603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87,706</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162,894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175,353</w:t>
            </w:r>
          </w:p>
        </w:tc>
      </w:tr>
      <w:tr>
        <w:trPr>
          <w:trHeight w:val="225"/>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89,390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86,843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67,474</w:t>
            </w:r>
          </w:p>
        </w:tc>
      </w:tr>
      <w:tr>
        <w:trPr>
          <w:trHeight w:val="225"/>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Equipment¹</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52,480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53,147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56,454</w:t>
            </w:r>
          </w:p>
        </w:tc>
      </w:tr>
      <w:tr>
        <w:trPr>
          <w:trHeight w:val="225"/>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and Inventory</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42,521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41,725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54,267</w:t>
            </w:r>
          </w:p>
        </w:tc>
      </w:tr>
      <w:tr>
        <w:trPr>
          <w:trHeight w:val="225"/>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5,644</w:t>
            </w:r>
          </w:p>
        </w:tc>
      </w:tr>
      <w:tr>
        <w:trPr>
          <w:trHeight w:val="225"/>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Other²</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14,706</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10,554</w:t>
            </w:r>
          </w:p>
        </w:tc>
      </w:tr>
      <w:tr>
        <w:trPr>
          <w:trHeight w:val="243"/>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328,284</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326,113</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371,146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369,746</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left="160" w:right="120" w:hanging="154"/>
        <w:spacing w:after="0" w:line="219" w:lineRule="auto"/>
        <w:tabs>
          <w:tab w:leader="none" w:pos="173"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Machinery and Equipment includes one loan at NewtekOne at $4.7 million Cost and $4.4 million Fair value as of June 30, 2025, and $4.7 million Cost and $4.6 million Fair Value as of December 31, 2024.</w:t>
      </w:r>
    </w:p>
    <w:p>
      <w:pPr>
        <w:spacing w:after="0" w:line="2" w:lineRule="exact"/>
        <w:rPr>
          <w:sz w:val="20"/>
          <w:szCs w:val="20"/>
          <w:color w:val="auto"/>
        </w:rPr>
      </w:pPr>
    </w:p>
    <w:p>
      <w:pPr>
        <w:ind w:left="160" w:right="420" w:hanging="154"/>
        <w:spacing w:after="0" w:line="219" w:lineRule="auto"/>
        <w:tabs>
          <w:tab w:leader="none" w:pos="173"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includes one loan at NewtekOne at $1.5 million Cost and $0.6 million Fair Value as of June 30, 2025, and one loan at $2.0 million Cost and $1.1 million Fair Value as of December 31, 2024.</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Loans HFI, at amortized cost, net of deferred fees and costs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HFI, at amortized cost, net of deferred fees and costs, includes unguaranteed portions of SBA 7(a) loans, CRE, and C&amp;I loans originated and held by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Newtek Bank. The following table shows the Company’s loan portfolio by loan type for loans HFI, at amortized cost: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80" w:type="dxa"/>
            <w:vAlign w:val="bottom"/>
          </w:tcPr>
          <w:p>
            <w:pPr>
              <w:spacing w:after="0"/>
              <w:rPr>
                <w:sz w:val="18"/>
                <w:szCs w:val="18"/>
                <w:color w:val="auto"/>
              </w:rPr>
            </w:pPr>
          </w:p>
        </w:tc>
        <w:tc>
          <w:tcPr>
            <w:tcW w:w="4400" w:type="dxa"/>
            <w:vAlign w:val="bottom"/>
            <w:tcBorders>
              <w:bottom w:val="single" w:sz="8" w:color="auto"/>
            </w:tcBorders>
            <w:gridSpan w:val="5"/>
          </w:tcPr>
          <w:p>
            <w:pPr>
              <w:jc w:val="right"/>
              <w:ind w:right="1074"/>
              <w:spacing w:after="0"/>
              <w:rPr>
                <w:sz w:val="20"/>
                <w:szCs w:val="20"/>
                <w:color w:val="auto"/>
              </w:rPr>
            </w:pPr>
            <w:r>
              <w:rPr>
                <w:rFonts w:ascii="Times New Roman" w:cs="Times New Roman" w:eastAsia="Times New Roman" w:hAnsi="Times New Roman"/>
                <w:sz w:val="16"/>
                <w:szCs w:val="16"/>
                <w:b w:val="1"/>
                <w:bCs w:val="1"/>
                <w:color w:val="auto"/>
              </w:rPr>
              <w:t>Loans HFI, at Amortized Cost</w:t>
            </w:r>
          </w:p>
        </w:tc>
      </w:tr>
      <w:tr>
        <w:trPr>
          <w:trHeight w:val="188"/>
        </w:trPr>
        <w:tc>
          <w:tcPr>
            <w:tcW w:w="668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24"/>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w:t>
            </w:r>
          </w:p>
        </w:tc>
        <w:tc>
          <w:tcPr>
            <w:tcW w:w="1500" w:type="dxa"/>
            <w:vAlign w:val="bottom"/>
            <w:shd w:val="clear" w:color="auto" w:fill="CCEEFF"/>
          </w:tcPr>
          <w:p>
            <w:pPr>
              <w:jc w:val="right"/>
              <w:ind w:right="131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470,268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380,981</w:t>
            </w:r>
          </w:p>
        </w:tc>
      </w:tr>
      <w:tr>
        <w:trPr>
          <w:trHeight w:val="225"/>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w:t>
            </w:r>
          </w:p>
        </w:tc>
        <w:tc>
          <w:tcPr>
            <w:tcW w:w="15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244,052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191,831</w:t>
            </w:r>
          </w:p>
        </w:tc>
      </w:tr>
      <w:tr>
        <w:trPr>
          <w:trHeight w:val="225"/>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C&amp;I</w:t>
            </w:r>
          </w:p>
        </w:tc>
        <w:tc>
          <w:tcPr>
            <w:tcW w:w="15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51,332</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47,558</w:t>
            </w:r>
          </w:p>
        </w:tc>
      </w:tr>
      <w:tr>
        <w:trPr>
          <w:trHeight w:val="218"/>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Loans</w:t>
            </w:r>
          </w:p>
        </w:tc>
        <w:tc>
          <w:tcPr>
            <w:tcW w:w="1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765,652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620,370</w:t>
            </w:r>
          </w:p>
        </w:tc>
      </w:tr>
      <w:tr>
        <w:trPr>
          <w:trHeight w:val="225"/>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fees and costs, net</w:t>
            </w:r>
          </w:p>
        </w:tc>
        <w:tc>
          <w:tcPr>
            <w:tcW w:w="15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r>
      <w:tr>
        <w:trPr>
          <w:trHeight w:val="218"/>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held for investment, at amortized cost, net of deferred fees and costs</w:t>
            </w:r>
          </w:p>
        </w:tc>
        <w:tc>
          <w:tcPr>
            <w:tcW w:w="1500" w:type="dxa"/>
            <w:vAlign w:val="bottom"/>
            <w:tcBorders>
              <w:bottom w:val="single" w:sz="8" w:color="auto"/>
            </w:tcBorders>
          </w:tcPr>
          <w:p>
            <w:pPr>
              <w:jc w:val="right"/>
              <w:ind w:right="131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767,827</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621,651</w:t>
            </w:r>
          </w:p>
        </w:tc>
      </w:tr>
      <w:tr>
        <w:trPr>
          <w:trHeight w:val="20"/>
        </w:trPr>
        <w:tc>
          <w:tcPr>
            <w:tcW w:w="66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Past Due and Non-Accrual Loans HFI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 HFI, at fair value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aging of accrual and non-accrual loans HFI, at fair value by class: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6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As of June 30, 2025</w:t>
            </w: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r>
      <w:tr>
        <w:trPr>
          <w:trHeight w:val="185"/>
        </w:trPr>
        <w:tc>
          <w:tcPr>
            <w:tcW w:w="26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Past Due and Accruing</w:t>
            </w: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Total Past Due and</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Accounted for Under the</w:t>
            </w:r>
          </w:p>
        </w:tc>
      </w:tr>
      <w:tr>
        <w:trPr>
          <w:trHeight w:val="193"/>
        </w:trPr>
        <w:tc>
          <w:tcPr>
            <w:tcW w:w="2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30-59 Days</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60-89 Days</w:t>
            </w:r>
          </w:p>
        </w:tc>
        <w:tc>
          <w:tcPr>
            <w:tcW w:w="180" w:type="dxa"/>
            <w:vAlign w:val="bottom"/>
          </w:tcPr>
          <w:p>
            <w:pPr>
              <w:spacing w:after="0"/>
              <w:rPr>
                <w:sz w:val="16"/>
                <w:szCs w:val="16"/>
                <w:color w:val="auto"/>
              </w:rPr>
            </w:pPr>
          </w:p>
        </w:tc>
        <w:tc>
          <w:tcPr>
            <w:tcW w:w="8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90+ Days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accrual</w:t>
            </w:r>
          </w:p>
        </w:tc>
        <w:tc>
          <w:tcPr>
            <w:tcW w:w="12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14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360" w:type="dxa"/>
            <w:vAlign w:val="bottom"/>
          </w:tcPr>
          <w:p>
            <w:pPr>
              <w:spacing w:after="0"/>
              <w:rPr>
                <w:sz w:val="16"/>
                <w:szCs w:val="16"/>
                <w:color w:val="auto"/>
              </w:rPr>
            </w:pPr>
          </w:p>
        </w:tc>
        <w:tc>
          <w:tcPr>
            <w:tcW w:w="1560" w:type="dxa"/>
            <w:vAlign w:val="bottom"/>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w w:val="99"/>
              </w:rPr>
              <w:t>FV Option</w:t>
            </w:r>
          </w:p>
        </w:tc>
      </w:tr>
      <w:tr>
        <w:trPr>
          <w:trHeight w:val="197"/>
        </w:trPr>
        <w:tc>
          <w:tcPr>
            <w:tcW w:w="2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at fair value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12,819</w:t>
            </w: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11,797</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70,754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95,370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230,743</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326,113</w:t>
            </w:r>
          </w:p>
        </w:tc>
      </w:tr>
    </w:tbl>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6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r>
      <w:tr>
        <w:trPr>
          <w:trHeight w:val="185"/>
        </w:trPr>
        <w:tc>
          <w:tcPr>
            <w:tcW w:w="26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Past Due and Accruing</w:t>
            </w: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Total Past Due and</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Accounted for Under the</w:t>
            </w:r>
          </w:p>
        </w:tc>
      </w:tr>
      <w:tr>
        <w:trPr>
          <w:trHeight w:val="193"/>
        </w:trPr>
        <w:tc>
          <w:tcPr>
            <w:tcW w:w="2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30-59 Days</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60-89 Days</w:t>
            </w:r>
          </w:p>
        </w:tc>
        <w:tc>
          <w:tcPr>
            <w:tcW w:w="180" w:type="dxa"/>
            <w:vAlign w:val="bottom"/>
          </w:tcPr>
          <w:p>
            <w:pPr>
              <w:spacing w:after="0"/>
              <w:rPr>
                <w:sz w:val="16"/>
                <w:szCs w:val="16"/>
                <w:color w:val="auto"/>
              </w:rPr>
            </w:pPr>
          </w:p>
        </w:tc>
        <w:tc>
          <w:tcPr>
            <w:tcW w:w="840" w:type="dxa"/>
            <w:vAlign w:val="bottom"/>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90+ Days</w:t>
            </w:r>
          </w:p>
        </w:tc>
        <w:tc>
          <w:tcPr>
            <w:tcW w:w="80" w:type="dxa"/>
            <w:vAlign w:val="bottom"/>
          </w:tcPr>
          <w:p>
            <w:pPr>
              <w:spacing w:after="0"/>
              <w:rPr>
                <w:sz w:val="16"/>
                <w:szCs w:val="16"/>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accrual</w:t>
            </w:r>
          </w:p>
        </w:tc>
        <w:tc>
          <w:tcPr>
            <w:tcW w:w="12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14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360" w:type="dxa"/>
            <w:vAlign w:val="bottom"/>
          </w:tcPr>
          <w:p>
            <w:pPr>
              <w:spacing w:after="0"/>
              <w:rPr>
                <w:sz w:val="16"/>
                <w:szCs w:val="16"/>
                <w:color w:val="auto"/>
              </w:rPr>
            </w:pPr>
          </w:p>
        </w:tc>
        <w:tc>
          <w:tcPr>
            <w:tcW w:w="1560" w:type="dxa"/>
            <w:vAlign w:val="bottom"/>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w w:val="99"/>
              </w:rPr>
              <w:t>FV Option</w:t>
            </w:r>
          </w:p>
        </w:tc>
      </w:tr>
      <w:tr>
        <w:trPr>
          <w:trHeight w:val="197"/>
        </w:trPr>
        <w:tc>
          <w:tcPr>
            <w:tcW w:w="2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at fair value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23,158</w:t>
            </w: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18,400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9,268</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67,304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118,130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251,616</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369,746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 HFI, at amortized cost, net of deferred fees and costs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aging of accrual and non-accrual loans HFI, at amortized cost by class: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As of June 30, 2025</w:t>
            </w: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3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Past Due and Accruing</w:t>
            </w: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w:t>
            </w:r>
          </w:p>
        </w:tc>
        <w:tc>
          <w:tcPr>
            <w:tcW w:w="100" w:type="dxa"/>
            <w:vAlign w:val="bottom"/>
          </w:tcPr>
          <w:p>
            <w:pPr>
              <w:spacing w:after="0"/>
              <w:rPr>
                <w:sz w:val="16"/>
                <w:szCs w:val="16"/>
                <w:color w:val="auto"/>
              </w:rPr>
            </w:pP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Total Past Due and</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Total Carried at</w:t>
            </w:r>
          </w:p>
        </w:tc>
        <w:tc>
          <w:tcPr>
            <w:tcW w:w="0" w:type="dxa"/>
            <w:vAlign w:val="bottom"/>
          </w:tcPr>
          <w:p>
            <w:pPr>
              <w:spacing w:after="0"/>
              <w:rPr>
                <w:sz w:val="1"/>
                <w:szCs w:val="1"/>
                <w:color w:val="auto"/>
              </w:rPr>
            </w:pPr>
          </w:p>
        </w:tc>
      </w:tr>
      <w:tr>
        <w:trPr>
          <w:trHeight w:val="193"/>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At amortized cost</w:t>
            </w:r>
          </w:p>
        </w:tc>
        <w:tc>
          <w:tcPr>
            <w:tcW w:w="120" w:type="dxa"/>
            <w:vAlign w:val="bottom"/>
          </w:tcPr>
          <w:p>
            <w:pPr>
              <w:spacing w:after="0"/>
              <w:rPr>
                <w:sz w:val="16"/>
                <w:szCs w:val="16"/>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30-59 Days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60-89 Days</w:t>
            </w:r>
          </w:p>
        </w:tc>
        <w:tc>
          <w:tcPr>
            <w:tcW w:w="180" w:type="dxa"/>
            <w:vAlign w:val="bottom"/>
          </w:tcPr>
          <w:p>
            <w:pPr>
              <w:spacing w:after="0"/>
              <w:rPr>
                <w:sz w:val="16"/>
                <w:szCs w:val="16"/>
                <w:color w:val="auto"/>
              </w:rPr>
            </w:pPr>
          </w:p>
        </w:tc>
        <w:tc>
          <w:tcPr>
            <w:tcW w:w="8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90+ Days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accrual</w:t>
            </w:r>
          </w:p>
        </w:tc>
        <w:tc>
          <w:tcPr>
            <w:tcW w:w="100" w:type="dxa"/>
            <w:vAlign w:val="bottom"/>
          </w:tcPr>
          <w:p>
            <w:pPr>
              <w:spacing w:after="0"/>
              <w:rPr>
                <w:sz w:val="16"/>
                <w:szCs w:val="16"/>
                <w:color w:val="auto"/>
              </w:rPr>
            </w:pP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14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60" w:type="dxa"/>
            <w:vAlign w:val="bottom"/>
          </w:tcPr>
          <w:p>
            <w:pPr>
              <w:spacing w:after="0"/>
              <w:rPr>
                <w:sz w:val="16"/>
                <w:szCs w:val="16"/>
                <w:color w:val="auto"/>
              </w:rPr>
            </w:pP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0" w:type="dxa"/>
            <w:vAlign w:val="bottom"/>
          </w:tcPr>
          <w:p>
            <w:pPr>
              <w:spacing w:after="0"/>
              <w:rPr>
                <w:sz w:val="1"/>
                <w:szCs w:val="1"/>
                <w:color w:val="auto"/>
              </w:rPr>
            </w:pPr>
          </w:p>
        </w:tc>
      </w:tr>
      <w:tr>
        <w:trPr>
          <w:trHeight w:val="160"/>
        </w:trPr>
        <w:tc>
          <w:tcPr>
            <w:tcW w:w="3240" w:type="dxa"/>
            <w:vAlign w:val="bottom"/>
            <w:vMerge w:val="continue"/>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9,582</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42,334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57,120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413,148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470,268</w:t>
            </w:r>
          </w:p>
        </w:tc>
        <w:tc>
          <w:tcPr>
            <w:tcW w:w="0" w:type="dxa"/>
            <w:vAlign w:val="bottom"/>
          </w:tcPr>
          <w:p>
            <w:pPr>
              <w:spacing w:after="0"/>
              <w:rPr>
                <w:sz w:val="1"/>
                <w:szCs w:val="1"/>
                <w:color w:val="auto"/>
              </w:rPr>
            </w:pPr>
          </w:p>
        </w:tc>
      </w:tr>
      <w:tr>
        <w:trPr>
          <w:trHeight w:val="191"/>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897</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240,805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244,052</w:t>
            </w:r>
          </w:p>
        </w:tc>
        <w:tc>
          <w:tcPr>
            <w:tcW w:w="0" w:type="dxa"/>
            <w:vAlign w:val="bottom"/>
          </w:tcPr>
          <w:p>
            <w:pPr>
              <w:spacing w:after="0"/>
              <w:rPr>
                <w:sz w:val="1"/>
                <w:szCs w:val="1"/>
                <w:color w:val="auto"/>
              </w:rPr>
            </w:pPr>
          </w:p>
        </w:tc>
      </w:tr>
      <w:tr>
        <w:trPr>
          <w:trHeight w:val="206"/>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C&amp;I</w:t>
            </w: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4,747</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1,265</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6,089</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45,243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51,332</w:t>
            </w:r>
          </w:p>
        </w:tc>
        <w:tc>
          <w:tcPr>
            <w:tcW w:w="0" w:type="dxa"/>
            <w:vAlign w:val="bottom"/>
          </w:tcPr>
          <w:p>
            <w:pPr>
              <w:spacing w:after="0"/>
              <w:rPr>
                <w:sz w:val="1"/>
                <w:szCs w:val="1"/>
                <w:color w:val="auto"/>
              </w:rPr>
            </w:pPr>
          </w:p>
        </w:tc>
      </w:tr>
      <w:tr>
        <w:trPr>
          <w:trHeight w:val="184"/>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at amortized cost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15,226</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5,281</w:t>
            </w:r>
          </w:p>
        </w:tc>
        <w:tc>
          <w:tcPr>
            <w:tcW w:w="10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45,949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66,456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699,196</w:t>
            </w:r>
          </w:p>
        </w:tc>
        <w:tc>
          <w:tcPr>
            <w:tcW w:w="10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765,652</w:t>
            </w:r>
          </w:p>
        </w:tc>
        <w:tc>
          <w:tcPr>
            <w:tcW w:w="0" w:type="dxa"/>
            <w:vAlign w:val="bottom"/>
          </w:tcPr>
          <w:p>
            <w:pPr>
              <w:spacing w:after="0"/>
              <w:rPr>
                <w:sz w:val="1"/>
                <w:szCs w:val="1"/>
                <w:color w:val="auto"/>
              </w:rPr>
            </w:pPr>
          </w:p>
        </w:tc>
      </w:tr>
      <w:tr>
        <w:trPr>
          <w:trHeight w:val="206"/>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fees and costs</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2,175</w:t>
            </w:r>
          </w:p>
        </w:tc>
        <w:tc>
          <w:tcPr>
            <w:tcW w:w="0" w:type="dxa"/>
            <w:vAlign w:val="bottom"/>
          </w:tcPr>
          <w:p>
            <w:pPr>
              <w:spacing w:after="0"/>
              <w:rPr>
                <w:sz w:val="1"/>
                <w:szCs w:val="1"/>
                <w:color w:val="auto"/>
              </w:rPr>
            </w:pPr>
          </w:p>
        </w:tc>
      </w:tr>
      <w:tr>
        <w:trPr>
          <w:trHeight w:val="184"/>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at amortized cost net of deferred fees and costs</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767,827</w:t>
            </w:r>
          </w:p>
        </w:tc>
        <w:tc>
          <w:tcPr>
            <w:tcW w:w="0" w:type="dxa"/>
            <w:vAlign w:val="bottom"/>
          </w:tcPr>
          <w:p>
            <w:pPr>
              <w:spacing w:after="0"/>
              <w:rPr>
                <w:sz w:val="1"/>
                <w:szCs w:val="1"/>
                <w:color w:val="auto"/>
              </w:rPr>
            </w:pPr>
          </w:p>
        </w:tc>
      </w:tr>
      <w:tr>
        <w:trPr>
          <w:trHeight w:val="206"/>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(42,625)</w:t>
            </w:r>
          </w:p>
        </w:tc>
        <w:tc>
          <w:tcPr>
            <w:tcW w:w="0" w:type="dxa"/>
            <w:vAlign w:val="bottom"/>
          </w:tcPr>
          <w:p>
            <w:pPr>
              <w:spacing w:after="0"/>
              <w:rPr>
                <w:sz w:val="1"/>
                <w:szCs w:val="1"/>
                <w:color w:val="auto"/>
              </w:rPr>
            </w:pPr>
          </w:p>
        </w:tc>
      </w:tr>
      <w:tr>
        <w:trPr>
          <w:trHeight w:val="177"/>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at amortized cost, net</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725,202</w:t>
            </w:r>
          </w:p>
        </w:tc>
        <w:tc>
          <w:tcPr>
            <w:tcW w:w="0" w:type="dxa"/>
            <w:vAlign w:val="bottom"/>
          </w:tcPr>
          <w:p>
            <w:pPr>
              <w:spacing w:after="0"/>
              <w:rPr>
                <w:sz w:val="1"/>
                <w:szCs w:val="1"/>
                <w:color w:val="auto"/>
              </w:rPr>
            </w:pPr>
          </w:p>
        </w:tc>
      </w:tr>
    </w:tbl>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8"/>
          </w:tcPr>
          <w:p>
            <w:pPr>
              <w:ind w:left="64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3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Past Due and Accruing</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4"/>
              </w:rPr>
              <w:t>Non-</w:t>
            </w:r>
          </w:p>
        </w:tc>
        <w:tc>
          <w:tcPr>
            <w:tcW w:w="100" w:type="dxa"/>
            <w:vAlign w:val="bottom"/>
          </w:tcPr>
          <w:p>
            <w:pPr>
              <w:spacing w:after="0"/>
              <w:rPr>
                <w:sz w:val="16"/>
                <w:szCs w:val="16"/>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Total Past Due and</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Total Carried at</w:t>
            </w:r>
          </w:p>
        </w:tc>
        <w:tc>
          <w:tcPr>
            <w:tcW w:w="0" w:type="dxa"/>
            <w:vAlign w:val="bottom"/>
          </w:tcPr>
          <w:p>
            <w:pPr>
              <w:spacing w:after="0"/>
              <w:rPr>
                <w:sz w:val="1"/>
                <w:szCs w:val="1"/>
                <w:color w:val="auto"/>
              </w:rPr>
            </w:pPr>
          </w:p>
        </w:tc>
      </w:tr>
      <w:tr>
        <w:trPr>
          <w:trHeight w:val="193"/>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At amortized cost</w:t>
            </w:r>
          </w:p>
        </w:tc>
        <w:tc>
          <w:tcPr>
            <w:tcW w:w="140" w:type="dxa"/>
            <w:vAlign w:val="bottom"/>
          </w:tcPr>
          <w:p>
            <w:pPr>
              <w:spacing w:after="0"/>
              <w:rPr>
                <w:sz w:val="16"/>
                <w:szCs w:val="16"/>
                <w:color w:val="auto"/>
              </w:rPr>
            </w:pP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30-59 Days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60-89 Days</w:t>
            </w:r>
          </w:p>
        </w:tc>
        <w:tc>
          <w:tcPr>
            <w:tcW w:w="220" w:type="dxa"/>
            <w:vAlign w:val="bottom"/>
          </w:tcPr>
          <w:p>
            <w:pPr>
              <w:spacing w:after="0"/>
              <w:rPr>
                <w:sz w:val="16"/>
                <w:szCs w:val="16"/>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90+ Days</w:t>
            </w:r>
          </w:p>
        </w:tc>
        <w:tc>
          <w:tcPr>
            <w:tcW w:w="100" w:type="dxa"/>
            <w:vAlign w:val="bottom"/>
          </w:tcPr>
          <w:p>
            <w:pPr>
              <w:spacing w:after="0"/>
              <w:rPr>
                <w:sz w:val="16"/>
                <w:szCs w:val="16"/>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accrual</w:t>
            </w:r>
          </w:p>
        </w:tc>
        <w:tc>
          <w:tcPr>
            <w:tcW w:w="100" w:type="dxa"/>
            <w:vAlign w:val="bottom"/>
          </w:tcPr>
          <w:p>
            <w:pPr>
              <w:spacing w:after="0"/>
              <w:rPr>
                <w:sz w:val="16"/>
                <w:szCs w:val="16"/>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14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40" w:type="dxa"/>
            <w:vAlign w:val="bottom"/>
          </w:tcPr>
          <w:p>
            <w:pPr>
              <w:spacing w:after="0"/>
              <w:rPr>
                <w:sz w:val="16"/>
                <w:szCs w:val="16"/>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0" w:type="dxa"/>
            <w:vAlign w:val="bottom"/>
          </w:tcPr>
          <w:p>
            <w:pPr>
              <w:spacing w:after="0"/>
              <w:rPr>
                <w:sz w:val="1"/>
                <w:szCs w:val="1"/>
                <w:color w:val="auto"/>
              </w:rPr>
            </w:pPr>
          </w:p>
        </w:tc>
      </w:tr>
      <w:tr>
        <w:trPr>
          <w:trHeight w:val="160"/>
        </w:trPr>
        <w:tc>
          <w:tcPr>
            <w:tcW w:w="3240" w:type="dxa"/>
            <w:vAlign w:val="bottom"/>
            <w:vMerge w:val="continue"/>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3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11,264</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21,706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42,016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338,965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380,981</w:t>
            </w:r>
          </w:p>
        </w:tc>
        <w:tc>
          <w:tcPr>
            <w:tcW w:w="0" w:type="dxa"/>
            <w:vAlign w:val="bottom"/>
          </w:tcPr>
          <w:p>
            <w:pPr>
              <w:spacing w:after="0"/>
              <w:rPr>
                <w:sz w:val="1"/>
                <w:szCs w:val="1"/>
                <w:color w:val="auto"/>
              </w:rPr>
            </w:pPr>
          </w:p>
        </w:tc>
      </w:tr>
      <w:tr>
        <w:trPr>
          <w:trHeight w:val="191"/>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189,196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191,831</w:t>
            </w:r>
          </w:p>
        </w:tc>
        <w:tc>
          <w:tcPr>
            <w:tcW w:w="0" w:type="dxa"/>
            <w:vAlign w:val="bottom"/>
          </w:tcPr>
          <w:p>
            <w:pPr>
              <w:spacing w:after="0"/>
              <w:rPr>
                <w:sz w:val="1"/>
                <w:szCs w:val="1"/>
                <w:color w:val="auto"/>
              </w:rPr>
            </w:pPr>
          </w:p>
        </w:tc>
      </w:tr>
      <w:tr>
        <w:trPr>
          <w:trHeight w:val="206"/>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C&amp;I</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47,283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47,558</w:t>
            </w:r>
          </w:p>
        </w:tc>
        <w:tc>
          <w:tcPr>
            <w:tcW w:w="0" w:type="dxa"/>
            <w:vAlign w:val="bottom"/>
          </w:tcPr>
          <w:p>
            <w:pPr>
              <w:spacing w:after="0"/>
              <w:rPr>
                <w:sz w:val="1"/>
                <w:szCs w:val="1"/>
                <w:color w:val="auto"/>
              </w:rPr>
            </w:pPr>
          </w:p>
        </w:tc>
      </w:tr>
      <w:tr>
        <w:trPr>
          <w:trHeight w:val="184"/>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at amortized cost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11,539</w:t>
            </w:r>
          </w:p>
        </w:tc>
        <w:tc>
          <w:tcPr>
            <w:tcW w:w="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9,046</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24,341</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44,926</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575,444</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620,370</w:t>
            </w:r>
          </w:p>
        </w:tc>
        <w:tc>
          <w:tcPr>
            <w:tcW w:w="0" w:type="dxa"/>
            <w:vAlign w:val="bottom"/>
          </w:tcPr>
          <w:p>
            <w:pPr>
              <w:spacing w:after="0"/>
              <w:rPr>
                <w:sz w:val="1"/>
                <w:szCs w:val="1"/>
                <w:color w:val="auto"/>
              </w:rPr>
            </w:pPr>
          </w:p>
        </w:tc>
      </w:tr>
      <w:tr>
        <w:trPr>
          <w:trHeight w:val="206"/>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fees and costs</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1,281</w:t>
            </w:r>
          </w:p>
        </w:tc>
        <w:tc>
          <w:tcPr>
            <w:tcW w:w="0" w:type="dxa"/>
            <w:vAlign w:val="bottom"/>
          </w:tcPr>
          <w:p>
            <w:pPr>
              <w:spacing w:after="0"/>
              <w:rPr>
                <w:sz w:val="1"/>
                <w:szCs w:val="1"/>
                <w:color w:val="auto"/>
              </w:rPr>
            </w:pPr>
          </w:p>
        </w:tc>
      </w:tr>
      <w:tr>
        <w:trPr>
          <w:trHeight w:val="184"/>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at amortized cost net of deferred fees and costs</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621,651</w:t>
            </w:r>
          </w:p>
        </w:tc>
        <w:tc>
          <w:tcPr>
            <w:tcW w:w="0" w:type="dxa"/>
            <w:vAlign w:val="bottom"/>
          </w:tcPr>
          <w:p>
            <w:pPr>
              <w:spacing w:after="0"/>
              <w:rPr>
                <w:sz w:val="1"/>
                <w:szCs w:val="1"/>
                <w:color w:val="auto"/>
              </w:rPr>
            </w:pPr>
          </w:p>
        </w:tc>
      </w:tr>
      <w:tr>
        <w:trPr>
          <w:trHeight w:val="206"/>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(30,233)</w:t>
            </w:r>
          </w:p>
        </w:tc>
        <w:tc>
          <w:tcPr>
            <w:tcW w:w="0" w:type="dxa"/>
            <w:vAlign w:val="bottom"/>
          </w:tcPr>
          <w:p>
            <w:pPr>
              <w:spacing w:after="0"/>
              <w:rPr>
                <w:sz w:val="1"/>
                <w:szCs w:val="1"/>
                <w:color w:val="auto"/>
              </w:rPr>
            </w:pPr>
          </w:p>
        </w:tc>
      </w:tr>
      <w:tr>
        <w:trPr>
          <w:trHeight w:val="177"/>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at amortized cost, net</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591,418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Quality Indicators</w:t>
      </w:r>
    </w:p>
    <w:p>
      <w:pPr>
        <w:spacing w:after="0" w:line="246"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The Company uses internal loan reviews to assess the performance of individual loans. In addition, an independent review of the loan portfolio is performed annually by an external firm. The goal of the Company’s annual review of each borrower’s financial performance is to validate the adequacy of the risk grade assigned.</w:t>
      </w:r>
    </w:p>
    <w:p>
      <w:pPr>
        <w:spacing w:after="0" w:line="20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uses a grading system to rank the quality of each loan. The grade is periodically evaluated and adjusted as performance dictates. Loan grades 1 through 4 are passing grades and grade 5 is special mention. Collectively, grades 6 through 7 represent classified loans in Newtek Bank’s portfolio. The following guidelines govern the assignment of these risk grades:</w:t>
      </w:r>
    </w:p>
    <w:p>
      <w:pPr>
        <w:spacing w:after="0" w:line="20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Exceptional (1 Rated): These loans are of the highest quality, with strong, well-documented sources of repayment. These loans will typically have multiple demonstrated sources of repayment with no significant identifiable risk to collection, exhibit well-qualified management, and have liquid financial statements relative to both direct and indirect obligations.</w:t>
      </w:r>
    </w:p>
    <w:p>
      <w:pPr>
        <w:spacing w:after="0" w:line="20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Quality (2 Rated): These loans are of very high credit quality, with strong, well-documented sources of repayment. These loans exhibit very strong, well defined primary and secondary sources of repayment, with no significant identifiable risk of collection and have internally generated cash flow that more than adequately covers current maturities of long-term debt.</w:t>
      </w:r>
    </w:p>
    <w:p>
      <w:pPr>
        <w:spacing w:after="0" w:line="20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Satisfactory (3 Rated): These loans exhibit satisfactory credit risk and have excellent sources of repayment, with no significant identifiable risk of collection. These loans have documented historical cash flow that meets or exceeds required minimum Bank guidelines, or that can be supplemented with verifiable cash flow from other sources. They have adequate secondary sources to liquidate the debt, including combinations of liquidity, liquidation of collateral, or liquidation value to the net worth of the borrower or guarantor.</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Acceptable (4 Rated): These loans show signs of weakness in either adequate sources of repayment or collateral but have demonstrated mitigating factors that minimize the risk of delinquency or loss. These loans may have unproved, insufficient or marginal primary sources of repayment that appear sufficient to service the debt at this time. These loans also include loans underwritten using projected and/or proforma financial information provided by the borrower. Repayment weaknesses may be due to minor operational issues, financial trends, or reliance on projected performance. They may also contain marginal or unproven secondary sources to liquidate the debt, including combinations of liquidation of collateral and liquidation value to the net worth of the borrower or guarantor.</w:t>
      </w:r>
    </w:p>
    <w:p>
      <w:pPr>
        <w:spacing w:after="0" w:line="213"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Special mention (5 Rated): These loans show signs of weaknesses in either adequate sources of repayment or collateral. These loans may contain underwriting guideline tolerances and/or exceptions with no mitigating factors; and/or instances where adverse economic conditions develop subsequent to origination that do not jeopardize liquidation of the debt but substantially increase the level of risk.</w:t>
      </w:r>
    </w:p>
    <w:p>
      <w:pPr>
        <w:spacing w:after="0" w:line="205" w:lineRule="exact"/>
        <w:rPr>
          <w:sz w:val="20"/>
          <w:szCs w:val="20"/>
          <w:color w:val="auto"/>
        </w:rPr>
      </w:pPr>
    </w:p>
    <w:p>
      <w:pPr>
        <w:jc w:val="both"/>
        <w:ind w:right="80"/>
        <w:spacing w:after="0" w:line="280" w:lineRule="auto"/>
        <w:rPr>
          <w:sz w:val="20"/>
          <w:szCs w:val="20"/>
          <w:color w:val="auto"/>
        </w:rPr>
      </w:pPr>
      <w:r>
        <w:rPr>
          <w:rFonts w:ascii="Times New Roman" w:cs="Times New Roman" w:eastAsia="Times New Roman" w:hAnsi="Times New Roman"/>
          <w:sz w:val="17"/>
          <w:szCs w:val="17"/>
          <w:color w:val="auto"/>
        </w:rPr>
        <w:t>Substandard (6 Rated): Loans graded Substandard are inadequately protected by current sound net worth, paying capacity of the obligor, or pledged collateral. Loans classified as Substandard must have a well-defined weakness or weaknesses that jeopardize the liquidation of the debt; are characterized by the distinct possibility that the Bank will sustain some loss if the deficiencies are not corrected. These loans are consistently not meeting the repayment schedule.</w:t>
      </w:r>
    </w:p>
    <w:p>
      <w:pPr>
        <w:spacing w:after="0" w:line="188" w:lineRule="exact"/>
        <w:rPr>
          <w:sz w:val="20"/>
          <w:szCs w:val="20"/>
          <w:color w:val="auto"/>
        </w:rPr>
      </w:pPr>
    </w:p>
    <w:p>
      <w:pPr>
        <w:ind w:right="460"/>
        <w:spacing w:after="0" w:line="253" w:lineRule="auto"/>
        <w:rPr>
          <w:sz w:val="20"/>
          <w:szCs w:val="20"/>
          <w:color w:val="auto"/>
        </w:rPr>
      </w:pPr>
      <w:r>
        <w:rPr>
          <w:rFonts w:ascii="Times New Roman" w:cs="Times New Roman" w:eastAsia="Times New Roman" w:hAnsi="Times New Roman"/>
          <w:sz w:val="18"/>
          <w:szCs w:val="18"/>
          <w:color w:val="auto"/>
        </w:rPr>
        <w:t>Doubtful (7 Rated): Loans graded Doubtful have all the weaknesses inherent in those classified as Substandard, plus the added characteristic that the weaknesses make collection or liquidation in full on the basis of currently existing facts, conditions, and values highly questionable and improbable. The ability of the borrower to service the debt is extremely weak, overdue status is constant, the debt has been placed on non-accrual status, and no definite repayment schedule exists. Once the loss position is determined, the amount is charged off.</w:t>
      </w:r>
    </w:p>
    <w:p>
      <w:pPr>
        <w:spacing w:after="0" w:line="21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Loss (8 Rated): Loss rated loans are considered uncollectible and of such little value that their continuance as assets is not warranted. This classification does not mean that the asset has absolutely no recovery or salvage value, but rather that it is not practical or desirable to defer writing off this credit even though partial recovery may be affected in the future.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asset quality indicators by portfolio class and origination year at June 30, 2025 and December 31, 2024:</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80" w:type="dxa"/>
            <w:vAlign w:val="bottom"/>
            <w:gridSpan w:val="8"/>
          </w:tcPr>
          <w:p>
            <w:pPr>
              <w:ind w:left="200"/>
              <w:spacing w:after="0"/>
              <w:rPr>
                <w:sz w:val="20"/>
                <w:szCs w:val="20"/>
                <w:color w:val="auto"/>
              </w:rPr>
            </w:pPr>
            <w:r>
              <w:rPr>
                <w:rFonts w:ascii="Times New Roman" w:cs="Times New Roman" w:eastAsia="Times New Roman" w:hAnsi="Times New Roman"/>
                <w:sz w:val="18"/>
                <w:szCs w:val="18"/>
                <w:b w:val="1"/>
                <w:bCs w:val="1"/>
                <w:color w:val="auto"/>
              </w:rPr>
              <w:t>Term Loans HFI by Origination Year</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2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SBA, at fair value</w:t>
            </w: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Prior</w:t>
            </w:r>
          </w:p>
        </w:tc>
        <w:tc>
          <w:tcPr>
            <w:tcW w:w="240" w:type="dxa"/>
            <w:vAlign w:val="bottom"/>
          </w:tcPr>
          <w:p>
            <w:pPr>
              <w:spacing w:after="0"/>
              <w:rPr>
                <w:sz w:val="18"/>
                <w:szCs w:val="18"/>
                <w:color w:val="auto"/>
              </w:rPr>
            </w:pPr>
          </w:p>
        </w:tc>
        <w:tc>
          <w:tcPr>
            <w:tcW w:w="90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740" w:type="dxa"/>
            <w:vAlign w:val="bottom"/>
            <w:gridSpan w:val="2"/>
            <w:vMerge w:val="continue"/>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Grades 1-4</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 Grades 5-6</w:t>
            </w:r>
          </w:p>
        </w:tc>
        <w:tc>
          <w:tcPr>
            <w:tcW w:w="2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Grade 7</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 Grade 8</w:t>
            </w:r>
          </w:p>
        </w:tc>
        <w:tc>
          <w:tcPr>
            <w:tcW w:w="2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116,102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40,702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144,736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960" w:type="dxa"/>
            <w:vAlign w:val="bottom"/>
            <w:gridSpan w:val="5"/>
          </w:tcPr>
          <w:p>
            <w:pPr>
              <w:spacing w:after="0" w:line="205" w:lineRule="exact"/>
              <w:rPr>
                <w:sz w:val="20"/>
                <w:szCs w:val="20"/>
                <w:color w:val="auto"/>
              </w:rPr>
            </w:pPr>
            <w:r>
              <w:rPr>
                <w:rFonts w:ascii="Times New Roman" w:cs="Times New Roman" w:eastAsia="Times New Roman" w:hAnsi="Times New Roman"/>
                <w:sz w:val="18"/>
                <w:szCs w:val="18"/>
                <w:b w:val="1"/>
                <w:bCs w:val="1"/>
                <w:color w:val="auto"/>
                <w:w w:val="96"/>
              </w:rPr>
              <w:t>SBA, at amortized cost, net of deferred fees and costs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Grades 1-4</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104,390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 Grades 5-6</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Grade 7</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 Grade 8</w:t>
            </w:r>
          </w:p>
        </w:tc>
        <w:tc>
          <w:tcPr>
            <w:tcW w:w="2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104,747</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232,789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132,732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470,268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960" w:type="dxa"/>
            <w:vAlign w:val="bottom"/>
            <w:gridSpan w:val="5"/>
          </w:tcPr>
          <w:p>
            <w:pPr>
              <w:spacing w:after="0" w:line="205" w:lineRule="exact"/>
              <w:rPr>
                <w:sz w:val="20"/>
                <w:szCs w:val="20"/>
                <w:color w:val="auto"/>
              </w:rPr>
            </w:pPr>
            <w:r>
              <w:rPr>
                <w:rFonts w:ascii="Times New Roman" w:cs="Times New Roman" w:eastAsia="Times New Roman" w:hAnsi="Times New Roman"/>
                <w:sz w:val="18"/>
                <w:szCs w:val="18"/>
                <w:b w:val="1"/>
                <w:bCs w:val="1"/>
                <w:color w:val="auto"/>
                <w:w w:val="95"/>
              </w:rPr>
              <w:t>CRE, at amortized cost, net of deferred fees and costs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Grades 1-4</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61,941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 Grades 5-6</w:t>
            </w:r>
          </w:p>
        </w:tc>
        <w:tc>
          <w:tcPr>
            <w:tcW w:w="2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Grade 7</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Borders>
              <w:bottom w:val="single" w:sz="8" w:color="CCEEFF"/>
            </w:tcBorders>
          </w:tcPr>
          <w:p>
            <w:pPr>
              <w:spacing w:after="0"/>
              <w:rPr>
                <w:sz w:val="18"/>
                <w:szCs w:val="18"/>
                <w:color w:val="auto"/>
              </w:rPr>
            </w:pPr>
          </w:p>
        </w:tc>
        <w:tc>
          <w:tcPr>
            <w:tcW w:w="27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61,941</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51,638</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25,571</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33,008</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15,660</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56,234</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244,052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3960" w:type="dxa"/>
            <w:vAlign w:val="bottom"/>
            <w:gridSpan w:val="5"/>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w w:val="96"/>
              </w:rPr>
              <w:t>C&amp;I, at amortized cost, net of deferred fees and costs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 Grades 1-4</w:t>
            </w: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24,766</w:t>
            </w:r>
          </w:p>
        </w:tc>
        <w:tc>
          <w:tcPr>
            <w:tcW w:w="8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4,329</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Grades 5-6</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 Grade 7</w:t>
            </w:r>
          </w:p>
        </w:tc>
        <w:tc>
          <w:tcPr>
            <w:tcW w:w="2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24,766</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191,454</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306,621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187,248</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149,110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56,362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200,970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1,091,765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2"/>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F-32</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20" w:type="dxa"/>
            <w:vAlign w:val="bottom"/>
            <w:gridSpan w:val="8"/>
          </w:tcPr>
          <w:p>
            <w:pPr>
              <w:ind w:left="100"/>
              <w:spacing w:after="0"/>
              <w:rPr>
                <w:sz w:val="20"/>
                <w:szCs w:val="20"/>
                <w:color w:val="auto"/>
              </w:rPr>
            </w:pPr>
            <w:r>
              <w:rPr>
                <w:rFonts w:ascii="Times New Roman" w:cs="Times New Roman" w:eastAsia="Times New Roman" w:hAnsi="Times New Roman"/>
                <w:sz w:val="18"/>
                <w:szCs w:val="18"/>
                <w:b w:val="1"/>
                <w:bCs w:val="1"/>
                <w:color w:val="auto"/>
              </w:rPr>
              <w:t>Term Loans HFI by Origination Year</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3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SBA, at fair value</w:t>
            </w:r>
          </w:p>
        </w:tc>
        <w:tc>
          <w:tcPr>
            <w:tcW w:w="240" w:type="dxa"/>
            <w:vAlign w:val="bottom"/>
          </w:tcPr>
          <w:p>
            <w:pPr>
              <w:spacing w:after="0"/>
              <w:rPr>
                <w:sz w:val="18"/>
                <w:szCs w:val="18"/>
                <w:color w:val="auto"/>
              </w:rPr>
            </w:pPr>
          </w:p>
        </w:tc>
        <w:tc>
          <w:tcPr>
            <w:tcW w:w="84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Prior</w:t>
            </w:r>
          </w:p>
        </w:tc>
        <w:tc>
          <w:tcPr>
            <w:tcW w:w="240" w:type="dxa"/>
            <w:vAlign w:val="bottom"/>
          </w:tcPr>
          <w:p>
            <w:pPr>
              <w:spacing w:after="0"/>
              <w:rPr>
                <w:sz w:val="18"/>
                <w:szCs w:val="18"/>
                <w:color w:val="auto"/>
              </w:rPr>
            </w:pPr>
          </w:p>
        </w:tc>
        <w:tc>
          <w:tcPr>
            <w:tcW w:w="86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040" w:type="dxa"/>
            <w:vAlign w:val="bottom"/>
            <w:gridSpan w:val="2"/>
            <w:vMerge w:val="continue"/>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Grades 1-4</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112,058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102,569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299,708</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 Grades 5-6</w:t>
            </w:r>
          </w:p>
        </w:tc>
        <w:tc>
          <w:tcPr>
            <w:tcW w:w="2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39,225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69,839</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Grade 7</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 Grade 8</w:t>
            </w:r>
          </w:p>
        </w:tc>
        <w:tc>
          <w:tcPr>
            <w:tcW w:w="2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18"/>
        </w:trPr>
        <w:tc>
          <w:tcPr>
            <w:tcW w:w="20" w:type="dxa"/>
            <w:vAlign w:val="bottom"/>
            <w:tcBorders>
              <w:top w:val="single" w:sz="8" w:color="CCEEFF"/>
            </w:tcBorders>
            <w:shd w:val="clear" w:color="auto" w:fill="CCEEFF"/>
          </w:tcPr>
          <w:p>
            <w:pPr>
              <w:spacing w:after="0"/>
              <w:rPr>
                <w:sz w:val="18"/>
                <w:szCs w:val="18"/>
                <w:color w:val="auto"/>
              </w:rPr>
            </w:pPr>
          </w:p>
        </w:tc>
        <w:tc>
          <w:tcPr>
            <w:tcW w:w="30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130,794</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46,023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141,810</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369,746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4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SBA, at amortized cost, net of deferred</w:t>
            </w:r>
          </w:p>
        </w:tc>
        <w:tc>
          <w:tcPr>
            <w:tcW w:w="108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fees and costs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Grades 1-4</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335,693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 Grades 5-6</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40,228</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Grade 7</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 Grade 8</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18"/>
        </w:trPr>
        <w:tc>
          <w:tcPr>
            <w:tcW w:w="20" w:type="dxa"/>
            <w:vAlign w:val="bottom"/>
            <w:tcBorders>
              <w:top w:val="single" w:sz="8" w:color="CCEEFF"/>
            </w:tcBorders>
            <w:shd w:val="clear" w:color="auto" w:fill="CCEEFF"/>
          </w:tcPr>
          <w:p>
            <w:pPr>
              <w:spacing w:after="0"/>
              <w:rPr>
                <w:sz w:val="18"/>
                <w:szCs w:val="18"/>
                <w:color w:val="auto"/>
              </w:rPr>
            </w:pPr>
          </w:p>
        </w:tc>
        <w:tc>
          <w:tcPr>
            <w:tcW w:w="30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233,106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147,875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380,981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4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CRE, at amortized cost, net of deferred</w:t>
            </w:r>
          </w:p>
        </w:tc>
        <w:tc>
          <w:tcPr>
            <w:tcW w:w="108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fees and costs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Grades 1-4</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60,614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187,593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 Grades 5-6</w:t>
            </w:r>
          </w:p>
        </w:tc>
        <w:tc>
          <w:tcPr>
            <w:tcW w:w="2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4,238</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Grade 7</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Borders>
              <w:bottom w:val="single" w:sz="8" w:color="CCEEFF"/>
            </w:tcBorders>
          </w:tcPr>
          <w:p>
            <w:pPr>
              <w:spacing w:after="0"/>
              <w:rPr>
                <w:sz w:val="18"/>
                <w:szCs w:val="18"/>
                <w:color w:val="auto"/>
              </w:rPr>
            </w:pPr>
          </w:p>
        </w:tc>
        <w:tc>
          <w:tcPr>
            <w:tcW w:w="3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51,889</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25,697</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33,235</w:t>
            </w: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15,763</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63,969</w:t>
            </w: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191,831</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3040" w:type="dxa"/>
            <w:vAlign w:val="bottom"/>
            <w:gridSpan w:val="2"/>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C&amp;I, at amortized cost, net of deferred</w:t>
            </w:r>
          </w:p>
        </w:tc>
        <w:tc>
          <w:tcPr>
            <w:tcW w:w="1080" w:type="dxa"/>
            <w:vAlign w:val="bottom"/>
            <w:gridSpan w:val="2"/>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fees and costs</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 Grades 1-4</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44,251</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8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47,283</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Grades 5-6</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 Grade 7</w:t>
            </w:r>
          </w:p>
        </w:tc>
        <w:tc>
          <w:tcPr>
            <w:tcW w:w="2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Borders>
              <w:top w:val="single" w:sz="8" w:color="CCEEFF"/>
            </w:tcBorders>
            <w:shd w:val="clear" w:color="auto" w:fill="CCEEFF"/>
          </w:tcPr>
          <w:p>
            <w:pPr>
              <w:spacing w:after="0"/>
              <w:rPr>
                <w:sz w:val="18"/>
                <w:szCs w:val="18"/>
                <w:color w:val="auto"/>
              </w:rPr>
            </w:pPr>
          </w:p>
        </w:tc>
        <w:tc>
          <w:tcPr>
            <w:tcW w:w="30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47,558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329,246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202,909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164,029</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61,786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24,867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207,279</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2—SIGNIFICANT ACCOUNTING POLICIES for a description of the methodologies used to estimate the ACL.</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activity in the ACL for the six months ended June 30, 2025 and 2024:</w:t>
      </w:r>
    </w:p>
    <w:p>
      <w:pPr>
        <w:spacing w:after="0" w:line="280" w:lineRule="exact"/>
        <w:rPr>
          <w:sz w:val="20"/>
          <w:szCs w:val="20"/>
          <w:color w:val="auto"/>
        </w:rPr>
      </w:pPr>
    </w:p>
    <w:tbl>
      <w:tblPr>
        <w:tblLayout w:type="fixed"/>
        <w:tblInd w:w="40" w:type="dxa"/>
        <w:tblCellMar>
          <w:top w:w="0" w:type="dxa"/>
          <w:left w:w="0" w:type="dxa"/>
          <w:bottom w:w="0" w:type="dxa"/>
          <w:right w:w="0" w:type="dxa"/>
        </w:tblCellMar>
      </w:tblPr>
      <w:tr>
        <w:trPr>
          <w:trHeight w:val="231"/>
        </w:trPr>
        <w:tc>
          <w:tcPr>
            <w:tcW w:w="25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r>
      <w:tr>
        <w:trPr>
          <w:trHeight w:val="218"/>
        </w:trPr>
        <w:tc>
          <w:tcPr>
            <w:tcW w:w="25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CRE</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C&amp;I</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SBA</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CRE</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C&amp;I</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SBA</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Total</w:t>
            </w:r>
          </w:p>
        </w:tc>
      </w:tr>
      <w:tr>
        <w:trPr>
          <w:trHeight w:val="218"/>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12,574</w:t>
            </w:r>
          </w:p>
        </w:tc>
      </w:tr>
      <w:tr>
        <w:trPr>
          <w:trHeight w:val="225"/>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 offs</w:t>
            </w: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w:t>
            </w:r>
          </w:p>
        </w:tc>
      </w:tr>
      <w:tr>
        <w:trPr>
          <w:trHeight w:val="225"/>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580" w:type="dxa"/>
            <w:vAlign w:val="bottom"/>
            <w:tcBorders>
              <w:bottom w:val="single" w:sz="8" w:color="CCEEFF"/>
            </w:tcBorders>
          </w:tcPr>
          <w:p>
            <w:pPr>
              <w:ind w:left="20"/>
              <w:spacing w:after="0" w:line="225" w:lineRule="exact"/>
              <w:rPr>
                <w:sz w:val="20"/>
                <w:szCs w:val="20"/>
                <w:color w:val="auto"/>
              </w:rPr>
            </w:pPr>
            <w:r>
              <w:rPr>
                <w:rFonts w:ascii="Times New Roman" w:cs="Times New Roman" w:eastAsia="Times New Roman" w:hAnsi="Times New Roman"/>
                <w:sz w:val="18"/>
                <w:szCs w:val="18"/>
                <w:color w:val="auto"/>
              </w:rPr>
              <w:t>Provision for credit losses</w:t>
            </w:r>
            <w:r>
              <w:rPr>
                <w:rFonts w:ascii="Times New Roman" w:cs="Times New Roman" w:eastAsia="Times New Roman" w:hAnsi="Times New Roman"/>
                <w:sz w:val="22"/>
                <w:szCs w:val="22"/>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20,481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22,588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9,607</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9,694</w:t>
            </w:r>
          </w:p>
        </w:tc>
      </w:tr>
      <w:tr>
        <w:trPr>
          <w:trHeight w:val="243"/>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19,525</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21,098</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ind w:left="160" w:hanging="154"/>
        <w:spacing w:after="0" w:line="217" w:lineRule="auto"/>
        <w:tabs>
          <w:tab w:leader="none" w:pos="202"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Excludes $34 thousand and $120 thousand of Provision for credit losses relating to unfunded commitments for the six months ended June 30, 2025 and June 30, 2024, respectively, which is recorded within Accounts payable, accrued expenses and other liabilities in accordance with ASC 326.</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activity in the ACL for the three months ended June 30, 2025 and 2024:</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6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r>
      <w:tr>
        <w:trPr>
          <w:trHeight w:val="218"/>
        </w:trPr>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CRE</w:t>
            </w:r>
          </w:p>
        </w:tc>
        <w:tc>
          <w:tcPr>
            <w:tcW w:w="220" w:type="dxa"/>
            <w:vAlign w:val="bottom"/>
          </w:tcPr>
          <w:p>
            <w:pPr>
              <w:spacing w:after="0"/>
              <w:rPr>
                <w:sz w:val="18"/>
                <w:szCs w:val="18"/>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C&amp;I</w:t>
            </w:r>
          </w:p>
        </w:tc>
        <w:tc>
          <w:tcPr>
            <w:tcW w:w="200" w:type="dxa"/>
            <w:vAlign w:val="bottom"/>
          </w:tcPr>
          <w:p>
            <w:pPr>
              <w:spacing w:after="0"/>
              <w:rPr>
                <w:sz w:val="18"/>
                <w:szCs w:val="18"/>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SBA</w:t>
            </w:r>
          </w:p>
        </w:tc>
        <w:tc>
          <w:tcPr>
            <w:tcW w:w="200" w:type="dxa"/>
            <w:vAlign w:val="bottom"/>
          </w:tcPr>
          <w:p>
            <w:pPr>
              <w:spacing w:after="0"/>
              <w:rPr>
                <w:sz w:val="18"/>
                <w:szCs w:val="18"/>
                <w:color w:val="auto"/>
              </w:rPr>
            </w:pPr>
          </w:p>
        </w:tc>
        <w:tc>
          <w:tcPr>
            <w:tcW w:w="7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CRE</w:t>
            </w:r>
          </w:p>
        </w:tc>
        <w:tc>
          <w:tcPr>
            <w:tcW w:w="220" w:type="dxa"/>
            <w:vAlign w:val="bottom"/>
          </w:tcPr>
          <w:p>
            <w:pPr>
              <w:spacing w:after="0"/>
              <w:rPr>
                <w:sz w:val="18"/>
                <w:szCs w:val="18"/>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C&amp;I</w:t>
            </w:r>
          </w:p>
        </w:tc>
        <w:tc>
          <w:tcPr>
            <w:tcW w:w="200" w:type="dxa"/>
            <w:vAlign w:val="bottom"/>
          </w:tcPr>
          <w:p>
            <w:pPr>
              <w:spacing w:after="0"/>
              <w:rPr>
                <w:sz w:val="18"/>
                <w:szCs w:val="18"/>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SBA</w:t>
            </w:r>
          </w:p>
        </w:tc>
        <w:tc>
          <w:tcPr>
            <w:tcW w:w="220" w:type="dxa"/>
            <w:vAlign w:val="bottom"/>
          </w:tcPr>
          <w:p>
            <w:pPr>
              <w:spacing w:after="0"/>
              <w:rPr>
                <w:sz w:val="18"/>
                <w:szCs w:val="18"/>
                <w:color w:val="auto"/>
              </w:rPr>
            </w:pPr>
          </w:p>
        </w:tc>
        <w:tc>
          <w:tcPr>
            <w:tcW w:w="78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Total</w:t>
            </w:r>
          </w:p>
        </w:tc>
      </w:tr>
      <w:tr>
        <w:trPr>
          <w:trHeight w:val="218"/>
        </w:trPr>
        <w:tc>
          <w:tcPr>
            <w:tcW w:w="2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16,126</w:t>
            </w:r>
          </w:p>
        </w:tc>
      </w:tr>
      <w:tr>
        <w:trPr>
          <w:trHeight w:val="225"/>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 offs</w:t>
            </w:r>
          </w:p>
        </w:tc>
        <w:tc>
          <w:tcPr>
            <w:tcW w:w="2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25"/>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600" w:type="dxa"/>
            <w:vAlign w:val="bottom"/>
            <w:tcBorders>
              <w:bottom w:val="single" w:sz="8" w:color="CCEEFF"/>
            </w:tcBorders>
          </w:tcPr>
          <w:p>
            <w:pPr>
              <w:ind w:left="20"/>
              <w:spacing w:after="0" w:line="225" w:lineRule="exact"/>
              <w:rPr>
                <w:sz w:val="20"/>
                <w:szCs w:val="20"/>
                <w:color w:val="auto"/>
              </w:rPr>
            </w:pPr>
            <w:r>
              <w:rPr>
                <w:rFonts w:ascii="Times New Roman" w:cs="Times New Roman" w:eastAsia="Times New Roman" w:hAnsi="Times New Roman"/>
                <w:sz w:val="18"/>
                <w:szCs w:val="18"/>
                <w:color w:val="auto"/>
              </w:rPr>
              <w:t>Provision for credit losses</w:t>
            </w:r>
            <w:r>
              <w:rPr>
                <w:rFonts w:ascii="Times New Roman" w:cs="Times New Roman" w:eastAsia="Times New Roman" w:hAnsi="Times New Roman"/>
                <w:sz w:val="22"/>
                <w:szCs w:val="22"/>
                <w:color w:val="auto"/>
                <w:vertAlign w:val="superscript"/>
              </w:rPr>
              <w:t>1</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5,772</w:t>
            </w:r>
          </w:p>
        </w:tc>
      </w:tr>
      <w:tr>
        <w:trPr>
          <w:trHeight w:val="243"/>
        </w:trPr>
        <w:tc>
          <w:tcPr>
            <w:tcW w:w="2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21,098</w:t>
            </w: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ind w:left="160" w:right="340" w:hanging="154"/>
        <w:spacing w:after="0" w:line="217" w:lineRule="auto"/>
        <w:tabs>
          <w:tab w:leader="none" w:pos="173"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Excludes $72 thousand and $27 thousand of Provision for credit losses relating to unfunded commitments for the three months ended June 30, 2025 and 2024, respectively, which is recorded within Accounts payable, accrued expenses and other liabilities in accordance with ASC 326.</w:t>
      </w:r>
    </w:p>
    <w:p>
      <w:pPr>
        <w:spacing w:after="0" w:line="221"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8"/>
          <w:szCs w:val="18"/>
          <w:color w:val="auto"/>
        </w:rPr>
        <w:t>The Company identified 322 and 145 loans as of June 30, 2025 and December 31, 2024, respectively, that did not share similar risk characteristics with the loan segments identified in NOTE 2—SIGNIFICANT ACCOUNTING POLICIES and evaluated them for impairment individually.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individually evaluated and collectively evaluated ACL by segment:</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9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r>
      <w:tr>
        <w:trPr>
          <w:trHeight w:val="219"/>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ACL</w:t>
            </w:r>
          </w:p>
        </w:tc>
        <w:tc>
          <w:tcPr>
            <w:tcW w:w="200" w:type="dxa"/>
            <w:vAlign w:val="bottom"/>
          </w:tcPr>
          <w:p>
            <w:pPr>
              <w:spacing w:after="0"/>
              <w:rPr>
                <w:sz w:val="19"/>
                <w:szCs w:val="19"/>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CRE</w:t>
            </w:r>
          </w:p>
        </w:tc>
        <w:tc>
          <w:tcPr>
            <w:tcW w:w="220" w:type="dxa"/>
            <w:vAlign w:val="bottom"/>
          </w:tcPr>
          <w:p>
            <w:pPr>
              <w:spacing w:after="0"/>
              <w:rPr>
                <w:sz w:val="19"/>
                <w:szCs w:val="19"/>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C&amp;I</w:t>
            </w:r>
          </w:p>
        </w:tc>
        <w:tc>
          <w:tcPr>
            <w:tcW w:w="200" w:type="dxa"/>
            <w:vAlign w:val="bottom"/>
          </w:tcPr>
          <w:p>
            <w:pPr>
              <w:spacing w:after="0"/>
              <w:rPr>
                <w:sz w:val="19"/>
                <w:szCs w:val="19"/>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SBA</w:t>
            </w:r>
          </w:p>
        </w:tc>
        <w:tc>
          <w:tcPr>
            <w:tcW w:w="200" w:type="dxa"/>
            <w:vAlign w:val="bottom"/>
          </w:tcPr>
          <w:p>
            <w:pPr>
              <w:spacing w:after="0"/>
              <w:rPr>
                <w:sz w:val="19"/>
                <w:szCs w:val="19"/>
                <w:color w:val="auto"/>
              </w:rPr>
            </w:pPr>
          </w:p>
        </w:tc>
        <w:tc>
          <w:tcPr>
            <w:tcW w:w="7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CRE</w:t>
            </w:r>
          </w:p>
        </w:tc>
        <w:tc>
          <w:tcPr>
            <w:tcW w:w="200" w:type="dxa"/>
            <w:vAlign w:val="bottom"/>
          </w:tcPr>
          <w:p>
            <w:pPr>
              <w:spacing w:after="0"/>
              <w:rPr>
                <w:sz w:val="19"/>
                <w:szCs w:val="19"/>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C&amp;I</w:t>
            </w:r>
          </w:p>
        </w:tc>
        <w:tc>
          <w:tcPr>
            <w:tcW w:w="200" w:type="dxa"/>
            <w:vAlign w:val="bottom"/>
          </w:tcPr>
          <w:p>
            <w:pPr>
              <w:spacing w:after="0"/>
              <w:rPr>
                <w:sz w:val="19"/>
                <w:szCs w:val="19"/>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SBA</w:t>
            </w:r>
          </w:p>
        </w:tc>
        <w:tc>
          <w:tcPr>
            <w:tcW w:w="200" w:type="dxa"/>
            <w:vAlign w:val="bottom"/>
          </w:tcPr>
          <w:p>
            <w:pPr>
              <w:spacing w:after="0"/>
              <w:rPr>
                <w:sz w:val="19"/>
                <w:szCs w:val="19"/>
                <w:color w:val="auto"/>
              </w:rPr>
            </w:pPr>
          </w:p>
        </w:tc>
        <w:tc>
          <w:tcPr>
            <w:tcW w:w="76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Total</w:t>
            </w:r>
          </w:p>
        </w:tc>
      </w:tr>
      <w:tr>
        <w:trPr>
          <w:trHeight w:val="218"/>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Individually Evaluated</w:t>
            </w: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11,784</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7,019</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7,019</w:t>
            </w:r>
          </w:p>
        </w:tc>
      </w:tr>
      <w:tr>
        <w:trPr>
          <w:trHeight w:val="225"/>
        </w:trPr>
        <w:tc>
          <w:tcPr>
            <w:tcW w:w="2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Collectively Evaluated</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27,256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30,032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21,469</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23,214</w:t>
            </w:r>
          </w:p>
        </w:tc>
      </w:tr>
      <w:tr>
        <w:trPr>
          <w:trHeight w:val="243"/>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28,488</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30,233</w:t>
            </w: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recorded investment in loans individually evaluated and collectively evaluated by segment:</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8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9"/>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Recorded Investment</w:t>
            </w:r>
          </w:p>
        </w:tc>
        <w:tc>
          <w:tcPr>
            <w:tcW w:w="200" w:type="dxa"/>
            <w:vAlign w:val="bottom"/>
          </w:tcPr>
          <w:p>
            <w:pPr>
              <w:spacing w:after="0"/>
              <w:rPr>
                <w:sz w:val="19"/>
                <w:szCs w:val="19"/>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CRE</w:t>
            </w:r>
          </w:p>
        </w:tc>
        <w:tc>
          <w:tcPr>
            <w:tcW w:w="220" w:type="dxa"/>
            <w:vAlign w:val="bottom"/>
          </w:tcPr>
          <w:p>
            <w:pPr>
              <w:spacing w:after="0"/>
              <w:rPr>
                <w:sz w:val="19"/>
                <w:szCs w:val="19"/>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C&amp;I</w:t>
            </w:r>
          </w:p>
        </w:tc>
        <w:tc>
          <w:tcPr>
            <w:tcW w:w="200" w:type="dxa"/>
            <w:vAlign w:val="bottom"/>
          </w:tcPr>
          <w:p>
            <w:pPr>
              <w:spacing w:after="0"/>
              <w:rPr>
                <w:sz w:val="19"/>
                <w:szCs w:val="19"/>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SBA</w:t>
            </w:r>
          </w:p>
        </w:tc>
        <w:tc>
          <w:tcPr>
            <w:tcW w:w="200" w:type="dxa"/>
            <w:vAlign w:val="bottom"/>
          </w:tcPr>
          <w:p>
            <w:pPr>
              <w:spacing w:after="0"/>
              <w:rPr>
                <w:sz w:val="19"/>
                <w:szCs w:val="19"/>
                <w:color w:val="auto"/>
              </w:rPr>
            </w:pPr>
          </w:p>
        </w:tc>
        <w:tc>
          <w:tcPr>
            <w:tcW w:w="76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CRE</w:t>
            </w:r>
          </w:p>
        </w:tc>
        <w:tc>
          <w:tcPr>
            <w:tcW w:w="200" w:type="dxa"/>
            <w:vAlign w:val="bottom"/>
          </w:tcPr>
          <w:p>
            <w:pPr>
              <w:spacing w:after="0"/>
              <w:rPr>
                <w:sz w:val="19"/>
                <w:szCs w:val="19"/>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C&amp;I</w:t>
            </w:r>
          </w:p>
        </w:tc>
        <w:tc>
          <w:tcPr>
            <w:tcW w:w="200" w:type="dxa"/>
            <w:vAlign w:val="bottom"/>
          </w:tcPr>
          <w:p>
            <w:pPr>
              <w:spacing w:after="0"/>
              <w:rPr>
                <w:sz w:val="19"/>
                <w:szCs w:val="19"/>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SBA</w:t>
            </w:r>
          </w:p>
        </w:tc>
        <w:tc>
          <w:tcPr>
            <w:tcW w:w="200" w:type="dxa"/>
            <w:vAlign w:val="bottom"/>
          </w:tcPr>
          <w:p>
            <w:pPr>
              <w:spacing w:after="0"/>
              <w:rPr>
                <w:sz w:val="19"/>
                <w:szCs w:val="19"/>
                <w:color w:val="auto"/>
              </w:rPr>
            </w:pPr>
          </w:p>
        </w:tc>
        <w:tc>
          <w:tcPr>
            <w:tcW w:w="76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9"/>
                <w:szCs w:val="19"/>
                <w:color w:val="auto"/>
              </w:rPr>
            </w:pPr>
          </w:p>
        </w:tc>
      </w:tr>
      <w:tr>
        <w:trPr>
          <w:trHeight w:val="218"/>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Individually Evaluated</w:t>
            </w: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18,151</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55,711</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21,706</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24,341</w:t>
            </w:r>
          </w:p>
        </w:tc>
        <w:tc>
          <w:tcPr>
            <w:tcW w:w="100" w:type="dxa"/>
            <w:vAlign w:val="bottom"/>
          </w:tcPr>
          <w:p>
            <w:pPr>
              <w:spacing w:after="0"/>
              <w:rPr>
                <w:sz w:val="18"/>
                <w:szCs w:val="18"/>
                <w:color w:val="auto"/>
              </w:rPr>
            </w:pPr>
          </w:p>
        </w:tc>
      </w:tr>
      <w:tr>
        <w:trPr>
          <w:trHeight w:val="225"/>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Collectively Evaluated</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225,901</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50,067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433,973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709,941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189,196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47,558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359,275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596,029</w:t>
            </w:r>
          </w:p>
        </w:tc>
        <w:tc>
          <w:tcPr>
            <w:tcW w:w="100" w:type="dxa"/>
            <w:vAlign w:val="bottom"/>
          </w:tcPr>
          <w:p>
            <w:pPr>
              <w:spacing w:after="0"/>
              <w:rPr>
                <w:sz w:val="19"/>
                <w:szCs w:val="19"/>
                <w:color w:val="auto"/>
              </w:rPr>
            </w:pPr>
          </w:p>
        </w:tc>
      </w:tr>
      <w:tr>
        <w:trPr>
          <w:trHeight w:val="243"/>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244,052</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51,332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470,268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765,652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191,831</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47,558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380,981</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620,370</w:t>
            </w:r>
          </w:p>
        </w:tc>
        <w:tc>
          <w:tcPr>
            <w:tcW w:w="100" w:type="dxa"/>
            <w:vAlign w:val="bottom"/>
          </w:tcPr>
          <w:p>
            <w:pPr>
              <w:spacing w:after="0"/>
              <w:rPr>
                <w:sz w:val="20"/>
                <w:szCs w:val="20"/>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18"/>
        </w:trPr>
        <w:tc>
          <w:tcPr>
            <w:tcW w:w="2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F-34</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3"/>
        </w:trPr>
        <w:tc>
          <w:tcPr>
            <w:tcW w:w="28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basis of loans on nonaccrual status and the individually assessed ACL are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December 31, 2024</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172"/>
        </w:trPr>
        <w:tc>
          <w:tcPr>
            <w:tcW w:w="1180" w:type="dxa"/>
            <w:vAlign w:val="bottom"/>
          </w:tcPr>
          <w:p>
            <w:pPr>
              <w:spacing w:after="0"/>
              <w:rPr>
                <w:sz w:val="14"/>
                <w:szCs w:val="14"/>
                <w:color w:val="auto"/>
              </w:rPr>
            </w:pPr>
          </w:p>
        </w:tc>
        <w:tc>
          <w:tcPr>
            <w:tcW w:w="1700" w:type="dxa"/>
            <w:vAlign w:val="bottom"/>
            <w:gridSpan w:val="3"/>
          </w:tcPr>
          <w:p>
            <w:pPr>
              <w:jc w:val="center"/>
              <w:ind w:right="100"/>
              <w:spacing w:after="0" w:line="171" w:lineRule="exact"/>
              <w:rPr>
                <w:sz w:val="20"/>
                <w:szCs w:val="20"/>
                <w:color w:val="auto"/>
              </w:rPr>
            </w:pPr>
            <w:r>
              <w:rPr>
                <w:rFonts w:ascii="Times New Roman" w:cs="Times New Roman" w:eastAsia="Times New Roman" w:hAnsi="Times New Roman"/>
                <w:sz w:val="18"/>
                <w:szCs w:val="18"/>
                <w:b w:val="1"/>
                <w:bCs w:val="1"/>
                <w:color w:val="auto"/>
                <w:w w:val="97"/>
              </w:rPr>
              <w:t>Nonaccrual without</w:t>
            </w:r>
          </w:p>
        </w:tc>
        <w:tc>
          <w:tcPr>
            <w:tcW w:w="140" w:type="dxa"/>
            <w:vAlign w:val="bottom"/>
          </w:tcPr>
          <w:p>
            <w:pPr>
              <w:spacing w:after="0"/>
              <w:rPr>
                <w:sz w:val="14"/>
                <w:szCs w:val="14"/>
                <w:color w:val="auto"/>
              </w:rPr>
            </w:pPr>
          </w:p>
        </w:tc>
        <w:tc>
          <w:tcPr>
            <w:tcW w:w="1560" w:type="dxa"/>
            <w:vAlign w:val="bottom"/>
            <w:gridSpan w:val="2"/>
          </w:tcPr>
          <w:p>
            <w:pPr>
              <w:jc w:val="center"/>
              <w:ind w:right="240"/>
              <w:spacing w:after="0" w:line="171" w:lineRule="exact"/>
              <w:rPr>
                <w:sz w:val="20"/>
                <w:szCs w:val="20"/>
                <w:color w:val="auto"/>
              </w:rPr>
            </w:pPr>
            <w:r>
              <w:rPr>
                <w:rFonts w:ascii="Times New Roman" w:cs="Times New Roman" w:eastAsia="Times New Roman" w:hAnsi="Times New Roman"/>
                <w:sz w:val="18"/>
                <w:szCs w:val="18"/>
                <w:b w:val="1"/>
                <w:bCs w:val="1"/>
                <w:color w:val="auto"/>
                <w:w w:val="97"/>
              </w:rPr>
              <w:t>Nonaccrual with</w:t>
            </w: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3"/>
          </w:tcPr>
          <w:p>
            <w:pPr>
              <w:jc w:val="center"/>
              <w:ind w:right="100"/>
              <w:spacing w:after="0" w:line="171" w:lineRule="exact"/>
              <w:rPr>
                <w:sz w:val="20"/>
                <w:szCs w:val="20"/>
                <w:color w:val="auto"/>
              </w:rPr>
            </w:pPr>
            <w:r>
              <w:rPr>
                <w:rFonts w:ascii="Times New Roman" w:cs="Times New Roman" w:eastAsia="Times New Roman" w:hAnsi="Times New Roman"/>
                <w:sz w:val="18"/>
                <w:szCs w:val="18"/>
                <w:b w:val="1"/>
                <w:bCs w:val="1"/>
                <w:color w:val="auto"/>
                <w:w w:val="98"/>
              </w:rPr>
              <w:t>Nonaccrual without</w:t>
            </w:r>
          </w:p>
        </w:tc>
        <w:tc>
          <w:tcPr>
            <w:tcW w:w="140" w:type="dxa"/>
            <w:vAlign w:val="bottom"/>
          </w:tcPr>
          <w:p>
            <w:pPr>
              <w:spacing w:after="0"/>
              <w:rPr>
                <w:sz w:val="14"/>
                <w:szCs w:val="14"/>
                <w:color w:val="auto"/>
              </w:rPr>
            </w:pPr>
          </w:p>
        </w:tc>
        <w:tc>
          <w:tcPr>
            <w:tcW w:w="1560" w:type="dxa"/>
            <w:vAlign w:val="bottom"/>
            <w:gridSpan w:val="2"/>
          </w:tcPr>
          <w:p>
            <w:pPr>
              <w:jc w:val="center"/>
              <w:ind w:right="240"/>
              <w:spacing w:after="0" w:line="171" w:lineRule="exact"/>
              <w:rPr>
                <w:sz w:val="20"/>
                <w:szCs w:val="20"/>
                <w:color w:val="auto"/>
              </w:rPr>
            </w:pPr>
            <w:r>
              <w:rPr>
                <w:rFonts w:ascii="Times New Roman" w:cs="Times New Roman" w:eastAsia="Times New Roman" w:hAnsi="Times New Roman"/>
                <w:sz w:val="18"/>
                <w:szCs w:val="18"/>
                <w:b w:val="1"/>
                <w:bCs w:val="1"/>
                <w:color w:val="auto"/>
                <w:w w:val="97"/>
              </w:rPr>
              <w:t>Nonaccrual with</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31"/>
        </w:trPr>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Allowance</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360" w:type="dxa"/>
            <w:vAlign w:val="bottom"/>
          </w:tcPr>
          <w:p>
            <w:pPr>
              <w:spacing w:after="0"/>
              <w:rPr>
                <w:sz w:val="20"/>
                <w:szCs w:val="20"/>
                <w:color w:val="auto"/>
              </w:rPr>
            </w:pPr>
          </w:p>
        </w:tc>
        <w:tc>
          <w:tcPr>
            <w:tcW w:w="13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ACL</w:t>
            </w:r>
          </w:p>
        </w:tc>
        <w:tc>
          <w:tcPr>
            <w:tcW w:w="240" w:type="dxa"/>
            <w:vAlign w:val="bottom"/>
          </w:tcPr>
          <w:p>
            <w:pPr>
              <w:spacing w:after="0"/>
              <w:rPr>
                <w:sz w:val="20"/>
                <w:szCs w:val="20"/>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Allowance</w:t>
            </w:r>
          </w:p>
        </w:tc>
        <w:tc>
          <w:tcPr>
            <w:tcW w:w="140" w:type="dxa"/>
            <w:vAlign w:val="bottom"/>
          </w:tcPr>
          <w:p>
            <w:pPr>
              <w:spacing w:after="0"/>
              <w:rPr>
                <w:sz w:val="20"/>
                <w:szCs w:val="20"/>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Allowance</w:t>
            </w:r>
          </w:p>
        </w:tc>
        <w:tc>
          <w:tcPr>
            <w:tcW w:w="360" w:type="dxa"/>
            <w:vAlign w:val="bottom"/>
          </w:tcPr>
          <w:p>
            <w:pPr>
              <w:spacing w:after="0"/>
              <w:rPr>
                <w:sz w:val="20"/>
                <w:szCs w:val="20"/>
                <w:color w:val="auto"/>
              </w:rPr>
            </w:pPr>
          </w:p>
        </w:tc>
        <w:tc>
          <w:tcPr>
            <w:tcW w:w="122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ACL</w:t>
            </w:r>
          </w:p>
        </w:tc>
      </w:tr>
      <w:tr>
        <w:trPr>
          <w:trHeight w:val="218"/>
        </w:trPr>
        <w:tc>
          <w:tcPr>
            <w:tcW w:w="1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w:t>
            </w: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25,906</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14,444</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7,019</w:t>
            </w:r>
          </w:p>
        </w:tc>
      </w:tr>
      <w:tr>
        <w:trPr>
          <w:trHeight w:val="225"/>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C&amp;I</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1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28,540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27,171</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9,899</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14,444</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7,019</w:t>
            </w:r>
          </w:p>
        </w:tc>
      </w:tr>
      <w:tr>
        <w:trPr>
          <w:trHeight w:val="20"/>
        </w:trPr>
        <w:tc>
          <w:tcPr>
            <w:tcW w:w="1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unpaid contractual principal balance and recorded investment for the loans individually assessed is shown in the table below by type:</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5"/>
          </w:tcPr>
          <w:p>
            <w:pPr>
              <w:ind w:left="54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Real Estate</w:t>
            </w:r>
          </w:p>
        </w:tc>
        <w:tc>
          <w:tcPr>
            <w:tcW w:w="160" w:type="dxa"/>
            <w:vAlign w:val="bottom"/>
          </w:tcPr>
          <w:p>
            <w:pPr>
              <w:spacing w:after="0"/>
              <w:rPr>
                <w:sz w:val="14"/>
                <w:szCs w:val="14"/>
                <w:color w:val="auto"/>
              </w:rPr>
            </w:pPr>
          </w:p>
        </w:tc>
        <w:tc>
          <w:tcPr>
            <w:tcW w:w="1120" w:type="dxa"/>
            <w:vAlign w:val="bottom"/>
            <w:gridSpan w:val="2"/>
          </w:tcPr>
          <w:p>
            <w:pPr>
              <w:jc w:val="center"/>
              <w:ind w:right="280"/>
              <w:spacing w:after="0" w:line="171" w:lineRule="exact"/>
              <w:rPr>
                <w:sz w:val="20"/>
                <w:szCs w:val="20"/>
                <w:color w:val="auto"/>
              </w:rPr>
            </w:pPr>
            <w:r>
              <w:rPr>
                <w:rFonts w:ascii="Times New Roman" w:cs="Times New Roman" w:eastAsia="Times New Roman" w:hAnsi="Times New Roman"/>
                <w:sz w:val="18"/>
                <w:szCs w:val="18"/>
                <w:b w:val="1"/>
                <w:bCs w:val="1"/>
                <w:color w:val="auto"/>
                <w:w w:val="98"/>
              </w:rPr>
              <w:t>Non-Real</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Real Estate</w:t>
            </w:r>
          </w:p>
        </w:tc>
        <w:tc>
          <w:tcPr>
            <w:tcW w:w="160" w:type="dxa"/>
            <w:vAlign w:val="bottom"/>
          </w:tcPr>
          <w:p>
            <w:pPr>
              <w:spacing w:after="0"/>
              <w:rPr>
                <w:sz w:val="14"/>
                <w:szCs w:val="14"/>
                <w:color w:val="auto"/>
              </w:rPr>
            </w:pPr>
          </w:p>
        </w:tc>
        <w:tc>
          <w:tcPr>
            <w:tcW w:w="1120" w:type="dxa"/>
            <w:vAlign w:val="bottom"/>
            <w:gridSpan w:val="2"/>
          </w:tcPr>
          <w:p>
            <w:pPr>
              <w:jc w:val="center"/>
              <w:ind w:right="260"/>
              <w:spacing w:after="0" w:line="171" w:lineRule="exact"/>
              <w:rPr>
                <w:sz w:val="20"/>
                <w:szCs w:val="20"/>
                <w:color w:val="auto"/>
              </w:rPr>
            </w:pPr>
            <w:r>
              <w:rPr>
                <w:rFonts w:ascii="Times New Roman" w:cs="Times New Roman" w:eastAsia="Times New Roman" w:hAnsi="Times New Roman"/>
                <w:sz w:val="18"/>
                <w:szCs w:val="18"/>
                <w:b w:val="1"/>
                <w:bCs w:val="1"/>
                <w:color w:val="auto"/>
                <w:w w:val="95"/>
              </w:rPr>
              <w:t>Non-Real</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260"/>
              <w:spacing w:after="0" w:line="179" w:lineRule="exact"/>
              <w:rPr>
                <w:sz w:val="20"/>
                <w:szCs w:val="20"/>
                <w:color w:val="auto"/>
              </w:rPr>
            </w:pPr>
            <w:r>
              <w:rPr>
                <w:rFonts w:ascii="Times New Roman" w:cs="Times New Roman" w:eastAsia="Times New Roman" w:hAnsi="Times New Roman"/>
                <w:sz w:val="18"/>
                <w:szCs w:val="18"/>
                <w:b w:val="1"/>
                <w:bCs w:val="1"/>
                <w:color w:val="auto"/>
                <w:w w:val="95"/>
              </w:rPr>
              <w:t>Estate</w:t>
            </w:r>
          </w:p>
        </w:tc>
        <w:tc>
          <w:tcPr>
            <w:tcW w:w="240" w:type="dxa"/>
            <w:vAlign w:val="bottom"/>
          </w:tcPr>
          <w:p>
            <w:pPr>
              <w:spacing w:after="0"/>
              <w:rPr>
                <w:sz w:val="15"/>
                <w:szCs w:val="15"/>
                <w:color w:val="auto"/>
              </w:rPr>
            </w:pPr>
          </w:p>
        </w:tc>
        <w:tc>
          <w:tcPr>
            <w:tcW w:w="10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Pr>
          <w:p>
            <w:pPr>
              <w:spacing w:after="0"/>
              <w:rPr>
                <w:sz w:val="15"/>
                <w:szCs w:val="15"/>
                <w:color w:val="auto"/>
              </w:rPr>
            </w:pPr>
          </w:p>
        </w:tc>
        <w:tc>
          <w:tcPr>
            <w:tcW w:w="10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ACL</w:t>
            </w:r>
          </w:p>
        </w:tc>
        <w:tc>
          <w:tcPr>
            <w:tcW w:w="1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260"/>
              <w:spacing w:after="0" w:line="179" w:lineRule="exact"/>
              <w:rPr>
                <w:sz w:val="20"/>
                <w:szCs w:val="20"/>
                <w:color w:val="auto"/>
              </w:rPr>
            </w:pPr>
            <w:r>
              <w:rPr>
                <w:rFonts w:ascii="Times New Roman" w:cs="Times New Roman" w:eastAsia="Times New Roman" w:hAnsi="Times New Roman"/>
                <w:sz w:val="18"/>
                <w:szCs w:val="18"/>
                <w:b w:val="1"/>
                <w:bCs w:val="1"/>
                <w:color w:val="auto"/>
                <w:w w:val="95"/>
              </w:rPr>
              <w:t>Estate</w:t>
            </w:r>
          </w:p>
        </w:tc>
        <w:tc>
          <w:tcPr>
            <w:tcW w:w="240" w:type="dxa"/>
            <w:vAlign w:val="bottom"/>
          </w:tcPr>
          <w:p>
            <w:pPr>
              <w:spacing w:after="0"/>
              <w:rPr>
                <w:sz w:val="15"/>
                <w:szCs w:val="15"/>
                <w:color w:val="auto"/>
              </w:rPr>
            </w:pPr>
          </w:p>
        </w:tc>
        <w:tc>
          <w:tcPr>
            <w:tcW w:w="10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Pr>
          <w:p>
            <w:pPr>
              <w:spacing w:after="0"/>
              <w:rPr>
                <w:sz w:val="15"/>
                <w:szCs w:val="15"/>
                <w:color w:val="auto"/>
              </w:rPr>
            </w:pPr>
          </w:p>
        </w:tc>
        <w:tc>
          <w:tcPr>
            <w:tcW w:w="920" w:type="dxa"/>
            <w:vAlign w:val="bottom"/>
            <w:vMerge w:val="restart"/>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ACL</w:t>
            </w:r>
          </w:p>
        </w:tc>
        <w:tc>
          <w:tcPr>
            <w:tcW w:w="0" w:type="dxa"/>
            <w:vAlign w:val="bottom"/>
          </w:tcPr>
          <w:p>
            <w:pPr>
              <w:spacing w:after="0"/>
              <w:rPr>
                <w:sz w:val="1"/>
                <w:szCs w:val="1"/>
                <w:color w:val="auto"/>
              </w:rPr>
            </w:pPr>
          </w:p>
        </w:tc>
      </w:tr>
      <w:tr>
        <w:trPr>
          <w:trHeight w:val="225"/>
        </w:trPr>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Collateral</w:t>
            </w:r>
          </w:p>
        </w:tc>
        <w:tc>
          <w:tcPr>
            <w:tcW w:w="160" w:type="dxa"/>
            <w:vAlign w:val="bottom"/>
          </w:tcPr>
          <w:p>
            <w:pPr>
              <w:spacing w:after="0"/>
              <w:rPr>
                <w:sz w:val="19"/>
                <w:szCs w:val="19"/>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Collateral</w:t>
            </w:r>
          </w:p>
        </w:tc>
        <w:tc>
          <w:tcPr>
            <w:tcW w:w="24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Collateral</w:t>
            </w:r>
          </w:p>
        </w:tc>
        <w:tc>
          <w:tcPr>
            <w:tcW w:w="160" w:type="dxa"/>
            <w:vAlign w:val="bottom"/>
          </w:tcPr>
          <w:p>
            <w:pPr>
              <w:spacing w:after="0"/>
              <w:rPr>
                <w:sz w:val="19"/>
                <w:szCs w:val="19"/>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Collateral</w:t>
            </w:r>
          </w:p>
        </w:tc>
        <w:tc>
          <w:tcPr>
            <w:tcW w:w="24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28,564</w:t>
            </w: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36,295</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21,706</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7,019</w:t>
            </w:r>
          </w:p>
        </w:tc>
        <w:tc>
          <w:tcPr>
            <w:tcW w:w="0" w:type="dxa"/>
            <w:vAlign w:val="bottom"/>
          </w:tcPr>
          <w:p>
            <w:pPr>
              <w:spacing w:after="0"/>
              <w:rPr>
                <w:sz w:val="1"/>
                <w:szCs w:val="1"/>
                <w:color w:val="auto"/>
              </w:rPr>
            </w:pPr>
          </w:p>
        </w:tc>
      </w:tr>
      <w:tr>
        <w:trPr>
          <w:trHeight w:val="225"/>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C&amp;I</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1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47,403</w:t>
            </w: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8,308</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55,711</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12,593</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22,221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24,341</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7,019</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9"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8"/>
          <w:szCs w:val="18"/>
          <w:color w:val="auto"/>
        </w:rPr>
        <w:t>Accrued interest on loans totaled $16.6 million and $15.5 million as of June 30, 2025 and December 31, 2024, respectively, and is excluded from the estimate of credit losses. The Company writes off accrued interest receivable by reversing interest income and typically occurs upon loans becoming 90 to 120 days past due.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Modifications Made to Borrowers Experiencing Financial Difficulty</w:t>
      </w:r>
    </w:p>
    <w:p>
      <w:pPr>
        <w:spacing w:after="0" w:line="246"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7"/>
          <w:szCs w:val="17"/>
          <w:color w:val="auto"/>
        </w:rPr>
        <w:t>During the three months ended June 30, 2025, the Company executed one loan modification involving a borrower experiencing financial difficulty, with an amortized cost basis of $0.25 million. The modification resulted in an other-than-insignificant delay in payments; however, the Company expects to receive all contractual principal and interest. The terms of the modification did not include principal forgiveness, term extension, or interest rate reductions.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loan modifications to borrowers experiencing financial difficulty were executed during the three and six months ended June 30, 2025 and 2024.</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Loans held for sale, at fair value</w:t>
            </w:r>
          </w:p>
        </w:tc>
        <w:tc>
          <w:tcPr>
            <w:tcW w:w="3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52"/>
        </w:trPr>
        <w:tc>
          <w:tcPr>
            <w:tcW w:w="700" w:type="dxa"/>
            <w:vAlign w:val="bottom"/>
            <w:tcBorders>
              <w:bottom w:val="single" w:sz="8" w:color="CCEEFF"/>
            </w:tcBorders>
          </w:tcPr>
          <w:p>
            <w:pPr>
              <w:spacing w:after="0"/>
              <w:rPr>
                <w:sz w:val="21"/>
                <w:szCs w:val="21"/>
                <w:color w:val="auto"/>
              </w:rPr>
            </w:pPr>
          </w:p>
        </w:tc>
        <w:tc>
          <w:tcPr>
            <w:tcW w:w="59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8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8"/>
        </w:trPr>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SBA 504</w:t>
            </w:r>
          </w:p>
        </w:tc>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Lien</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143,658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128,255</w:t>
            </w:r>
          </w:p>
        </w:tc>
      </w:tr>
      <w:tr>
        <w:trPr>
          <w:trHeight w:val="225"/>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SBA 504</w:t>
            </w: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Lien</w:t>
            </w:r>
          </w:p>
        </w:tc>
        <w:tc>
          <w:tcPr>
            <w:tcW w:w="3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26,678</w:t>
            </w:r>
          </w:p>
        </w:tc>
      </w:tr>
      <w:tr>
        <w:trPr>
          <w:trHeight w:val="225"/>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 7(a)</w:t>
            </w:r>
          </w:p>
        </w:tc>
        <w:tc>
          <w:tcPr>
            <w:tcW w:w="3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184,480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4,855</w:t>
            </w:r>
          </w:p>
        </w:tc>
      </w:tr>
      <w:tr>
        <w:trPr>
          <w:trHeight w:val="225"/>
        </w:trPr>
        <w:tc>
          <w:tcPr>
            <w:tcW w:w="6620" w:type="dxa"/>
            <w:vAlign w:val="bottom"/>
            <w:gridSpan w:val="2"/>
          </w:tcPr>
          <w:p>
            <w:pPr>
              <w:ind w:left="20"/>
              <w:spacing w:after="0" w:line="225" w:lineRule="exact"/>
              <w:rPr>
                <w:sz w:val="20"/>
                <w:szCs w:val="20"/>
                <w:color w:val="auto"/>
              </w:rPr>
            </w:pPr>
            <w:r>
              <w:rPr>
                <w:rFonts w:ascii="Times New Roman" w:cs="Times New Roman" w:eastAsia="Times New Roman" w:hAnsi="Times New Roman"/>
                <w:sz w:val="18"/>
                <w:szCs w:val="18"/>
                <w:color w:val="auto"/>
              </w:rPr>
              <w:t>SBA 7(a) Partials</w:t>
            </w:r>
            <w:r>
              <w:rPr>
                <w:rFonts w:ascii="Times New Roman" w:cs="Times New Roman" w:eastAsia="Times New Roman" w:hAnsi="Times New Roman"/>
                <w:sz w:val="22"/>
                <w:szCs w:val="22"/>
                <w:color w:val="auto"/>
                <w:vertAlign w:val="superscript"/>
              </w:rPr>
              <w:t>1</w:t>
            </w:r>
          </w:p>
        </w:tc>
        <w:tc>
          <w:tcPr>
            <w:tcW w:w="3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ALP</w:t>
            </w:r>
          </w:p>
        </w:tc>
        <w:tc>
          <w:tcPr>
            <w:tcW w:w="59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138,021</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212,498</w:t>
            </w:r>
          </w:p>
        </w:tc>
      </w:tr>
      <w:tr>
        <w:trPr>
          <w:trHeight w:val="218"/>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Loans held for sale, at fair value</w:t>
            </w: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514,609</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372,286</w:t>
            </w:r>
          </w:p>
        </w:tc>
      </w:tr>
      <w:tr>
        <w:trPr>
          <w:trHeight w:val="20"/>
        </w:trPr>
        <w:tc>
          <w:tcPr>
            <w:tcW w:w="70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5" w:lineRule="exact"/>
        <w:rPr>
          <w:sz w:val="20"/>
          <w:szCs w:val="20"/>
          <w:color w:val="auto"/>
        </w:rPr>
      </w:pPr>
    </w:p>
    <w:p>
      <w:pPr>
        <w:ind w:left="180" w:hanging="174"/>
        <w:spacing w:after="0"/>
        <w:tabs>
          <w:tab w:leader="none" w:pos="18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Reclassified from Loans held for sale, at LCM</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aging of accrual and non-accrual loans HFS, at fair value by class: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6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As of June 30, 2025</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r>
      <w:tr>
        <w:trPr>
          <w:trHeight w:val="185"/>
        </w:trPr>
        <w:tc>
          <w:tcPr>
            <w:tcW w:w="26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Past Due and Accruing</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Total Past Due and</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Total Accounted for Under</w:t>
            </w:r>
          </w:p>
        </w:tc>
      </w:tr>
      <w:tr>
        <w:trPr>
          <w:trHeight w:val="193"/>
        </w:trPr>
        <w:tc>
          <w:tcPr>
            <w:tcW w:w="26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30-59 Days</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60-89 Days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90+ Days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4"/>
                <w:szCs w:val="14"/>
                <w:b w:val="1"/>
                <w:bCs w:val="1"/>
                <w:color w:val="auto"/>
              </w:rPr>
              <w:t>accrual</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the FV Option</w:t>
            </w:r>
          </w:p>
        </w:tc>
      </w:tr>
      <w:tr>
        <w:trPr>
          <w:trHeight w:val="210"/>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 at fair value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1,965</w:t>
            </w:r>
          </w:p>
        </w:tc>
        <w:tc>
          <w:tcPr>
            <w:tcW w:w="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332,245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376,588</w:t>
            </w:r>
          </w:p>
        </w:tc>
      </w:tr>
      <w:tr>
        <w:trPr>
          <w:trHeight w:val="225"/>
        </w:trPr>
        <w:tc>
          <w:tcPr>
            <w:tcW w:w="2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ALP, at fair value</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136,365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138,021</w:t>
            </w:r>
          </w:p>
        </w:tc>
      </w:tr>
      <w:tr>
        <w:trPr>
          <w:trHeight w:val="205"/>
        </w:trPr>
        <w:tc>
          <w:tcPr>
            <w:tcW w:w="26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1,965</w:t>
            </w:r>
          </w:p>
        </w:tc>
        <w:tc>
          <w:tcPr>
            <w:tcW w:w="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29,514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45,999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468,610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514,609</w:t>
            </w:r>
          </w:p>
        </w:tc>
      </w:tr>
    </w:tbl>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6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r>
      <w:tr>
        <w:trPr>
          <w:trHeight w:val="185"/>
        </w:trPr>
        <w:tc>
          <w:tcPr>
            <w:tcW w:w="26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Past Due and Accruing</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Total Past Due and</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Total Accounted for Under</w:t>
            </w:r>
          </w:p>
        </w:tc>
      </w:tr>
      <w:tr>
        <w:trPr>
          <w:trHeight w:val="193"/>
        </w:trPr>
        <w:tc>
          <w:tcPr>
            <w:tcW w:w="26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30-59 Days</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60-89 Days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90+ Days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accrual</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the FV Option</w:t>
            </w:r>
          </w:p>
        </w:tc>
      </w:tr>
      <w:tr>
        <w:trPr>
          <w:trHeight w:val="210"/>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 at fair value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29,119</w:t>
            </w:r>
          </w:p>
        </w:tc>
        <w:tc>
          <w:tcPr>
            <w:tcW w:w="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117,052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159,788</w:t>
            </w:r>
          </w:p>
        </w:tc>
      </w:tr>
      <w:tr>
        <w:trPr>
          <w:trHeight w:val="225"/>
        </w:trPr>
        <w:tc>
          <w:tcPr>
            <w:tcW w:w="2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ALP, at fair value</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210,006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212,498</w:t>
            </w:r>
          </w:p>
        </w:tc>
      </w:tr>
      <w:tr>
        <w:trPr>
          <w:trHeight w:val="205"/>
        </w:trPr>
        <w:tc>
          <w:tcPr>
            <w:tcW w:w="26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29,119</w:t>
            </w:r>
          </w:p>
        </w:tc>
        <w:tc>
          <w:tcPr>
            <w:tcW w:w="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15,859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45,228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327,058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372,286</w:t>
            </w:r>
          </w:p>
        </w:tc>
      </w:tr>
    </w:tbl>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Loans held for sale, at LCM</w:t>
            </w:r>
          </w:p>
        </w:tc>
        <w:tc>
          <w:tcPr>
            <w:tcW w:w="1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52"/>
        </w:trPr>
        <w:tc>
          <w:tcPr>
            <w:tcW w:w="700" w:type="dxa"/>
            <w:vAlign w:val="bottom"/>
            <w:tcBorders>
              <w:bottom w:val="single" w:sz="8" w:color="CCEEFF"/>
            </w:tcBorders>
          </w:tcPr>
          <w:p>
            <w:pPr>
              <w:spacing w:after="0"/>
              <w:rPr>
                <w:sz w:val="21"/>
                <w:szCs w:val="21"/>
                <w:color w:val="auto"/>
              </w:rPr>
            </w:pPr>
          </w:p>
        </w:tc>
        <w:tc>
          <w:tcPr>
            <w:tcW w:w="574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6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8"/>
        </w:trPr>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SBA 504</w:t>
            </w: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Lien</w:t>
            </w:r>
          </w:p>
        </w:tc>
        <w:tc>
          <w:tcPr>
            <w:tcW w:w="1680" w:type="dxa"/>
            <w:vAlign w:val="bottom"/>
            <w:shd w:val="clear" w:color="auto" w:fill="CCEEFF"/>
          </w:tcPr>
          <w:p>
            <w:pPr>
              <w:jc w:val="right"/>
              <w:ind w:right="149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36,783</w:t>
            </w:r>
          </w:p>
        </w:tc>
      </w:tr>
      <w:tr>
        <w:trPr>
          <w:trHeight w:val="225"/>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SBA 504</w:t>
            </w:r>
          </w:p>
        </w:tc>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Lien</w:t>
            </w:r>
          </w:p>
        </w:tc>
        <w:tc>
          <w:tcPr>
            <w:tcW w:w="16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8,203</w:t>
            </w:r>
          </w:p>
        </w:tc>
      </w:tr>
      <w:tr>
        <w:trPr>
          <w:trHeight w:val="225"/>
        </w:trPr>
        <w:tc>
          <w:tcPr>
            <w:tcW w:w="6440" w:type="dxa"/>
            <w:vAlign w:val="bottom"/>
            <w:gridSpan w:val="2"/>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SBA 7(a) Partials</w:t>
            </w:r>
            <w:r>
              <w:rPr>
                <w:rFonts w:ascii="Times New Roman" w:cs="Times New Roman" w:eastAsia="Times New Roman" w:hAnsi="Times New Roman"/>
                <w:sz w:val="22"/>
                <w:szCs w:val="22"/>
                <w:color w:val="auto"/>
                <w:vertAlign w:val="superscript"/>
              </w:rPr>
              <w:t>1</w:t>
            </w:r>
          </w:p>
        </w:tc>
        <w:tc>
          <w:tcPr>
            <w:tcW w:w="16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13,817</w:t>
            </w:r>
          </w:p>
        </w:tc>
      </w:tr>
      <w:tr>
        <w:trPr>
          <w:trHeight w:val="218"/>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Loans held for sale, at LCM</w:t>
            </w:r>
          </w:p>
        </w:tc>
        <w:tc>
          <w:tcPr>
            <w:tcW w:w="1680" w:type="dxa"/>
            <w:vAlign w:val="bottom"/>
            <w:tcBorders>
              <w:top w:val="single" w:sz="8" w:color="auto"/>
              <w:bottom w:val="single" w:sz="8" w:color="auto"/>
            </w:tcBorders>
          </w:tcPr>
          <w:p>
            <w:pPr>
              <w:jc w:val="right"/>
              <w:ind w:right="149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32,291</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58,803</w:t>
            </w:r>
          </w:p>
        </w:tc>
      </w:tr>
      <w:tr>
        <w:trPr>
          <w:trHeight w:val="20"/>
        </w:trPr>
        <w:tc>
          <w:tcPr>
            <w:tcW w:w="70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12" w:lineRule="exact"/>
        <w:rPr>
          <w:sz w:val="20"/>
          <w:szCs w:val="20"/>
          <w:color w:val="auto"/>
        </w:rPr>
      </w:pPr>
    </w:p>
    <w:p>
      <w:pPr>
        <w:ind w:left="180" w:hanging="174"/>
        <w:spacing w:after="0"/>
        <w:tabs>
          <w:tab w:leader="none" w:pos="18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Reclassified to Loans held for sale, at fair value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aging of accrual and non-accrual loans HFS, at LCM by class: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4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w w:val="99"/>
              </w:rPr>
              <w:t>As of June 30, 2025</w:t>
            </w:r>
          </w:p>
        </w:tc>
        <w:tc>
          <w:tcPr>
            <w:tcW w:w="1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311"/>
        </w:trPr>
        <w:tc>
          <w:tcPr>
            <w:tcW w:w="14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Past Due and Accruing</w:t>
            </w: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4"/>
              </w:rPr>
              <w:t>Total Past Due</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Total Carried at</w:t>
            </w:r>
          </w:p>
        </w:tc>
      </w:tr>
      <w:tr>
        <w:trPr>
          <w:trHeight w:val="231"/>
        </w:trPr>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30-59 Days</w:t>
            </w:r>
          </w:p>
        </w:tc>
        <w:tc>
          <w:tcPr>
            <w:tcW w:w="18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60-89 Days</w:t>
            </w:r>
          </w:p>
        </w:tc>
        <w:tc>
          <w:tcPr>
            <w:tcW w:w="240" w:type="dxa"/>
            <w:vAlign w:val="bottom"/>
          </w:tcPr>
          <w:p>
            <w:pPr>
              <w:spacing w:after="0"/>
              <w:rPr>
                <w:sz w:val="20"/>
                <w:szCs w:val="20"/>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90+ Days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 accrual</w:t>
            </w:r>
          </w:p>
        </w:tc>
        <w:tc>
          <w:tcPr>
            <w:tcW w:w="14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and Non-accrual</w:t>
            </w:r>
          </w:p>
        </w:tc>
        <w:tc>
          <w:tcPr>
            <w:tcW w:w="240" w:type="dxa"/>
            <w:vAlign w:val="bottom"/>
          </w:tcPr>
          <w:p>
            <w:pPr>
              <w:spacing w:after="0"/>
              <w:rPr>
                <w:sz w:val="20"/>
                <w:szCs w:val="20"/>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Amortized Cost</w:t>
            </w:r>
          </w:p>
        </w:tc>
      </w:tr>
      <w:tr>
        <w:trPr>
          <w:trHeight w:val="218"/>
        </w:trPr>
        <w:tc>
          <w:tcPr>
            <w:tcW w:w="1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32,291</w:t>
            </w:r>
          </w:p>
        </w:tc>
      </w:tr>
      <w:tr>
        <w:trPr>
          <w:trHeight w:val="462"/>
        </w:trPr>
        <w:tc>
          <w:tcPr>
            <w:tcW w:w="14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8"/>
          </w:tcPr>
          <w:p>
            <w:pPr>
              <w:ind w:left="96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311"/>
        </w:trPr>
        <w:tc>
          <w:tcPr>
            <w:tcW w:w="14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Past Due and Accruing</w:t>
            </w: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4"/>
              </w:rPr>
              <w:t>Total Past Due</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Total Carried at</w:t>
            </w:r>
          </w:p>
        </w:tc>
      </w:tr>
      <w:tr>
        <w:trPr>
          <w:trHeight w:val="231"/>
        </w:trPr>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30-59 Days</w:t>
            </w:r>
          </w:p>
        </w:tc>
        <w:tc>
          <w:tcPr>
            <w:tcW w:w="18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60-89 Days</w:t>
            </w:r>
          </w:p>
        </w:tc>
        <w:tc>
          <w:tcPr>
            <w:tcW w:w="240" w:type="dxa"/>
            <w:vAlign w:val="bottom"/>
          </w:tcPr>
          <w:p>
            <w:pPr>
              <w:spacing w:after="0"/>
              <w:rPr>
                <w:sz w:val="20"/>
                <w:szCs w:val="20"/>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90+ Days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 accrual</w:t>
            </w:r>
          </w:p>
        </w:tc>
        <w:tc>
          <w:tcPr>
            <w:tcW w:w="14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and Non-accrual</w:t>
            </w:r>
          </w:p>
        </w:tc>
        <w:tc>
          <w:tcPr>
            <w:tcW w:w="240" w:type="dxa"/>
            <w:vAlign w:val="bottom"/>
          </w:tcPr>
          <w:p>
            <w:pPr>
              <w:spacing w:after="0"/>
              <w:rPr>
                <w:sz w:val="20"/>
                <w:szCs w:val="20"/>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Amortized Cost</w:t>
            </w:r>
          </w:p>
        </w:tc>
      </w:tr>
      <w:tr>
        <w:trPr>
          <w:trHeight w:val="218"/>
        </w:trPr>
        <w:tc>
          <w:tcPr>
            <w:tcW w:w="1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55,540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58,803</w:t>
            </w:r>
          </w:p>
        </w:tc>
      </w:tr>
    </w:tbl>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6—TRANSACTIONS WITH AFFILIATED COMPANIES AND RELATED PARTY TRANSACTIONS: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to/from affiliated companies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amounts due to and due from affiliated companies as of June 30, 2025 and December 31, 2024:</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36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8"/>
        </w:trPr>
        <w:tc>
          <w:tcPr>
            <w:tcW w:w="73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8"/>
                <w:szCs w:val="18"/>
                <w:color w:val="auto"/>
              </w:rPr>
              <w:t>Due to affiliated companies</w:t>
            </w:r>
            <w:r>
              <w:rPr>
                <w:rFonts w:ascii="Times New Roman" w:cs="Times New Roman" w:eastAsia="Times New Roman" w:hAnsi="Times New Roman"/>
                <w:sz w:val="22"/>
                <w:szCs w:val="22"/>
                <w:color w:val="auto"/>
                <w:vertAlign w:val="superscript"/>
              </w:rPr>
              <w:t>1</w:t>
            </w:r>
          </w:p>
        </w:tc>
        <w:tc>
          <w:tcPr>
            <w:tcW w:w="1520" w:type="dxa"/>
            <w:vAlign w:val="bottom"/>
            <w:shd w:val="clear" w:color="auto" w:fill="CCEEFF"/>
          </w:tcPr>
          <w:p>
            <w:pPr>
              <w:jc w:val="right"/>
              <w:ind w:right="131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25"/>
        </w:trPr>
        <w:tc>
          <w:tcPr>
            <w:tcW w:w="7360" w:type="dxa"/>
            <w:vAlign w:val="bottom"/>
            <w:tcBorders>
              <w:bottom w:val="single" w:sz="8" w:color="CCEEFF"/>
            </w:tcBorders>
          </w:tcPr>
          <w:p>
            <w:pPr>
              <w:ind w:left="20"/>
              <w:spacing w:after="0" w:line="225" w:lineRule="exact"/>
              <w:rPr>
                <w:sz w:val="20"/>
                <w:szCs w:val="20"/>
                <w:color w:val="auto"/>
              </w:rPr>
            </w:pPr>
            <w:r>
              <w:rPr>
                <w:rFonts w:ascii="Times New Roman" w:cs="Times New Roman" w:eastAsia="Times New Roman" w:hAnsi="Times New Roman"/>
                <w:sz w:val="18"/>
                <w:szCs w:val="18"/>
                <w:color w:val="auto"/>
              </w:rPr>
              <w:t>Due from affiliated companies</w:t>
            </w:r>
            <w:r>
              <w:rPr>
                <w:rFonts w:ascii="Times New Roman" w:cs="Times New Roman" w:eastAsia="Times New Roman" w:hAnsi="Times New Roman"/>
                <w:sz w:val="22"/>
                <w:szCs w:val="22"/>
                <w:color w:val="auto"/>
                <w:vertAlign w:val="superscript"/>
              </w:rPr>
              <w:t>2</w:t>
            </w:r>
          </w:p>
        </w:tc>
        <w:tc>
          <w:tcPr>
            <w:tcW w:w="15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due to/due from affiliated companies</w:t>
            </w:r>
          </w:p>
        </w:tc>
        <w:tc>
          <w:tcPr>
            <w:tcW w:w="1520" w:type="dxa"/>
            <w:vAlign w:val="bottom"/>
            <w:tcBorders>
              <w:bottom w:val="single" w:sz="8" w:color="auto"/>
            </w:tcBorders>
            <w:shd w:val="clear" w:color="auto" w:fill="CCEEFF"/>
          </w:tcPr>
          <w:p>
            <w:pPr>
              <w:jc w:val="right"/>
              <w:ind w:right="131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39" w:lineRule="exact"/>
        <w:rPr>
          <w:sz w:val="20"/>
          <w:szCs w:val="20"/>
          <w:color w:val="auto"/>
        </w:rPr>
      </w:pPr>
    </w:p>
    <w:p>
      <w:pPr>
        <w:ind w:left="180" w:hanging="174"/>
        <w:spacing w:after="0"/>
        <w:tabs>
          <w:tab w:leader="none" w:pos="18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within Accounts payable, accrued expenses, and other liabilities</w:t>
      </w:r>
    </w:p>
    <w:p>
      <w:pPr>
        <w:spacing w:after="0" w:line="2" w:lineRule="exact"/>
        <w:rPr>
          <w:rFonts w:ascii="Times New Roman" w:cs="Times New Roman" w:eastAsia="Times New Roman" w:hAnsi="Times New Roman"/>
          <w:sz w:val="23"/>
          <w:szCs w:val="23"/>
          <w:color w:val="auto"/>
          <w:vertAlign w:val="superscript"/>
        </w:rPr>
      </w:pP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8"/>
          <w:szCs w:val="18"/>
          <w:color w:val="auto"/>
        </w:rPr>
        <w:t xml:space="preserve">  Included within Other assets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joint ventures and other non-control investments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4—INVESTMENTS for a schedule of transactions with our joint ventures and other non-control equity investments.</w:t>
      </w:r>
    </w:p>
    <w:p>
      <w:pPr>
        <w:spacing w:after="0" w:line="242" w:lineRule="exact"/>
        <w:rPr>
          <w:sz w:val="20"/>
          <w:szCs w:val="20"/>
          <w:color w:val="auto"/>
        </w:rPr>
      </w:pPr>
    </w:p>
    <w:p>
      <w:pPr>
        <w:ind w:right="380"/>
        <w:spacing w:after="0" w:line="270" w:lineRule="auto"/>
        <w:rPr>
          <w:sz w:val="20"/>
          <w:szCs w:val="20"/>
          <w:color w:val="auto"/>
        </w:rPr>
      </w:pPr>
      <w:r>
        <w:rPr>
          <w:rFonts w:ascii="Times New Roman" w:cs="Times New Roman" w:eastAsia="Times New Roman" w:hAnsi="Times New Roman"/>
          <w:sz w:val="18"/>
          <w:szCs w:val="18"/>
          <w:color w:val="auto"/>
        </w:rPr>
        <w:t>The following table summarizes the income earned from our joint ventures and other non-control investments for the three and six months ended June 30, 2025 and 2024:</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240" w:type="dxa"/>
            <w:vAlign w:val="bottom"/>
          </w:tcPr>
          <w:p>
            <w:pPr>
              <w:spacing w:after="0"/>
              <w:rPr>
                <w:sz w:val="20"/>
                <w:szCs w:val="20"/>
                <w:color w:val="auto"/>
              </w:rPr>
            </w:pPr>
          </w:p>
        </w:tc>
        <w:tc>
          <w:tcPr>
            <w:tcW w:w="2980" w:type="dxa"/>
            <w:vAlign w:val="bottom"/>
            <w:tcBorders>
              <w:bottom w:val="single" w:sz="8" w:color="auto"/>
            </w:tcBorders>
            <w:gridSpan w:val="4"/>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4"/>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18"/>
        </w:trPr>
        <w:tc>
          <w:tcPr>
            <w:tcW w:w="42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8"/>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income</w:t>
            </w:r>
          </w:p>
        </w:tc>
        <w:tc>
          <w:tcPr>
            <w:tcW w:w="1080" w:type="dxa"/>
            <w:vAlign w:val="bottom"/>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r>
      <w:tr>
        <w:trPr>
          <w:trHeight w:val="225"/>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Dividend income</w:t>
            </w:r>
          </w:p>
        </w:tc>
        <w:tc>
          <w:tcPr>
            <w:tcW w:w="10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8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w:t>
            </w:r>
          </w:p>
        </w:tc>
      </w:tr>
      <w:tr>
        <w:trPr>
          <w:trHeight w:val="218"/>
        </w:trPr>
        <w:tc>
          <w:tcPr>
            <w:tcW w:w="4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income</w:t>
            </w:r>
          </w:p>
        </w:tc>
        <w:tc>
          <w:tcPr>
            <w:tcW w:w="1080" w:type="dxa"/>
            <w:vAlign w:val="bottom"/>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w:t>
            </w:r>
          </w:p>
        </w:tc>
      </w:tr>
      <w:tr>
        <w:trPr>
          <w:trHeight w:val="251"/>
        </w:trPr>
        <w:tc>
          <w:tcPr>
            <w:tcW w:w="4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25"/>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1"/>
        </w:trPr>
        <w:tc>
          <w:tcPr>
            <w:tcW w:w="424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r>
      <w:tr>
        <w:trPr>
          <w:trHeight w:val="243"/>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income/(expense)</w:t>
            </w:r>
          </w:p>
        </w:tc>
        <w:tc>
          <w:tcPr>
            <w:tcW w:w="1080" w:type="dxa"/>
            <w:vAlign w:val="bottom"/>
            <w:tcBorders>
              <w:bottom w:val="single" w:sz="8" w:color="auto"/>
            </w:tcBorders>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Newtek Bank Deposits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the normal course of business, Newtek Bank holds FDIC insured deposits from certain of the Company’s officers, directors and their associated companies.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amounts due of deposits from related parties and their affiliated companies as of June 30, 2025 and December 31, 2024:</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60" w:type="dxa"/>
            <w:vAlign w:val="bottom"/>
          </w:tcPr>
          <w:p>
            <w:pPr>
              <w:spacing w:after="0"/>
              <w:rPr>
                <w:sz w:val="20"/>
                <w:szCs w:val="20"/>
                <w:color w:val="auto"/>
              </w:rPr>
            </w:pPr>
          </w:p>
        </w:tc>
        <w:tc>
          <w:tcPr>
            <w:tcW w:w="172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8"/>
        </w:trPr>
        <w:tc>
          <w:tcPr>
            <w:tcW w:w="7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FDIC insured deposits</w:t>
            </w:r>
          </w:p>
        </w:tc>
        <w:tc>
          <w:tcPr>
            <w:tcW w:w="28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4,732</w:t>
            </w:r>
          </w:p>
        </w:tc>
      </w:tr>
      <w:tr>
        <w:trPr>
          <w:trHeight w:val="225"/>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Non-FDIC insured deposits</w:t>
            </w: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w:t>
            </w:r>
          </w:p>
        </w:tc>
      </w:tr>
      <w:tr>
        <w:trPr>
          <w:trHeight w:val="243"/>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deposits from related parties and their affiliated companies</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5,830</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7—SERVICING ASSETS:</w:t>
      </w:r>
    </w:p>
    <w:p>
      <w:pPr>
        <w:spacing w:after="0" w:line="21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Servicing assets held by NSBF are measured at fair value and the Company performs valuations on a quarterly basis. Servicing assets held by Newtek Bank, including Newtek Bank’s subsidiary SBL, are measured at lower of cost or market where the assets are initially recorded at fair value, then subsequently amortized, and assessed for impairment each reporting period.</w:t>
      </w:r>
    </w:p>
    <w:p>
      <w:pPr>
        <w:spacing w:after="0" w:line="17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Company earns servicing fees from the guaranteed portions of SBA 7(a) loans it originates and sells, for the unguaranteed portions of SBA 7(a) loans in the NSBF sponsored securitizations, and for the portfolios of ALP loans SBL services for the NCL JV, TSO JV and Newtek ALP Holdings sponsored securitizations.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unpaid principle balance of loans serviced at June 30, 2025 and December 31, 2024:</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40" w:type="dxa"/>
            <w:vAlign w:val="bottom"/>
          </w:tcPr>
          <w:p>
            <w:pPr>
              <w:spacing w:after="0"/>
              <w:rPr>
                <w:sz w:val="20"/>
                <w:szCs w:val="20"/>
                <w:color w:val="auto"/>
              </w:rPr>
            </w:pPr>
          </w:p>
        </w:tc>
        <w:tc>
          <w:tcPr>
            <w:tcW w:w="194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8"/>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 7(a)</w:t>
            </w:r>
          </w:p>
        </w:tc>
        <w:tc>
          <w:tcPr>
            <w:tcW w:w="3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1,843,101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1,996,715</w:t>
            </w:r>
          </w:p>
        </w:tc>
      </w:tr>
      <w:tr>
        <w:trPr>
          <w:trHeight w:val="225"/>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ALP</w:t>
            </w: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374,619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169,842</w:t>
            </w:r>
          </w:p>
        </w:tc>
      </w:tr>
      <w:tr>
        <w:trPr>
          <w:trHeight w:val="225"/>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504</w:t>
            </w:r>
          </w:p>
        </w:tc>
        <w:tc>
          <w:tcPr>
            <w:tcW w:w="3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12,475</w:t>
            </w:r>
          </w:p>
        </w:tc>
      </w:tr>
      <w:tr>
        <w:trPr>
          <w:trHeight w:val="218"/>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loans serviced</w:t>
            </w: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2,230,131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2,179,032</w:t>
            </w:r>
          </w:p>
        </w:tc>
      </w:tr>
      <w:tr>
        <w:trPr>
          <w:trHeight w:val="20"/>
        </w:trPr>
        <w:tc>
          <w:tcPr>
            <w:tcW w:w="6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and valuation assumptions related to servicing assets at June 30, 2025 and December 31, 2024:</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920" w:type="dxa"/>
            <w:vAlign w:val="bottom"/>
            <w:tcBorders>
              <w:bottom w:val="single" w:sz="8" w:color="auto"/>
            </w:tcBorders>
          </w:tcPr>
          <w:p>
            <w:pPr>
              <w:spacing w:after="0"/>
              <w:rPr>
                <w:sz w:val="20"/>
                <w:szCs w:val="20"/>
                <w:color w:val="auto"/>
              </w:rPr>
            </w:pPr>
          </w:p>
        </w:tc>
      </w:tr>
      <w:tr>
        <w:trPr>
          <w:trHeight w:val="185"/>
        </w:trPr>
        <w:tc>
          <w:tcPr>
            <w:tcW w:w="2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40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40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920" w:type="dxa"/>
            <w:vAlign w:val="bottom"/>
            <w:tcBorders>
              <w:bottom w:val="single" w:sz="8" w:color="auto"/>
            </w:tcBorders>
          </w:tcPr>
          <w:p>
            <w:pPr>
              <w:spacing w:after="0"/>
              <w:rPr>
                <w:sz w:val="16"/>
                <w:szCs w:val="16"/>
                <w:color w:val="auto"/>
              </w:rPr>
            </w:pPr>
          </w:p>
        </w:tc>
      </w:tr>
      <w:tr>
        <w:trPr>
          <w:trHeight w:val="192"/>
        </w:trPr>
        <w:tc>
          <w:tcPr>
            <w:tcW w:w="2620" w:type="dxa"/>
            <w:vAlign w:val="bottom"/>
            <w:gridSpan w:val="2"/>
          </w:tcPr>
          <w:p>
            <w:pPr>
              <w:ind w:left="660"/>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140" w:type="dxa"/>
            <w:vAlign w:val="bottom"/>
          </w:tcPr>
          <w:p>
            <w:pPr>
              <w:spacing w:after="0"/>
              <w:rPr>
                <w:sz w:val="16"/>
                <w:szCs w:val="16"/>
                <w:color w:val="auto"/>
              </w:rPr>
            </w:pPr>
          </w:p>
        </w:tc>
        <w:tc>
          <w:tcPr>
            <w:tcW w:w="72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40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92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40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92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Maximum</w:t>
            </w:r>
          </w:p>
        </w:tc>
      </w:tr>
      <w:tr>
        <w:trPr>
          <w:trHeight w:val="224"/>
        </w:trPr>
        <w:tc>
          <w:tcPr>
            <w:tcW w:w="2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assets at FV:</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18,384</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22,062</w:t>
            </w: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r>
      <w:tr>
        <w:trPr>
          <w:trHeight w:val="225"/>
        </w:trPr>
        <w:tc>
          <w:tcPr>
            <w:tcW w:w="2620" w:type="dxa"/>
            <w:vAlign w:val="bottom"/>
            <w:gridSpan w:val="2"/>
          </w:tcPr>
          <w:p>
            <w:pPr>
              <w:ind w:left="20"/>
              <w:spacing w:after="0" w:line="225" w:lineRule="exact"/>
              <w:rPr>
                <w:sz w:val="20"/>
                <w:szCs w:val="20"/>
                <w:color w:val="auto"/>
              </w:rPr>
            </w:pPr>
            <w:r>
              <w:rPr>
                <w:rFonts w:ascii="Times New Roman" w:cs="Times New Roman" w:eastAsia="Times New Roman" w:hAnsi="Times New Roman"/>
                <w:sz w:val="18"/>
                <w:szCs w:val="18"/>
                <w:color w:val="auto"/>
              </w:rPr>
              <w:t>Discount factor</w:t>
            </w:r>
            <w:r>
              <w:rPr>
                <w:rFonts w:ascii="Times New Roman" w:cs="Times New Roman" w:eastAsia="Times New Roman" w:hAnsi="Times New Roman"/>
                <w:sz w:val="22"/>
                <w:szCs w:val="22"/>
                <w:color w:val="auto"/>
                <w:vertAlign w:val="superscript"/>
              </w:rPr>
              <w:t>1</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12.00 %</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12.00 %</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12.00 %</w:t>
            </w:r>
          </w:p>
        </w:tc>
      </w:tr>
      <w:tr>
        <w:trPr>
          <w:trHeight w:val="225"/>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prepayment rate</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22.50 %</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22.50 %</w:t>
            </w:r>
          </w:p>
        </w:tc>
      </w:tr>
      <w:tr>
        <w:trPr>
          <w:trHeight w:val="225"/>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Average cumulative default rate</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21.00 %</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21.00 %</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21.00 %</w:t>
            </w:r>
          </w:p>
        </w:tc>
      </w:tr>
      <w:tr>
        <w:trPr>
          <w:trHeight w:val="225"/>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assets at LCM:</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24,195</w:t>
            </w: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5"/>
        </w:trPr>
        <w:tc>
          <w:tcPr>
            <w:tcW w:w="2620" w:type="dxa"/>
            <w:vAlign w:val="bottom"/>
            <w:gridSpan w:val="2"/>
          </w:tcPr>
          <w:p>
            <w:pPr>
              <w:ind w:left="20"/>
              <w:spacing w:after="0" w:line="225" w:lineRule="exact"/>
              <w:rPr>
                <w:sz w:val="20"/>
                <w:szCs w:val="20"/>
                <w:color w:val="auto"/>
              </w:rPr>
            </w:pPr>
            <w:r>
              <w:rPr>
                <w:rFonts w:ascii="Times New Roman" w:cs="Times New Roman" w:eastAsia="Times New Roman" w:hAnsi="Times New Roman"/>
                <w:sz w:val="18"/>
                <w:szCs w:val="18"/>
                <w:color w:val="auto"/>
              </w:rPr>
              <w:t>Discount factor</w:t>
            </w:r>
            <w:r>
              <w:rPr>
                <w:rFonts w:ascii="Times New Roman" w:cs="Times New Roman" w:eastAsia="Times New Roman" w:hAnsi="Times New Roman"/>
                <w:sz w:val="22"/>
                <w:szCs w:val="22"/>
                <w:color w:val="auto"/>
                <w:vertAlign w:val="superscript"/>
              </w:rPr>
              <w:t>1</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11.24 %</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12.97 %</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13.50 %</w:t>
            </w:r>
          </w:p>
        </w:tc>
      </w:tr>
      <w:tr>
        <w:trPr>
          <w:trHeight w:val="225"/>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prepayment rate</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35.84 %</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75.00 %</w:t>
            </w:r>
          </w:p>
        </w:tc>
      </w:tr>
      <w:tr>
        <w:trPr>
          <w:trHeight w:val="225"/>
        </w:trPr>
        <w:tc>
          <w:tcPr>
            <w:tcW w:w="2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Average cumulative default rate</w:t>
            </w: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16.43 %</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15.00 %</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21.00 %</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18.90 %</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20.00 %</w:t>
            </w:r>
          </w:p>
        </w:tc>
      </w:tr>
      <w:tr>
        <w:trPr>
          <w:trHeight w:val="243"/>
        </w:trPr>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50,215</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46,257</w:t>
            </w: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r>
    </w:tbl>
    <w:p>
      <w:pPr>
        <w:spacing w:after="0" w:line="39" w:lineRule="exact"/>
        <w:rPr>
          <w:sz w:val="20"/>
          <w:szCs w:val="20"/>
          <w:color w:val="auto"/>
        </w:rPr>
      </w:pPr>
    </w:p>
    <w:p>
      <w:pPr>
        <w:ind w:left="100" w:hanging="94"/>
        <w:spacing w:after="0"/>
        <w:tabs>
          <w:tab w:leader="none" w:pos="10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Determined based on risk spreads and observable secondary market transactions.</w:t>
      </w:r>
    </w:p>
    <w:p>
      <w:pPr>
        <w:spacing w:after="0" w:line="194"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8"/>
          <w:szCs w:val="18"/>
          <w:color w:val="auto"/>
        </w:rPr>
        <w:t>Refer to NOTE 9—FAIR VALUE MEASUREMENTS for a rollforward of servicing assets, at fair value. The following tables show a rollforward of servicing assets, at LCM for the six months ended June 30, 2025 and 2024:</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780" w:type="dxa"/>
            <w:vAlign w:val="bottom"/>
          </w:tcPr>
          <w:p>
            <w:pPr>
              <w:ind w:left="2440"/>
              <w:spacing w:after="0"/>
              <w:rPr>
                <w:sz w:val="20"/>
                <w:szCs w:val="20"/>
                <w:color w:val="auto"/>
              </w:rPr>
            </w:pPr>
            <w:r>
              <w:rPr>
                <w:rFonts w:ascii="Times New Roman" w:cs="Times New Roman" w:eastAsia="Times New Roman" w:hAnsi="Times New Roman"/>
                <w:sz w:val="18"/>
                <w:szCs w:val="18"/>
                <w:b w:val="1"/>
                <w:bCs w:val="1"/>
                <w:color w:val="auto"/>
              </w:rPr>
              <w:t>Servicing Assets, at LCM</w:t>
            </w:r>
          </w:p>
        </w:tc>
        <w:tc>
          <w:tcPr>
            <w:tcW w:w="340" w:type="dxa"/>
            <w:vAlign w:val="bottom"/>
          </w:tcPr>
          <w:p>
            <w:pPr>
              <w:spacing w:after="0"/>
              <w:rPr>
                <w:sz w:val="20"/>
                <w:szCs w:val="20"/>
                <w:color w:val="auto"/>
              </w:rPr>
            </w:pPr>
          </w:p>
        </w:tc>
        <w:tc>
          <w:tcPr>
            <w:tcW w:w="19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340" w:type="dxa"/>
            <w:vAlign w:val="bottom"/>
          </w:tcPr>
          <w:p>
            <w:pPr>
              <w:spacing w:after="0"/>
              <w:rPr>
                <w:sz w:val="20"/>
                <w:szCs w:val="20"/>
                <w:color w:val="auto"/>
              </w:rPr>
            </w:pPr>
          </w:p>
        </w:tc>
        <w:tc>
          <w:tcPr>
            <w:tcW w:w="18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18"/>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the period</w:t>
            </w:r>
          </w:p>
        </w:tc>
        <w:tc>
          <w:tcPr>
            <w:tcW w:w="3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24,195</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10,389</w:t>
            </w:r>
          </w:p>
        </w:tc>
      </w:tr>
      <w:tr>
        <w:trPr>
          <w:trHeight w:val="225"/>
        </w:trPr>
        <w:tc>
          <w:tcPr>
            <w:tcW w:w="678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Amortization</w:t>
            </w:r>
            <w:r>
              <w:rPr>
                <w:rFonts w:ascii="Times New Roman" w:cs="Times New Roman" w:eastAsia="Times New Roman" w:hAnsi="Times New Roman"/>
                <w:sz w:val="22"/>
                <w:szCs w:val="22"/>
                <w:color w:val="auto"/>
                <w:vertAlign w:val="superscript"/>
              </w:rPr>
              <w:t>1</w:t>
            </w: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8"/>
              </w:rPr>
              <w:t>(1,805)</w:t>
            </w:r>
          </w:p>
        </w:tc>
      </w:tr>
      <w:tr>
        <w:trPr>
          <w:trHeight w:val="225"/>
        </w:trPr>
        <w:tc>
          <w:tcPr>
            <w:tcW w:w="678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Additions</w:t>
            </w:r>
            <w:r>
              <w:rPr>
                <w:rFonts w:ascii="Times New Roman" w:cs="Times New Roman" w:eastAsia="Times New Roman" w:hAnsi="Times New Roman"/>
                <w:sz w:val="22"/>
                <w:szCs w:val="22"/>
                <w:color w:val="auto"/>
                <w:vertAlign w:val="superscript"/>
              </w:rPr>
              <w:t>2</w:t>
            </w: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10,310</w:t>
            </w:r>
          </w:p>
        </w:tc>
      </w:tr>
      <w:tr>
        <w:trPr>
          <w:trHeight w:val="225"/>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assessment</w:t>
            </w:r>
          </w:p>
        </w:tc>
        <w:tc>
          <w:tcPr>
            <w:tcW w:w="340" w:type="dxa"/>
            <w:vAlign w:val="bottom"/>
          </w:tcPr>
          <w:p>
            <w:pPr>
              <w:spacing w:after="0"/>
              <w:rPr>
                <w:sz w:val="19"/>
                <w:szCs w:val="19"/>
                <w:color w:val="auto"/>
              </w:rPr>
            </w:pPr>
          </w:p>
        </w:tc>
        <w:tc>
          <w:tcPr>
            <w:tcW w:w="1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43"/>
        </w:trPr>
        <w:tc>
          <w:tcPr>
            <w:tcW w:w="6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the period</w:t>
            </w:r>
          </w:p>
        </w:tc>
        <w:tc>
          <w:tcPr>
            <w:tcW w:w="3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bottom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18,894</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92" w:lineRule="exact"/>
        <w:rPr>
          <w:sz w:val="20"/>
          <w:szCs w:val="20"/>
          <w:color w:val="auto"/>
        </w:rPr>
      </w:pPr>
    </w:p>
    <w:p>
      <w:pPr>
        <w:ind w:left="180" w:hanging="174"/>
        <w:spacing w:after="0"/>
        <w:tabs>
          <w:tab w:leader="none" w:pos="18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within Net loss on loan servicing assets in the Consolidated Statements of Income</w:t>
      </w:r>
    </w:p>
    <w:p>
      <w:pPr>
        <w:spacing w:after="0" w:line="2" w:lineRule="exact"/>
        <w:rPr>
          <w:rFonts w:ascii="Times New Roman" w:cs="Times New Roman" w:eastAsia="Times New Roman" w:hAnsi="Times New Roman"/>
          <w:sz w:val="23"/>
          <w:szCs w:val="23"/>
          <w:color w:val="auto"/>
          <w:vertAlign w:val="superscript"/>
        </w:rPr>
      </w:pP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8"/>
          <w:szCs w:val="18"/>
          <w:color w:val="auto"/>
        </w:rPr>
        <w:t xml:space="preserve">  Included within Net gains on sales of loans in the Consolidated Statements of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Servicing income earned for the three and six months ended June 30, 2025 and 2024 was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280" w:type="dxa"/>
            <w:vAlign w:val="bottom"/>
          </w:tcPr>
          <w:p>
            <w:pPr>
              <w:spacing w:after="0"/>
              <w:rPr>
                <w:sz w:val="20"/>
                <w:szCs w:val="20"/>
                <w:color w:val="auto"/>
              </w:rPr>
            </w:pPr>
          </w:p>
        </w:tc>
        <w:tc>
          <w:tcPr>
            <w:tcW w:w="4520" w:type="dxa"/>
            <w:vAlign w:val="bottom"/>
            <w:gridSpan w:val="4"/>
          </w:tcPr>
          <w:p>
            <w:pPr>
              <w:ind w:left="10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4440" w:type="dxa"/>
            <w:vAlign w:val="bottom"/>
            <w:gridSpan w:val="3"/>
          </w:tcPr>
          <w:p>
            <w:pPr>
              <w:ind w:left="12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18"/>
        </w:trPr>
        <w:tc>
          <w:tcPr>
            <w:tcW w:w="2280" w:type="dxa"/>
            <w:vAlign w:val="bottom"/>
            <w:tcBorders>
              <w:bottom w:val="single" w:sz="8" w:color="CCEEFF"/>
            </w:tcBorders>
          </w:tcPr>
          <w:p>
            <w:pPr>
              <w:spacing w:after="0"/>
              <w:rPr>
                <w:sz w:val="18"/>
                <w:szCs w:val="18"/>
                <w:color w:val="auto"/>
              </w:rPr>
            </w:pPr>
          </w:p>
        </w:tc>
        <w:tc>
          <w:tcPr>
            <w:tcW w:w="2160" w:type="dxa"/>
            <w:vAlign w:val="bottom"/>
            <w:tcBorders>
              <w:top w:val="single" w:sz="8" w:color="auto"/>
              <w:bottom w:val="single" w:sz="8" w:color="auto"/>
            </w:tcBorders>
          </w:tcPr>
          <w:p>
            <w:pPr>
              <w:jc w:val="right"/>
              <w:ind w:right="8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2160" w:type="dxa"/>
            <w:vAlign w:val="bottom"/>
            <w:tcBorders>
              <w:top w:val="single" w:sz="8" w:color="auto"/>
              <w:bottom w:val="single" w:sz="8" w:color="auto"/>
            </w:tcBorders>
          </w:tcPr>
          <w:p>
            <w:pPr>
              <w:jc w:val="right"/>
              <w:ind w:right="8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160" w:type="dxa"/>
            <w:vAlign w:val="bottom"/>
            <w:tcBorders>
              <w:top w:val="single" w:sz="8" w:color="auto"/>
              <w:bottom w:val="single" w:sz="8" w:color="auto"/>
            </w:tcBorders>
          </w:tcPr>
          <w:p>
            <w:pPr>
              <w:jc w:val="right"/>
              <w:ind w:right="8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2180" w:type="dxa"/>
            <w:vAlign w:val="bottom"/>
            <w:tcBorders>
              <w:top w:val="single" w:sz="8" w:color="auto"/>
              <w:bottom w:val="single" w:sz="8" w:color="auto"/>
            </w:tcBorders>
          </w:tcPr>
          <w:p>
            <w:pPr>
              <w:jc w:val="right"/>
              <w:ind w:right="83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8"/>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income</w:t>
            </w:r>
          </w:p>
        </w:tc>
        <w:tc>
          <w:tcPr>
            <w:tcW w:w="216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rPr>
              <w:t>$6,054</w:t>
            </w: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rPr>
              <w:t>$4,607</w:t>
            </w: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rPr>
              <w:t>$11,579</w:t>
            </w:r>
          </w:p>
        </w:tc>
        <w:tc>
          <w:tcPr>
            <w:tcW w:w="100" w:type="dxa"/>
            <w:vAlign w:val="bottom"/>
            <w:shd w:val="clear" w:color="auto" w:fill="CCEEFF"/>
          </w:tcPr>
          <w:p>
            <w:pPr>
              <w:spacing w:after="0"/>
              <w:rPr>
                <w:sz w:val="18"/>
                <w:szCs w:val="18"/>
                <w:color w:val="auto"/>
              </w:rPr>
            </w:pPr>
          </w:p>
        </w:tc>
        <w:tc>
          <w:tcPr>
            <w:tcW w:w="218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rPr>
              <w:t>$9,964</w:t>
            </w:r>
          </w:p>
        </w:tc>
      </w:tr>
    </w:tbl>
    <w:p>
      <w:pPr>
        <w:spacing w:after="0" w:line="200" w:lineRule="exact"/>
        <w:rPr>
          <w:sz w:val="20"/>
          <w:szCs w:val="20"/>
          <w:color w:val="auto"/>
        </w:rPr>
      </w:pP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76200</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8—GOODWILL AND INTANGIBLE ASSETS:</w:t>
            </w:r>
          </w:p>
        </w:tc>
        <w:tc>
          <w:tcPr>
            <w:tcW w:w="1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449"/>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449"/>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the carrying amount of goodwill:</w:t>
            </w:r>
          </w:p>
        </w:tc>
        <w:tc>
          <w:tcPr>
            <w:tcW w:w="1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490"/>
        </w:trPr>
        <w:tc>
          <w:tcPr>
            <w:tcW w:w="20" w:type="dxa"/>
            <w:vAlign w:val="bottom"/>
          </w:tcPr>
          <w:p>
            <w:pPr>
              <w:spacing w:after="0"/>
              <w:rPr>
                <w:sz w:val="24"/>
                <w:szCs w:val="24"/>
                <w:color w:val="auto"/>
              </w:rPr>
            </w:pPr>
          </w:p>
        </w:tc>
        <w:tc>
          <w:tcPr>
            <w:tcW w:w="6760" w:type="dxa"/>
            <w:vAlign w:val="bottom"/>
            <w:tcBorders>
              <w:bottom w:val="single" w:sz="8" w:color="CCEEFF"/>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8"/>
        </w:trPr>
        <w:tc>
          <w:tcPr>
            <w:tcW w:w="20" w:type="dxa"/>
            <w:vAlign w:val="bottom"/>
          </w:tcPr>
          <w:p>
            <w:pPr>
              <w:spacing w:after="0"/>
              <w:rPr>
                <w:sz w:val="18"/>
                <w:szCs w:val="18"/>
                <w:color w:val="auto"/>
              </w:rPr>
            </w:pPr>
          </w:p>
        </w:tc>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Banking</w:t>
            </w:r>
          </w:p>
        </w:tc>
        <w:tc>
          <w:tcPr>
            <w:tcW w:w="1600" w:type="dxa"/>
            <w:vAlign w:val="bottom"/>
            <w:shd w:val="clear" w:color="auto" w:fill="CCEEFF"/>
          </w:tcPr>
          <w:p>
            <w:pPr>
              <w:jc w:val="right"/>
              <w:ind w:right="141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25"/>
        </w:trPr>
        <w:tc>
          <w:tcPr>
            <w:tcW w:w="20" w:type="dxa"/>
            <w:vAlign w:val="bottom"/>
          </w:tcPr>
          <w:p>
            <w:pPr>
              <w:spacing w:after="0"/>
              <w:rPr>
                <w:sz w:val="19"/>
                <w:szCs w:val="19"/>
                <w:color w:val="auto"/>
              </w:rPr>
            </w:pPr>
          </w:p>
        </w:tc>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6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13,814</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13,814</w:t>
            </w:r>
          </w:p>
        </w:tc>
      </w:tr>
      <w:tr>
        <w:trPr>
          <w:trHeight w:val="243"/>
        </w:trPr>
        <w:tc>
          <w:tcPr>
            <w:tcW w:w="20" w:type="dxa"/>
            <w:vAlign w:val="bottom"/>
          </w:tcPr>
          <w:p>
            <w:pPr>
              <w:spacing w:after="0"/>
              <w:rPr>
                <w:sz w:val="20"/>
                <w:szCs w:val="20"/>
                <w:color w:val="auto"/>
              </w:rPr>
            </w:pPr>
          </w:p>
        </w:tc>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goodwill</w:t>
            </w:r>
          </w:p>
        </w:tc>
        <w:tc>
          <w:tcPr>
            <w:tcW w:w="1600" w:type="dxa"/>
            <w:vAlign w:val="bottom"/>
            <w:tcBorders>
              <w:bottom w:val="single" w:sz="8" w:color="auto"/>
            </w:tcBorders>
            <w:shd w:val="clear" w:color="auto" w:fill="CCEEFF"/>
          </w:tcPr>
          <w:p>
            <w:pPr>
              <w:jc w:val="right"/>
              <w:ind w:right="141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14,085</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14,085</w:t>
            </w:r>
          </w:p>
        </w:tc>
      </w:tr>
      <w:tr>
        <w:trPr>
          <w:trHeight w:val="20"/>
        </w:trPr>
        <w:tc>
          <w:tcPr>
            <w:tcW w:w="20" w:type="dxa"/>
            <w:vAlign w:val="bottom"/>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80"/>
        <w:spacing w:after="0" w:line="273" w:lineRule="auto"/>
        <w:rPr>
          <w:sz w:val="20"/>
          <w:szCs w:val="20"/>
          <w:color w:val="auto"/>
        </w:rPr>
      </w:pPr>
      <w:r>
        <w:rPr>
          <w:rFonts w:ascii="Times New Roman" w:cs="Times New Roman" w:eastAsia="Times New Roman" w:hAnsi="Times New Roman"/>
          <w:sz w:val="18"/>
          <w:szCs w:val="18"/>
          <w:i w:val="1"/>
          <w:iCs w:val="1"/>
          <w:color w:val="auto"/>
        </w:rPr>
        <w:t xml:space="preserve">Banking: </w:t>
      </w:r>
      <w:r>
        <w:rPr>
          <w:rFonts w:ascii="Times New Roman" w:cs="Times New Roman" w:eastAsia="Times New Roman" w:hAnsi="Times New Roman"/>
          <w:sz w:val="18"/>
          <w:szCs w:val="18"/>
          <w:color w:val="auto"/>
        </w:rPr>
        <w:t>The goodwill in the banking segment was generated from the Acquisition, representing the excess of the purchase price over the fair value of the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acquired.</w:t>
      </w:r>
    </w:p>
    <w:p>
      <w:pPr>
        <w:spacing w:after="0" w:line="190"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8"/>
          <w:szCs w:val="18"/>
          <w:i w:val="1"/>
          <w:iCs w:val="1"/>
          <w:color w:val="auto"/>
        </w:rPr>
        <w:t xml:space="preserve">Payments: </w:t>
      </w:r>
      <w:r>
        <w:rPr>
          <w:rFonts w:ascii="Times New Roman" w:cs="Times New Roman" w:eastAsia="Times New Roman" w:hAnsi="Times New Roman"/>
          <w:sz w:val="18"/>
          <w:szCs w:val="18"/>
          <w:color w:val="auto"/>
        </w:rPr>
        <w:t>The goodwill in the payments segment was generated from acquisitions by the legal entities within this segment prior to the consolidation of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entities into NewtekOne following the Acquisition.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intangible assets: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0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At June 30, 2025</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6"/>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7"/>
              </w:rPr>
              <w:t>At December 31, 2024</w:t>
            </w:r>
          </w:p>
        </w:tc>
        <w:tc>
          <w:tcPr>
            <w:tcW w:w="940" w:type="dxa"/>
            <w:vAlign w:val="bottom"/>
            <w:tcBorders>
              <w:bottom w:val="single" w:sz="8" w:color="auto"/>
            </w:tcBorders>
          </w:tcPr>
          <w:p>
            <w:pPr>
              <w:spacing w:after="0"/>
              <w:rPr>
                <w:sz w:val="20"/>
                <w:szCs w:val="20"/>
                <w:color w:val="auto"/>
              </w:rPr>
            </w:pPr>
          </w:p>
        </w:tc>
      </w:tr>
      <w:tr>
        <w:trPr>
          <w:trHeight w:val="166"/>
        </w:trPr>
        <w:tc>
          <w:tcPr>
            <w:tcW w:w="3040" w:type="dxa"/>
            <w:vAlign w:val="bottom"/>
          </w:tcPr>
          <w:p>
            <w:pPr>
              <w:spacing w:after="0"/>
              <w:rPr>
                <w:sz w:val="14"/>
                <w:szCs w:val="14"/>
                <w:color w:val="auto"/>
              </w:rPr>
            </w:pPr>
          </w:p>
        </w:tc>
        <w:tc>
          <w:tcPr>
            <w:tcW w:w="1340" w:type="dxa"/>
            <w:vAlign w:val="bottom"/>
            <w:gridSpan w:val="3"/>
          </w:tcPr>
          <w:p>
            <w:pPr>
              <w:jc w:val="center"/>
              <w:ind w:right="180"/>
              <w:spacing w:after="0" w:line="165" w:lineRule="exact"/>
              <w:rPr>
                <w:sz w:val="20"/>
                <w:szCs w:val="20"/>
                <w:color w:val="auto"/>
              </w:rPr>
            </w:pPr>
            <w:r>
              <w:rPr>
                <w:rFonts w:ascii="Times New Roman" w:cs="Times New Roman" w:eastAsia="Times New Roman" w:hAnsi="Times New Roman"/>
                <w:sz w:val="18"/>
                <w:szCs w:val="18"/>
                <w:color w:val="auto"/>
                <w:w w:val="97"/>
              </w:rPr>
              <w:t>Gross carrying</w:t>
            </w:r>
          </w:p>
        </w:tc>
        <w:tc>
          <w:tcPr>
            <w:tcW w:w="160" w:type="dxa"/>
            <w:vAlign w:val="bottom"/>
          </w:tcPr>
          <w:p>
            <w:pPr>
              <w:spacing w:after="0"/>
              <w:rPr>
                <w:sz w:val="14"/>
                <w:szCs w:val="14"/>
                <w:color w:val="auto"/>
              </w:rPr>
            </w:pPr>
          </w:p>
        </w:tc>
        <w:tc>
          <w:tcPr>
            <w:tcW w:w="1380" w:type="dxa"/>
            <w:vAlign w:val="bottom"/>
            <w:gridSpan w:val="2"/>
          </w:tcPr>
          <w:p>
            <w:pPr>
              <w:ind w:left="60"/>
              <w:spacing w:after="0" w:line="165" w:lineRule="exact"/>
              <w:rPr>
                <w:sz w:val="20"/>
                <w:szCs w:val="20"/>
                <w:color w:val="auto"/>
              </w:rPr>
            </w:pPr>
            <w:r>
              <w:rPr>
                <w:rFonts w:ascii="Times New Roman" w:cs="Times New Roman" w:eastAsia="Times New Roman" w:hAnsi="Times New Roman"/>
                <w:sz w:val="18"/>
                <w:szCs w:val="18"/>
                <w:color w:val="auto"/>
              </w:rPr>
              <w:t>Accumulated</w:t>
            </w:r>
          </w:p>
        </w:tc>
        <w:tc>
          <w:tcPr>
            <w:tcW w:w="1120" w:type="dxa"/>
            <w:vAlign w:val="bottom"/>
            <w:gridSpan w:val="2"/>
          </w:tcPr>
          <w:p>
            <w:pPr>
              <w:jc w:val="center"/>
              <w:spacing w:after="0" w:line="165" w:lineRule="exact"/>
              <w:rPr>
                <w:sz w:val="20"/>
                <w:szCs w:val="20"/>
                <w:color w:val="auto"/>
              </w:rPr>
            </w:pPr>
            <w:r>
              <w:rPr>
                <w:rFonts w:ascii="Times New Roman" w:cs="Times New Roman" w:eastAsia="Times New Roman" w:hAnsi="Times New Roman"/>
                <w:sz w:val="18"/>
                <w:szCs w:val="18"/>
                <w:color w:val="auto"/>
                <w:w w:val="97"/>
              </w:rPr>
              <w:t>Net Carrying</w:t>
            </w:r>
          </w:p>
        </w:tc>
        <w:tc>
          <w:tcPr>
            <w:tcW w:w="100" w:type="dxa"/>
            <w:vAlign w:val="bottom"/>
          </w:tcPr>
          <w:p>
            <w:pPr>
              <w:spacing w:after="0"/>
              <w:rPr>
                <w:sz w:val="14"/>
                <w:szCs w:val="14"/>
                <w:color w:val="auto"/>
              </w:rPr>
            </w:pPr>
          </w:p>
        </w:tc>
        <w:tc>
          <w:tcPr>
            <w:tcW w:w="1100" w:type="dxa"/>
            <w:vAlign w:val="bottom"/>
            <w:gridSpan w:val="2"/>
          </w:tcPr>
          <w:p>
            <w:pPr>
              <w:jc w:val="center"/>
              <w:spacing w:after="0" w:line="165" w:lineRule="exact"/>
              <w:rPr>
                <w:sz w:val="20"/>
                <w:szCs w:val="20"/>
                <w:color w:val="auto"/>
              </w:rPr>
            </w:pPr>
            <w:r>
              <w:rPr>
                <w:rFonts w:ascii="Times New Roman" w:cs="Times New Roman" w:eastAsia="Times New Roman" w:hAnsi="Times New Roman"/>
                <w:sz w:val="18"/>
                <w:szCs w:val="18"/>
                <w:color w:val="auto"/>
                <w:w w:val="97"/>
              </w:rPr>
              <w:t>Gross carrying</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240"/>
              <w:spacing w:after="0" w:line="165" w:lineRule="exact"/>
              <w:rPr>
                <w:sz w:val="20"/>
                <w:szCs w:val="20"/>
                <w:color w:val="auto"/>
              </w:rPr>
            </w:pPr>
            <w:r>
              <w:rPr>
                <w:rFonts w:ascii="Times New Roman" w:cs="Times New Roman" w:eastAsia="Times New Roman" w:hAnsi="Times New Roman"/>
                <w:sz w:val="18"/>
                <w:szCs w:val="18"/>
                <w:color w:val="auto"/>
                <w:w w:val="97"/>
              </w:rPr>
              <w:t>Accumulated</w:t>
            </w:r>
          </w:p>
        </w:tc>
        <w:tc>
          <w:tcPr>
            <w:tcW w:w="1140" w:type="dxa"/>
            <w:vAlign w:val="bottom"/>
            <w:gridSpan w:val="2"/>
          </w:tcPr>
          <w:p>
            <w:pPr>
              <w:jc w:val="center"/>
              <w:spacing w:after="0" w:line="165" w:lineRule="exact"/>
              <w:rPr>
                <w:sz w:val="20"/>
                <w:szCs w:val="20"/>
                <w:color w:val="auto"/>
              </w:rPr>
            </w:pPr>
            <w:r>
              <w:rPr>
                <w:rFonts w:ascii="Times New Roman" w:cs="Times New Roman" w:eastAsia="Times New Roman" w:hAnsi="Times New Roman"/>
                <w:sz w:val="18"/>
                <w:szCs w:val="18"/>
                <w:color w:val="auto"/>
                <w:w w:val="99"/>
              </w:rPr>
              <w:t>Net Carrying</w:t>
            </w:r>
          </w:p>
        </w:tc>
      </w:tr>
      <w:tr>
        <w:trPr>
          <w:trHeight w:val="233"/>
        </w:trPr>
        <w:tc>
          <w:tcPr>
            <w:tcW w:w="3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Amount</w:t>
            </w:r>
          </w:p>
        </w:tc>
        <w:tc>
          <w:tcPr>
            <w:tcW w:w="160" w:type="dxa"/>
            <w:vAlign w:val="bottom"/>
          </w:tcPr>
          <w:p>
            <w:pPr>
              <w:spacing w:after="0"/>
              <w:rPr>
                <w:sz w:val="20"/>
                <w:szCs w:val="20"/>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6"/>
              </w:rPr>
              <w:t>amount</w:t>
            </w:r>
          </w:p>
        </w:tc>
        <w:tc>
          <w:tcPr>
            <w:tcW w:w="200" w:type="dxa"/>
            <w:vAlign w:val="bottom"/>
          </w:tcPr>
          <w:p>
            <w:pPr>
              <w:spacing w:after="0"/>
              <w:rPr>
                <w:sz w:val="20"/>
                <w:szCs w:val="20"/>
                <w:color w:val="auto"/>
              </w:rPr>
            </w:pPr>
          </w:p>
        </w:tc>
        <w:tc>
          <w:tcPr>
            <w:tcW w:w="90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8"/>
              </w:rPr>
              <w:t>Amount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Amortization</w:t>
            </w:r>
          </w:p>
        </w:tc>
        <w:tc>
          <w:tcPr>
            <w:tcW w:w="200" w:type="dxa"/>
            <w:vAlign w:val="bottom"/>
          </w:tcPr>
          <w:p>
            <w:pPr>
              <w:spacing w:after="0"/>
              <w:rPr>
                <w:sz w:val="20"/>
                <w:szCs w:val="20"/>
                <w:color w:val="auto"/>
              </w:rPr>
            </w:pPr>
          </w:p>
        </w:tc>
        <w:tc>
          <w:tcPr>
            <w:tcW w:w="94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9"/>
              </w:rPr>
              <w:t>amount</w:t>
            </w:r>
          </w:p>
        </w:tc>
      </w:tr>
      <w:tr>
        <w:trPr>
          <w:trHeight w:val="222"/>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Banking - Core Deposits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r>
    </w:tbl>
    <w:p>
      <w:pPr>
        <w:spacing w:after="0" w:line="200" w:lineRule="exact"/>
        <w:rPr>
          <w:sz w:val="20"/>
          <w:szCs w:val="20"/>
          <w:color w:val="auto"/>
        </w:rPr>
      </w:pPr>
    </w:p>
    <w:p>
      <w:pPr>
        <w:spacing w:after="0" w:line="333"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Core Deposits Intangible. </w:t>
      </w:r>
      <w:r>
        <w:rPr>
          <w:rFonts w:ascii="Times New Roman" w:cs="Times New Roman" w:eastAsia="Times New Roman" w:hAnsi="Times New Roman"/>
          <w:sz w:val="18"/>
          <w:szCs w:val="18"/>
          <w:color w:val="auto"/>
        </w:rPr>
        <w:t>CDI is a measure of the value of non-interest-bearing and interest-bearing checking accounts, savings accounts, and money market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accounts that are acquired in a business combination. The fair value of the CDI stemming from any given business combination is based on the present value of the expected cost savings attributable to the core deposit funding, relative to an alternative source of funding. The CDI relating to the NBNYC Acquisition will be amortized over an estimated useful life of 10 years using the sum of years digits depreciation method. The Company evaluates such identifiable intangibles for impairment when an indication of impairment exists.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the three and six months ended June 30, 2025 and 2024 is as follows, and is included in Depreciation and amortization on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Income: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80" w:type="dxa"/>
            <w:vAlign w:val="bottom"/>
          </w:tcPr>
          <w:p>
            <w:pPr>
              <w:spacing w:after="0"/>
              <w:rPr>
                <w:sz w:val="20"/>
                <w:szCs w:val="20"/>
                <w:color w:val="auto"/>
              </w:rPr>
            </w:pPr>
          </w:p>
        </w:tc>
        <w:tc>
          <w:tcPr>
            <w:tcW w:w="2760" w:type="dxa"/>
            <w:vAlign w:val="bottom"/>
            <w:gridSpan w:val="5"/>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18"/>
        </w:trPr>
        <w:tc>
          <w:tcPr>
            <w:tcW w:w="48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18"/>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541"/>
        </w:trPr>
        <w:tc>
          <w:tcPr>
            <w:tcW w:w="848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The remaining estimated aggregate future amortization expense for intangible assets as of June 30, 2025 is as follows:</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37"/>
        </w:trPr>
        <w:tc>
          <w:tcPr>
            <w:tcW w:w="4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7"/>
              </w:rPr>
              <w:t>Amortization</w:t>
            </w:r>
          </w:p>
        </w:tc>
      </w:tr>
      <w:tr>
        <w:trPr>
          <w:trHeight w:val="234"/>
        </w:trPr>
        <w:tc>
          <w:tcPr>
            <w:tcW w:w="488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2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6"/>
              </w:rPr>
              <w:t>Expense</w:t>
            </w:r>
          </w:p>
        </w:tc>
      </w:tr>
      <w:tr>
        <w:trPr>
          <w:trHeight w:val="221"/>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5"/>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25"/>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25"/>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25"/>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5"/>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8"/>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r>
    </w:tbl>
    <w:p>
      <w:pPr>
        <w:spacing w:after="0" w:line="200" w:lineRule="exact"/>
        <w:rPr>
          <w:sz w:val="20"/>
          <w:szCs w:val="20"/>
          <w:color w:val="auto"/>
        </w:rPr>
      </w:pP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76200</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9—FAIR VALUE MEASUREMENTS:</w:t>
      </w:r>
    </w:p>
    <w:p>
      <w:pPr>
        <w:spacing w:after="0" w:line="244" w:lineRule="exact"/>
        <w:rPr>
          <w:sz w:val="20"/>
          <w:szCs w:val="20"/>
          <w:color w:val="auto"/>
        </w:rPr>
      </w:pPr>
    </w:p>
    <w:p>
      <w:pPr>
        <w:ind w:right="420"/>
        <w:spacing w:after="0" w:line="270" w:lineRule="auto"/>
        <w:rPr>
          <w:sz w:val="20"/>
          <w:szCs w:val="20"/>
          <w:color w:val="auto"/>
        </w:rPr>
      </w:pPr>
      <w:r>
        <w:rPr>
          <w:rFonts w:ascii="Times New Roman" w:cs="Times New Roman" w:eastAsia="Times New Roman" w:hAnsi="Times New Roman"/>
          <w:sz w:val="18"/>
          <w:szCs w:val="18"/>
          <w:color w:val="auto"/>
        </w:rPr>
        <w:t>The following tables present fair value measurements of certain of the Company’s assets and liabilities measured at fair value and indicates the fair value hierarchy of the valuation techniques utilized by the Company to determine such fair values as of June 30, 2025 and December 31, 2024:</w:t>
      </w:r>
    </w:p>
    <w:p>
      <w:pPr>
        <w:spacing w:after="0" w:line="8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6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Measurements at June 30, 2025</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6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6"/>
                <w:szCs w:val="16"/>
                <w:color w:val="auto"/>
              </w:rPr>
            </w:pPr>
          </w:p>
        </w:tc>
        <w:tc>
          <w:tcPr>
            <w:tcW w:w="92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1"/>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securities available-for-sale, at fair value</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Treasury notes</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14,245</w:t>
            </w:r>
          </w:p>
        </w:tc>
        <w:tc>
          <w:tcPr>
            <w:tcW w:w="32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14,245</w:t>
            </w:r>
          </w:p>
        </w:tc>
        <w:tc>
          <w:tcPr>
            <w:tcW w:w="40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held for sale, at fair value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514,609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203,586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311,023</w:t>
            </w:r>
          </w:p>
        </w:tc>
        <w:tc>
          <w:tcPr>
            <w:tcW w:w="0" w:type="dxa"/>
            <w:vAlign w:val="bottom"/>
          </w:tcPr>
          <w:p>
            <w:pPr>
              <w:spacing w:after="0"/>
              <w:rPr>
                <w:sz w:val="1"/>
                <w:szCs w:val="1"/>
                <w:color w:val="auto"/>
              </w:rPr>
            </w:pPr>
          </w:p>
        </w:tc>
      </w:tr>
      <w:tr>
        <w:trPr>
          <w:trHeight w:val="225"/>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 for investment, at fair value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326,113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326,113</w:t>
            </w:r>
          </w:p>
        </w:tc>
        <w:tc>
          <w:tcPr>
            <w:tcW w:w="0" w:type="dxa"/>
            <w:vAlign w:val="bottom"/>
          </w:tcPr>
          <w:p>
            <w:pPr>
              <w:spacing w:after="0"/>
              <w:rPr>
                <w:sz w:val="1"/>
                <w:szCs w:val="1"/>
                <w:color w:val="auto"/>
              </w:rPr>
            </w:pPr>
          </w:p>
        </w:tc>
      </w:tr>
      <w:tr>
        <w:trPr>
          <w:trHeight w:val="225"/>
        </w:trPr>
        <w:tc>
          <w:tcPr>
            <w:tcW w:w="620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Individually evaluated loans</w:t>
            </w:r>
            <w:r>
              <w:rPr>
                <w:rFonts w:ascii="Times New Roman" w:cs="Times New Roman" w:eastAsia="Times New Roman" w:hAnsi="Times New Roman"/>
                <w:sz w:val="22"/>
                <w:szCs w:val="22"/>
                <w:color w:val="auto"/>
                <w:vertAlign w:val="superscript"/>
              </w:rPr>
              <w:t>1</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55,711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55,711</w:t>
            </w:r>
          </w:p>
        </w:tc>
        <w:tc>
          <w:tcPr>
            <w:tcW w:w="0" w:type="dxa"/>
            <w:vAlign w:val="bottom"/>
          </w:tcPr>
          <w:p>
            <w:pPr>
              <w:spacing w:after="0"/>
              <w:rPr>
                <w:sz w:val="1"/>
                <w:szCs w:val="1"/>
                <w:color w:val="auto"/>
              </w:rPr>
            </w:pPr>
          </w:p>
        </w:tc>
      </w:tr>
      <w:tr>
        <w:trPr>
          <w:trHeight w:val="225"/>
        </w:trPr>
        <w:tc>
          <w:tcPr>
            <w:tcW w:w="620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Other real estate owned</w:t>
            </w:r>
            <w:r>
              <w:rPr>
                <w:rFonts w:ascii="Times New Roman" w:cs="Times New Roman" w:eastAsia="Times New Roman" w:hAnsi="Times New Roman"/>
                <w:sz w:val="22"/>
                <w:szCs w:val="22"/>
                <w:color w:val="auto"/>
                <w:vertAlign w:val="superscript"/>
              </w:rPr>
              <w:t>2</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5,176</w:t>
            </w:r>
          </w:p>
        </w:tc>
        <w:tc>
          <w:tcPr>
            <w:tcW w:w="0" w:type="dxa"/>
            <w:vAlign w:val="bottom"/>
          </w:tcPr>
          <w:p>
            <w:pPr>
              <w:spacing w:after="0"/>
              <w:rPr>
                <w:sz w:val="1"/>
                <w:szCs w:val="1"/>
                <w:color w:val="auto"/>
              </w:rPr>
            </w:pPr>
          </w:p>
        </w:tc>
      </w:tr>
      <w:tr>
        <w:trPr>
          <w:trHeight w:val="225"/>
        </w:trPr>
        <w:tc>
          <w:tcPr>
            <w:tcW w:w="620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Residuals in securitizations, at fair value</w:t>
            </w:r>
            <w:r>
              <w:rPr>
                <w:rFonts w:ascii="Times New Roman" w:cs="Times New Roman" w:eastAsia="Times New Roman" w:hAnsi="Times New Roman"/>
                <w:sz w:val="22"/>
                <w:szCs w:val="22"/>
                <w:color w:val="auto"/>
                <w:vertAlign w:val="superscript"/>
              </w:rPr>
              <w:t>3</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77,701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77,701</w:t>
            </w:r>
          </w:p>
        </w:tc>
        <w:tc>
          <w:tcPr>
            <w:tcW w:w="0" w:type="dxa"/>
            <w:vAlign w:val="bottom"/>
          </w:tcPr>
          <w:p>
            <w:pPr>
              <w:spacing w:after="0"/>
              <w:rPr>
                <w:sz w:val="1"/>
                <w:szCs w:val="1"/>
                <w:color w:val="auto"/>
              </w:rPr>
            </w:pPr>
          </w:p>
        </w:tc>
      </w:tr>
      <w:tr>
        <w:trPr>
          <w:trHeight w:val="225"/>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assets, at fair value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18,384</w:t>
            </w:r>
          </w:p>
        </w:tc>
        <w:tc>
          <w:tcPr>
            <w:tcW w:w="0" w:type="dxa"/>
            <w:vAlign w:val="bottom"/>
          </w:tcPr>
          <w:p>
            <w:pPr>
              <w:spacing w:after="0"/>
              <w:rPr>
                <w:sz w:val="1"/>
                <w:szCs w:val="1"/>
                <w:color w:val="auto"/>
              </w:rPr>
            </w:pPr>
          </w:p>
        </w:tc>
      </w:tr>
      <w:tr>
        <w:trPr>
          <w:trHeight w:val="225"/>
        </w:trPr>
        <w:tc>
          <w:tcPr>
            <w:tcW w:w="620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Servicing assets, at LCM</w:t>
            </w:r>
            <w:r>
              <w:rPr>
                <w:rFonts w:ascii="Times New Roman" w:cs="Times New Roman" w:eastAsia="Times New Roman" w:hAnsi="Times New Roman"/>
                <w:sz w:val="22"/>
                <w:szCs w:val="22"/>
                <w:color w:val="auto"/>
                <w:vertAlign w:val="superscript"/>
              </w:rPr>
              <w:t>1</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31,831</w:t>
            </w:r>
          </w:p>
        </w:tc>
        <w:tc>
          <w:tcPr>
            <w:tcW w:w="0" w:type="dxa"/>
            <w:vAlign w:val="bottom"/>
          </w:tcPr>
          <w:p>
            <w:pPr>
              <w:spacing w:after="0"/>
              <w:rPr>
                <w:sz w:val="1"/>
                <w:szCs w:val="1"/>
                <w:color w:val="auto"/>
              </w:rPr>
            </w:pPr>
          </w:p>
        </w:tc>
      </w:tr>
      <w:tr>
        <w:trPr>
          <w:trHeight w:val="225"/>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Joint ventures and other non-control investments, at fair value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68,121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7,560</w:t>
            </w:r>
          </w:p>
        </w:tc>
        <w:tc>
          <w:tcPr>
            <w:tcW w:w="1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1"/>
                <w:szCs w:val="11"/>
                <w:color w:val="auto"/>
                <w:w w:val="71"/>
              </w:rPr>
              <w:t>5</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60,561</w:t>
            </w:r>
          </w:p>
        </w:tc>
        <w:tc>
          <w:tcPr>
            <w:tcW w:w="0" w:type="dxa"/>
            <w:vAlign w:val="bottom"/>
          </w:tcPr>
          <w:p>
            <w:pPr>
              <w:spacing w:after="0"/>
              <w:rPr>
                <w:sz w:val="1"/>
                <w:szCs w:val="1"/>
                <w:color w:val="auto"/>
              </w:rPr>
            </w:pPr>
          </w:p>
        </w:tc>
      </w:tr>
      <w:tr>
        <w:trPr>
          <w:trHeight w:val="225"/>
        </w:trPr>
        <w:tc>
          <w:tcPr>
            <w:tcW w:w="620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Derivative instruments</w:t>
            </w:r>
            <w:r>
              <w:rPr>
                <w:rFonts w:ascii="Times New Roman" w:cs="Times New Roman" w:eastAsia="Times New Roman" w:hAnsi="Times New Roman"/>
                <w:sz w:val="22"/>
                <w:szCs w:val="22"/>
                <w:color w:val="auto"/>
                <w:vertAlign w:val="superscript"/>
              </w:rPr>
              <w:t>1,3</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200" w:type="dxa"/>
            <w:vAlign w:val="bottom"/>
            <w:tcBorders>
              <w:top w:val="single" w:sz="8" w:color="CCEEFF"/>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1,111,891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21,805</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203,586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886,500</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2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620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Equity warrants</w:t>
            </w:r>
            <w:r>
              <w:rPr>
                <w:rFonts w:ascii="Times New Roman" w:cs="Times New Roman" w:eastAsia="Times New Roman" w:hAnsi="Times New Roman"/>
                <w:sz w:val="22"/>
                <w:szCs w:val="22"/>
                <w:color w:val="auto"/>
                <w:vertAlign w:val="superscript"/>
              </w:rPr>
              <w:t>3,4</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32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5"/>
        </w:trPr>
        <w:tc>
          <w:tcPr>
            <w:tcW w:w="6200" w:type="dxa"/>
            <w:vAlign w:val="bottom"/>
            <w:tcBorders>
              <w:bottom w:val="single" w:sz="8" w:color="CCEEFF"/>
            </w:tcBorders>
          </w:tcPr>
          <w:p>
            <w:pPr>
              <w:ind w:left="20"/>
              <w:spacing w:after="0" w:line="225" w:lineRule="exact"/>
              <w:rPr>
                <w:sz w:val="20"/>
                <w:szCs w:val="20"/>
                <w:color w:val="auto"/>
              </w:rPr>
            </w:pPr>
            <w:r>
              <w:rPr>
                <w:rFonts w:ascii="Times New Roman" w:cs="Times New Roman" w:eastAsia="Times New Roman" w:hAnsi="Times New Roman"/>
                <w:sz w:val="18"/>
                <w:szCs w:val="18"/>
                <w:color w:val="auto"/>
              </w:rPr>
              <w:t>Derivative instruments</w:t>
            </w:r>
            <w:r>
              <w:rPr>
                <w:rFonts w:ascii="Times New Roman" w:cs="Times New Roman" w:eastAsia="Times New Roman" w:hAnsi="Times New Roman"/>
                <w:sz w:val="22"/>
                <w:szCs w:val="22"/>
                <w:color w:val="auto"/>
                <w:vertAlign w:val="superscript"/>
              </w:rPr>
              <w:t>3,4</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2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 w:lineRule="exact"/>
        <w:rPr>
          <w:sz w:val="20"/>
          <w:szCs w:val="20"/>
          <w:color w:val="auto"/>
        </w:rPr>
      </w:pPr>
    </w:p>
    <w:p>
      <w:pPr>
        <w:ind w:left="180" w:hanging="174"/>
        <w:spacing w:after="0"/>
        <w:tabs>
          <w:tab w:leader="none" w:pos="18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Non-recurring.</w:t>
      </w:r>
    </w:p>
    <w:p>
      <w:pPr>
        <w:ind w:left="180" w:hanging="174"/>
        <w:spacing w:after="0" w:line="191" w:lineRule="auto"/>
        <w:tabs>
          <w:tab w:leader="none" w:pos="18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in Other assets on the Consolidated Statements of Financial Condition.</w:t>
      </w:r>
    </w:p>
    <w:p>
      <w:pPr>
        <w:ind w:left="180" w:hanging="174"/>
        <w:spacing w:after="0" w:line="192" w:lineRule="auto"/>
        <w:tabs>
          <w:tab w:leader="none" w:pos="18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Measured at fair value on a recurring basis with the net unrealized gains or losses recorded in current period earnings.</w:t>
      </w:r>
    </w:p>
    <w:p>
      <w:pPr>
        <w:ind w:left="180" w:hanging="174"/>
        <w:spacing w:after="0" w:line="192" w:lineRule="auto"/>
        <w:tabs>
          <w:tab w:leader="none" w:pos="18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in Accounts payable, accrued expenses, and other liabilities on the Consolidated Statements of Financial Condition.</w:t>
      </w:r>
    </w:p>
    <w:p>
      <w:pPr>
        <w:ind w:left="180" w:hanging="174"/>
        <w:spacing w:after="0" w:line="192" w:lineRule="auto"/>
        <w:tabs>
          <w:tab w:leader="none" w:pos="18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Four million shares of IPM Preferred Stock valued at the closing price per share of IPM common stock of $1.89 on June 30, 2025.</w:t>
      </w:r>
    </w:p>
    <w:p>
      <w:pPr>
        <w:spacing w:after="0" w:line="308" w:lineRule="exact"/>
        <w:rPr>
          <w:sz w:val="20"/>
          <w:szCs w:val="20"/>
          <w:color w:val="auto"/>
        </w:rPr>
      </w:pPr>
    </w:p>
    <w:tbl>
      <w:tblPr>
        <w:tblLayout w:type="fixed"/>
        <w:tblInd w:w="100" w:type="dxa"/>
        <w:tblCellMar>
          <w:top w:w="0" w:type="dxa"/>
          <w:left w:w="0" w:type="dxa"/>
          <w:bottom w:w="0" w:type="dxa"/>
          <w:right w:w="0" w:type="dxa"/>
        </w:tblCellMar>
      </w:tblPr>
      <w:tr>
        <w:trPr>
          <w:trHeight w:val="186"/>
        </w:trPr>
        <w:tc>
          <w:tcPr>
            <w:tcW w:w="6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20" w:type="dxa"/>
            <w:vAlign w:val="bottom"/>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2024</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6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6"/>
                <w:szCs w:val="16"/>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6"/>
                <w:szCs w:val="16"/>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6"/>
                <w:szCs w:val="16"/>
                <w:color w:val="auto"/>
              </w:rPr>
            </w:pPr>
          </w:p>
        </w:tc>
        <w:tc>
          <w:tcPr>
            <w:tcW w:w="8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1"/>
        </w:trPr>
        <w:tc>
          <w:tcPr>
            <w:tcW w:w="6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securities available-for-sale</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Treasury notes</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held for sale, at fair value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372,286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372,286</w:t>
            </w:r>
          </w:p>
        </w:tc>
        <w:tc>
          <w:tcPr>
            <w:tcW w:w="0" w:type="dxa"/>
            <w:vAlign w:val="bottom"/>
          </w:tcPr>
          <w:p>
            <w:pPr>
              <w:spacing w:after="0"/>
              <w:rPr>
                <w:sz w:val="1"/>
                <w:szCs w:val="1"/>
                <w:color w:val="auto"/>
              </w:rPr>
            </w:pPr>
          </w:p>
        </w:tc>
      </w:tr>
      <w:tr>
        <w:trPr>
          <w:trHeight w:val="225"/>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 for investment, at fair value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369,746</w:t>
            </w:r>
          </w:p>
        </w:tc>
        <w:tc>
          <w:tcPr>
            <w:tcW w:w="0" w:type="dxa"/>
            <w:vAlign w:val="bottom"/>
          </w:tcPr>
          <w:p>
            <w:pPr>
              <w:spacing w:after="0"/>
              <w:rPr>
                <w:sz w:val="1"/>
                <w:szCs w:val="1"/>
                <w:color w:val="auto"/>
              </w:rPr>
            </w:pPr>
          </w:p>
        </w:tc>
      </w:tr>
      <w:tr>
        <w:trPr>
          <w:trHeight w:val="225"/>
        </w:trPr>
        <w:tc>
          <w:tcPr>
            <w:tcW w:w="618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Other real estate owned</w:t>
            </w:r>
            <w:r>
              <w:rPr>
                <w:rFonts w:ascii="Times New Roman" w:cs="Times New Roman" w:eastAsia="Times New Roman" w:hAnsi="Times New Roman"/>
                <w:sz w:val="22"/>
                <w:szCs w:val="22"/>
                <w:color w:val="auto"/>
                <w:vertAlign w:val="superscript"/>
              </w:rPr>
              <w:t>1</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0" w:type="dxa"/>
            <w:vAlign w:val="bottom"/>
          </w:tcPr>
          <w:p>
            <w:pPr>
              <w:spacing w:after="0"/>
              <w:rPr>
                <w:sz w:val="1"/>
                <w:szCs w:val="1"/>
                <w:color w:val="auto"/>
              </w:rPr>
            </w:pPr>
          </w:p>
        </w:tc>
      </w:tr>
      <w:tr>
        <w:trPr>
          <w:trHeight w:val="225"/>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assets, at fair value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22,062</w:t>
            </w:r>
          </w:p>
        </w:tc>
        <w:tc>
          <w:tcPr>
            <w:tcW w:w="0" w:type="dxa"/>
            <w:vAlign w:val="bottom"/>
          </w:tcPr>
          <w:p>
            <w:pPr>
              <w:spacing w:after="0"/>
              <w:rPr>
                <w:sz w:val="1"/>
                <w:szCs w:val="1"/>
                <w:color w:val="auto"/>
              </w:rPr>
            </w:pPr>
          </w:p>
        </w:tc>
      </w:tr>
      <w:tr>
        <w:trPr>
          <w:trHeight w:val="225"/>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Joint ventures and other non-control investments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57,678</w:t>
            </w:r>
          </w:p>
        </w:tc>
        <w:tc>
          <w:tcPr>
            <w:tcW w:w="0" w:type="dxa"/>
            <w:vAlign w:val="bottom"/>
          </w:tcPr>
          <w:p>
            <w:pPr>
              <w:spacing w:after="0"/>
              <w:rPr>
                <w:sz w:val="1"/>
                <w:szCs w:val="1"/>
                <w:color w:val="auto"/>
              </w:rPr>
            </w:pPr>
          </w:p>
        </w:tc>
      </w:tr>
      <w:tr>
        <w:trPr>
          <w:trHeight w:val="225"/>
        </w:trPr>
        <w:tc>
          <w:tcPr>
            <w:tcW w:w="618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Assets held for sale</w:t>
            </w:r>
            <w:r>
              <w:rPr>
                <w:rFonts w:ascii="Times New Roman" w:cs="Times New Roman" w:eastAsia="Times New Roman" w:hAnsi="Times New Roman"/>
                <w:sz w:val="22"/>
                <w:szCs w:val="22"/>
                <w:color w:val="auto"/>
                <w:vertAlign w:val="superscript"/>
              </w:rPr>
              <w:t>2</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21,308</w:t>
            </w:r>
          </w:p>
        </w:tc>
        <w:tc>
          <w:tcPr>
            <w:tcW w:w="0" w:type="dxa"/>
            <w:vAlign w:val="bottom"/>
          </w:tcPr>
          <w:p>
            <w:pPr>
              <w:spacing w:after="0"/>
              <w:rPr>
                <w:sz w:val="1"/>
                <w:szCs w:val="1"/>
                <w:color w:val="auto"/>
              </w:rPr>
            </w:pPr>
          </w:p>
        </w:tc>
      </w:tr>
      <w:tr>
        <w:trPr>
          <w:trHeight w:val="225"/>
        </w:trPr>
        <w:tc>
          <w:tcPr>
            <w:tcW w:w="618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Derivative instruments</w:t>
            </w:r>
            <w:r>
              <w:rPr>
                <w:rFonts w:ascii="Times New Roman" w:cs="Times New Roman" w:eastAsia="Times New Roman" w:hAnsi="Times New Roman"/>
                <w:sz w:val="22"/>
                <w:szCs w:val="22"/>
                <w:color w:val="auto"/>
                <w:vertAlign w:val="superscript"/>
              </w:rPr>
              <w:t>1,3</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180" w:type="dxa"/>
            <w:vAlign w:val="bottom"/>
            <w:tcBorders>
              <w:top w:val="single" w:sz="8" w:color="CCEEFF"/>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871,475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846,844</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1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618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Equity warrants</w:t>
            </w:r>
            <w:r>
              <w:rPr>
                <w:rFonts w:ascii="Times New Roman" w:cs="Times New Roman" w:eastAsia="Times New Roman" w:hAnsi="Times New Roman"/>
                <w:sz w:val="22"/>
                <w:szCs w:val="22"/>
                <w:color w:val="auto"/>
                <w:vertAlign w:val="superscript"/>
              </w:rPr>
              <w:t>3,4</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8"/>
        </w:trPr>
        <w:tc>
          <w:tcPr>
            <w:tcW w:w="6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180" w:hanging="174"/>
        <w:spacing w:after="0"/>
        <w:tabs>
          <w:tab w:leader="none" w:pos="18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in Other assets on the Consolidated Statements of Financial Condition.</w:t>
      </w:r>
    </w:p>
    <w:p>
      <w:pPr>
        <w:spacing w:after="0" w:line="2" w:lineRule="exact"/>
        <w:rPr>
          <w:rFonts w:ascii="Times New Roman" w:cs="Times New Roman" w:eastAsia="Times New Roman" w:hAnsi="Times New Roman"/>
          <w:sz w:val="23"/>
          <w:szCs w:val="23"/>
          <w:color w:val="auto"/>
          <w:vertAlign w:val="superscript"/>
        </w:rPr>
      </w:pPr>
    </w:p>
    <w:p>
      <w:pPr>
        <w:spacing w:after="0" w:line="200"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8"/>
          <w:szCs w:val="18"/>
          <w:color w:val="auto"/>
        </w:rPr>
        <w:t xml:space="preserve">  Non-recurring.</w:t>
      </w:r>
    </w:p>
    <w:p>
      <w:pPr>
        <w:spacing w:after="0" w:line="190"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2"/>
          <w:szCs w:val="22"/>
          <w:color w:val="auto"/>
          <w:vertAlign w:val="superscript"/>
        </w:rPr>
        <w:t>3</w:t>
      </w:r>
      <w:r>
        <w:rPr>
          <w:rFonts w:ascii="Times New Roman" w:cs="Times New Roman" w:eastAsia="Times New Roman" w:hAnsi="Times New Roman"/>
          <w:sz w:val="18"/>
          <w:szCs w:val="18"/>
          <w:color w:val="auto"/>
        </w:rPr>
        <w:t xml:space="preserve">  Measured at fair value on a recurring basis with the net unrealized gains or losses recorded in current period earnings.</w:t>
      </w:r>
    </w:p>
    <w:p>
      <w:pPr>
        <w:ind w:left="5460" w:right="2160" w:hanging="5454"/>
        <w:spacing w:after="0" w:line="822" w:lineRule="auto"/>
        <w:tabs>
          <w:tab w:leader="none" w:pos="242"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in Accounts payable, accrued expenses, and other liabilities on the Consolidated Statements of Financial Condition. 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-351790</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The following tables represents the changes in the investments, servicing assets and liabilities measured at fair value using Level 3 inputs for the six months ended June 30, 2025 and 2024:</w:t>
      </w:r>
    </w:p>
    <w:p>
      <w:pPr>
        <w:spacing w:after="0" w:line="44" w:lineRule="exact"/>
        <w:rPr>
          <w:sz w:val="20"/>
          <w:szCs w:val="20"/>
          <w:color w:val="auto"/>
        </w:rPr>
      </w:pPr>
    </w:p>
    <w:tbl>
      <w:tblPr>
        <w:tblLayout w:type="fixed"/>
        <w:tblInd w:w="260" w:type="dxa"/>
        <w:tblCellMar>
          <w:top w:w="0" w:type="dxa"/>
          <w:left w:w="0" w:type="dxa"/>
          <w:bottom w:w="0" w:type="dxa"/>
          <w:right w:w="0" w:type="dxa"/>
        </w:tblCellMar>
      </w:tblPr>
      <w:tr>
        <w:trPr>
          <w:trHeight w:val="186"/>
        </w:trPr>
        <w:tc>
          <w:tcPr>
            <w:tcW w:w="2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80" w:type="dxa"/>
            <w:vAlign w:val="bottom"/>
            <w:gridSpan w:val="8"/>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2"/>
        </w:trPr>
        <w:tc>
          <w:tcPr>
            <w:tcW w:w="2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Loans HFI,</w:t>
            </w:r>
          </w:p>
        </w:tc>
        <w:tc>
          <w:tcPr>
            <w:tcW w:w="180" w:type="dxa"/>
            <w:vAlign w:val="bottom"/>
          </w:tcPr>
          <w:p>
            <w:pPr>
              <w:spacing w:after="0"/>
              <w:rPr>
                <w:sz w:val="9"/>
                <w:szCs w:val="9"/>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Loans HFS,</w:t>
            </w:r>
          </w:p>
        </w:tc>
        <w:tc>
          <w:tcPr>
            <w:tcW w:w="1220" w:type="dxa"/>
            <w:vAlign w:val="bottom"/>
            <w:gridSpan w:val="3"/>
          </w:tcPr>
          <w:p>
            <w:pPr>
              <w:jc w:val="center"/>
              <w:ind w:right="100"/>
              <w:spacing w:after="0" w:line="113" w:lineRule="exact"/>
              <w:rPr>
                <w:sz w:val="20"/>
                <w:szCs w:val="20"/>
                <w:color w:val="auto"/>
              </w:rPr>
            </w:pPr>
            <w:r>
              <w:rPr>
                <w:rFonts w:ascii="Times New Roman" w:cs="Times New Roman" w:eastAsia="Times New Roman" w:hAnsi="Times New Roman"/>
                <w:sz w:val="12"/>
                <w:szCs w:val="12"/>
                <w:b w:val="1"/>
                <w:bCs w:val="1"/>
                <w:color w:val="auto"/>
              </w:rPr>
              <w:t>Joint Ventures and</w:t>
            </w:r>
          </w:p>
        </w:tc>
        <w:tc>
          <w:tcPr>
            <w:tcW w:w="100" w:type="dxa"/>
            <w:vAlign w:val="bottom"/>
          </w:tcPr>
          <w:p>
            <w:pPr>
              <w:spacing w:after="0"/>
              <w:rPr>
                <w:sz w:val="9"/>
                <w:szCs w:val="9"/>
                <w:color w:val="auto"/>
              </w:rPr>
            </w:pPr>
          </w:p>
        </w:tc>
        <w:tc>
          <w:tcPr>
            <w:tcW w:w="1160" w:type="dxa"/>
            <w:vAlign w:val="bottom"/>
            <w:gridSpan w:val="2"/>
          </w:tcPr>
          <w:p>
            <w:pPr>
              <w:jc w:val="center"/>
              <w:ind w:right="200"/>
              <w:spacing w:after="0" w:line="113" w:lineRule="exact"/>
              <w:rPr>
                <w:sz w:val="20"/>
                <w:szCs w:val="20"/>
                <w:color w:val="auto"/>
              </w:rPr>
            </w:pPr>
            <w:r>
              <w:rPr>
                <w:rFonts w:ascii="Times New Roman" w:cs="Times New Roman" w:eastAsia="Times New Roman" w:hAnsi="Times New Roman"/>
                <w:sz w:val="12"/>
                <w:szCs w:val="12"/>
                <w:b w:val="1"/>
                <w:bCs w:val="1"/>
                <w:color w:val="auto"/>
              </w:rPr>
              <w:t>Residuals in</w:t>
            </w:r>
          </w:p>
        </w:tc>
        <w:tc>
          <w:tcPr>
            <w:tcW w:w="100" w:type="dxa"/>
            <w:vAlign w:val="bottom"/>
          </w:tcPr>
          <w:p>
            <w:pPr>
              <w:spacing w:after="0"/>
              <w:rPr>
                <w:sz w:val="9"/>
                <w:szCs w:val="9"/>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Servicing Assets,</w:t>
            </w: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2"/>
            <w:vMerge w:val="restart"/>
          </w:tcPr>
          <w:p>
            <w:pPr>
              <w:jc w:val="right"/>
              <w:ind w:right="14"/>
              <w:spacing w:after="0"/>
              <w:rPr>
                <w:sz w:val="20"/>
                <w:szCs w:val="20"/>
                <w:color w:val="auto"/>
              </w:rPr>
            </w:pPr>
            <w:r>
              <w:rPr>
                <w:rFonts w:ascii="Times New Roman" w:cs="Times New Roman" w:eastAsia="Times New Roman" w:hAnsi="Times New Roman"/>
                <w:sz w:val="12"/>
                <w:szCs w:val="12"/>
                <w:b w:val="1"/>
                <w:bCs w:val="1"/>
                <w:color w:val="auto"/>
              </w:rPr>
              <w:t>Other Real Estate</w:t>
            </w:r>
          </w:p>
        </w:tc>
        <w:tc>
          <w:tcPr>
            <w:tcW w:w="0" w:type="dxa"/>
            <w:vAlign w:val="bottom"/>
          </w:tcPr>
          <w:p>
            <w:pPr>
              <w:spacing w:after="0"/>
              <w:rPr>
                <w:sz w:val="1"/>
                <w:szCs w:val="1"/>
                <w:color w:val="auto"/>
              </w:rPr>
            </w:pPr>
          </w:p>
        </w:tc>
      </w:tr>
      <w:tr>
        <w:trPr>
          <w:trHeight w:val="119"/>
        </w:trPr>
        <w:tc>
          <w:tcPr>
            <w:tcW w:w="2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220" w:type="dxa"/>
            <w:vAlign w:val="bottom"/>
            <w:gridSpan w:val="3"/>
          </w:tcPr>
          <w:p>
            <w:pPr>
              <w:jc w:val="center"/>
              <w:ind w:right="100"/>
              <w:spacing w:after="0" w:line="119" w:lineRule="exact"/>
              <w:rPr>
                <w:sz w:val="20"/>
                <w:szCs w:val="20"/>
                <w:color w:val="auto"/>
              </w:rPr>
            </w:pPr>
            <w:r>
              <w:rPr>
                <w:rFonts w:ascii="Times New Roman" w:cs="Times New Roman" w:eastAsia="Times New Roman" w:hAnsi="Times New Roman"/>
                <w:sz w:val="12"/>
                <w:szCs w:val="12"/>
                <w:b w:val="1"/>
                <w:bCs w:val="1"/>
                <w:color w:val="auto"/>
              </w:rPr>
              <w:t>Other Non-Control</w:t>
            </w:r>
          </w:p>
        </w:tc>
        <w:tc>
          <w:tcPr>
            <w:tcW w:w="100" w:type="dxa"/>
            <w:vAlign w:val="bottom"/>
          </w:tcPr>
          <w:p>
            <w:pPr>
              <w:spacing w:after="0"/>
              <w:rPr>
                <w:sz w:val="10"/>
                <w:szCs w:val="10"/>
                <w:color w:val="auto"/>
              </w:rPr>
            </w:pPr>
          </w:p>
        </w:tc>
        <w:tc>
          <w:tcPr>
            <w:tcW w:w="1160" w:type="dxa"/>
            <w:vAlign w:val="bottom"/>
            <w:gridSpan w:val="2"/>
          </w:tcPr>
          <w:p>
            <w:pPr>
              <w:jc w:val="center"/>
              <w:ind w:right="200"/>
              <w:spacing w:after="0" w:line="119" w:lineRule="exact"/>
              <w:rPr>
                <w:sz w:val="20"/>
                <w:szCs w:val="20"/>
                <w:color w:val="auto"/>
              </w:rPr>
            </w:pPr>
            <w:r>
              <w:rPr>
                <w:rFonts w:ascii="Times New Roman" w:cs="Times New Roman" w:eastAsia="Times New Roman" w:hAnsi="Times New Roman"/>
                <w:sz w:val="12"/>
                <w:szCs w:val="12"/>
                <w:b w:val="1"/>
                <w:bCs w:val="1"/>
                <w:color w:val="auto"/>
              </w:rPr>
              <w:t>Securitizations, at</w:t>
            </w:r>
          </w:p>
        </w:tc>
        <w:tc>
          <w:tcPr>
            <w:tcW w:w="10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at FV</w:t>
            </w:r>
          </w:p>
        </w:tc>
        <w:tc>
          <w:tcPr>
            <w:tcW w:w="18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at FV</w:t>
            </w: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Investments</w:t>
            </w:r>
          </w:p>
        </w:tc>
        <w:tc>
          <w:tcPr>
            <w:tcW w:w="10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FV</w:t>
            </w:r>
          </w:p>
        </w:tc>
        <w:tc>
          <w:tcPr>
            <w:tcW w:w="10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at FV</w:t>
            </w:r>
          </w:p>
        </w:tc>
        <w:tc>
          <w:tcPr>
            <w:tcW w:w="100" w:type="dxa"/>
            <w:vAlign w:val="bottom"/>
          </w:tcPr>
          <w:p>
            <w:pPr>
              <w:spacing w:after="0"/>
              <w:rPr>
                <w:sz w:val="16"/>
                <w:szCs w:val="16"/>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Equity Warrants</w:t>
            </w:r>
            <w:r>
              <w:rPr>
                <w:rFonts w:ascii="Times New Roman" w:cs="Times New Roman" w:eastAsia="Times New Roman" w:hAnsi="Times New Roman"/>
                <w:sz w:val="16"/>
                <w:szCs w:val="16"/>
                <w:b w:val="1"/>
                <w:bCs w:val="1"/>
                <w:color w:val="auto"/>
                <w:vertAlign w:val="superscript"/>
              </w:rPr>
              <w:t>1</w:t>
            </w:r>
          </w:p>
        </w:tc>
        <w:tc>
          <w:tcPr>
            <w:tcW w:w="220" w:type="dxa"/>
            <w:vAlign w:val="bottom"/>
          </w:tcPr>
          <w:p>
            <w:pPr>
              <w:spacing w:after="0"/>
              <w:rPr>
                <w:sz w:val="16"/>
                <w:szCs w:val="16"/>
                <w:color w:val="auto"/>
              </w:rPr>
            </w:pPr>
          </w:p>
        </w:tc>
        <w:tc>
          <w:tcPr>
            <w:tcW w:w="920" w:type="dxa"/>
            <w:vAlign w:val="bottom"/>
          </w:tcPr>
          <w:p>
            <w:pPr>
              <w:jc w:val="right"/>
              <w:ind w:right="274"/>
              <w:spacing w:after="0"/>
              <w:rPr>
                <w:sz w:val="20"/>
                <w:szCs w:val="20"/>
                <w:color w:val="auto"/>
              </w:rPr>
            </w:pPr>
            <w:r>
              <w:rPr>
                <w:rFonts w:ascii="Times New Roman" w:cs="Times New Roman" w:eastAsia="Times New Roman" w:hAnsi="Times New Roman"/>
                <w:sz w:val="12"/>
                <w:szCs w:val="12"/>
                <w:b w:val="1"/>
                <w:bCs w:val="1"/>
                <w:color w:val="auto"/>
              </w:rPr>
              <w:t>Owned</w:t>
            </w:r>
            <w:r>
              <w:rPr>
                <w:rFonts w:ascii="Times New Roman" w:cs="Times New Roman" w:eastAsia="Times New Roman" w:hAnsi="Times New Roman"/>
                <w:sz w:val="16"/>
                <w:szCs w:val="16"/>
                <w:b w:val="1"/>
                <w:bCs w:val="1"/>
                <w:color w:val="auto"/>
                <w:vertAlign w:val="superscript"/>
              </w:rPr>
              <w:t>2</w:t>
            </w:r>
          </w:p>
        </w:tc>
        <w:tc>
          <w:tcPr>
            <w:tcW w:w="0" w:type="dxa"/>
            <w:vAlign w:val="bottom"/>
          </w:tcPr>
          <w:p>
            <w:pPr>
              <w:spacing w:after="0"/>
              <w:rPr>
                <w:sz w:val="1"/>
                <w:szCs w:val="1"/>
                <w:color w:val="auto"/>
              </w:rPr>
            </w:pPr>
          </w:p>
        </w:tc>
      </w:tr>
      <w:tr>
        <w:trPr>
          <w:trHeight w:val="152"/>
        </w:trPr>
        <w:tc>
          <w:tcPr>
            <w:tcW w:w="2140" w:type="dxa"/>
            <w:vAlign w:val="bottom"/>
            <w:tcBorders>
              <w:top w:val="single" w:sz="8" w:color="CCEEFF"/>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7"/>
                <w:szCs w:val="17"/>
                <w:color w:val="auto"/>
              </w:rPr>
              <w:t>Fair value, December 31,</w:t>
            </w:r>
          </w:p>
        </w:tc>
        <w:tc>
          <w:tcPr>
            <w:tcW w:w="18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369,746</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372,286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0" w:type="dxa"/>
            <w:vAlign w:val="bottom"/>
          </w:tcPr>
          <w:p>
            <w:pPr>
              <w:spacing w:after="0"/>
              <w:rPr>
                <w:sz w:val="1"/>
                <w:szCs w:val="1"/>
                <w:color w:val="auto"/>
              </w:rPr>
            </w:pPr>
          </w:p>
        </w:tc>
      </w:tr>
      <w:tr>
        <w:trPr>
          <w:trHeight w:val="172"/>
        </w:trPr>
        <w:tc>
          <w:tcPr>
            <w:tcW w:w="214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Reclasses between loans at</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FV and LCM</w:t>
            </w:r>
          </w:p>
        </w:tc>
        <w:tc>
          <w:tcPr>
            <w:tcW w:w="1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214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w w:val="97"/>
              </w:rPr>
              <w:t>Reclasses between loans HFS</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HFI</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r>
        <w:trPr>
          <w:trHeight w:val="225"/>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payments received</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214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Foreclosed real estate</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0" w:type="dxa"/>
            <w:vAlign w:val="bottom"/>
          </w:tcPr>
          <w:p>
            <w:pPr>
              <w:spacing w:after="0"/>
              <w:rPr>
                <w:sz w:val="1"/>
                <w:szCs w:val="1"/>
                <w:color w:val="auto"/>
              </w:rPr>
            </w:pPr>
          </w:p>
        </w:tc>
      </w:tr>
      <w:tr>
        <w:trPr>
          <w:trHeight w:val="225"/>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 loans, funded</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ALP loans, funded</w:t>
            </w:r>
          </w:p>
        </w:tc>
        <w:tc>
          <w:tcPr>
            <w:tcW w:w="1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214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w w:val="99"/>
              </w:rPr>
              <w:t>Purchases and repurchases of</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214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Residuals in securitizations,</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notional</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32,481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14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Additions</w:t>
            </w:r>
            <w:r>
              <w:rPr>
                <w:rFonts w:ascii="Times New Roman" w:cs="Times New Roman" w:eastAsia="Times New Roman" w:hAnsi="Times New Roman"/>
                <w:sz w:val="22"/>
                <w:szCs w:val="22"/>
                <w:color w:val="auto"/>
                <w:vertAlign w:val="superscript"/>
              </w:rPr>
              <w:t>3</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214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Capital</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contributions/(distributions)</w:t>
            </w:r>
          </w:p>
        </w:tc>
        <w:tc>
          <w:tcPr>
            <w:tcW w:w="1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due to:</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140" w:type="dxa"/>
            <w:vAlign w:val="bottom"/>
          </w:tcPr>
          <w:p>
            <w:pPr>
              <w:ind w:left="120"/>
              <w:spacing w:after="0" w:line="172" w:lineRule="exact"/>
              <w:rPr>
                <w:sz w:val="20"/>
                <w:szCs w:val="20"/>
                <w:color w:val="auto"/>
              </w:rPr>
            </w:pPr>
            <w:r>
              <w:rPr>
                <w:rFonts w:ascii="Times New Roman" w:cs="Times New Roman" w:eastAsia="Times New Roman" w:hAnsi="Times New Roman"/>
                <w:sz w:val="18"/>
                <w:szCs w:val="18"/>
                <w:color w:val="auto"/>
                <w:w w:val="99"/>
              </w:rPr>
              <w:t>Changes in valuation inputs</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or assumptions</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25"/>
        </w:trPr>
        <w:tc>
          <w:tcPr>
            <w:tcW w:w="2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factors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14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Transfers out of Level 3</w:t>
            </w:r>
            <w:r>
              <w:rPr>
                <w:rFonts w:ascii="Times New Roman" w:cs="Times New Roman" w:eastAsia="Times New Roman" w:hAnsi="Times New Roman"/>
                <w:sz w:val="22"/>
                <w:szCs w:val="22"/>
                <w:color w:val="auto"/>
                <w:vertAlign w:val="superscript"/>
              </w:rPr>
              <w:t>4</w:t>
            </w:r>
          </w:p>
        </w:tc>
        <w:tc>
          <w:tcPr>
            <w:tcW w:w="1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June 30, 2025</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326,113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5,176</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 w:lineRule="exact"/>
        <w:rPr>
          <w:sz w:val="20"/>
          <w:szCs w:val="20"/>
          <w:color w:val="auto"/>
        </w:rPr>
      </w:pPr>
    </w:p>
    <w:p>
      <w:pPr>
        <w:ind w:left="180" w:hanging="174"/>
        <w:spacing w:after="0"/>
        <w:tabs>
          <w:tab w:leader="none" w:pos="18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in Accounts payable, accrued expenses, and other liabilities on the Consolidated Statements of Financial Condition.</w:t>
      </w:r>
    </w:p>
    <w:p>
      <w:pPr>
        <w:spacing w:after="0" w:line="2" w:lineRule="exact"/>
        <w:rPr>
          <w:rFonts w:ascii="Times New Roman" w:cs="Times New Roman" w:eastAsia="Times New Roman" w:hAnsi="Times New Roman"/>
          <w:sz w:val="23"/>
          <w:szCs w:val="23"/>
          <w:color w:val="auto"/>
          <w:vertAlign w:val="superscript"/>
        </w:rPr>
      </w:pPr>
    </w:p>
    <w:p>
      <w:pPr>
        <w:spacing w:after="0" w:line="190"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8"/>
          <w:szCs w:val="18"/>
          <w:color w:val="auto"/>
        </w:rPr>
        <w:t xml:space="preserve">  Included in Other assets on the Consolidated Statements of Financial Condition.</w:t>
      </w:r>
    </w:p>
    <w:p>
      <w:pPr>
        <w:ind w:left="240" w:hanging="234"/>
        <w:spacing w:after="0" w:line="192" w:lineRule="auto"/>
        <w:tabs>
          <w:tab w:leader="none" w:pos="24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Investment in IPM.</w:t>
      </w:r>
    </w:p>
    <w:p>
      <w:pPr>
        <w:ind w:left="160" w:right="40" w:hanging="154"/>
        <w:spacing w:after="0" w:line="219" w:lineRule="auto"/>
        <w:tabs>
          <w:tab w:leader="none" w:pos="225"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April 1, 2025, the Company is using broker quotes to calculate the fair value of its unguaranteed portions of its SBA 7(a) loans moving them from Level 3 to Level 2.</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20"/>
          </w:cols>
          <w:pgMar w:left="320" w:top="124" w:right="5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3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w w:val="99"/>
              </w:rPr>
              <w:t>Joint Ventures</w:t>
            </w: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Loans HFS,</w:t>
            </w:r>
          </w:p>
        </w:tc>
        <w:tc>
          <w:tcPr>
            <w:tcW w:w="100" w:type="dxa"/>
            <w:vAlign w:val="bottom"/>
          </w:tcPr>
          <w:p>
            <w:pPr>
              <w:spacing w:after="0"/>
              <w:rPr>
                <w:sz w:val="12"/>
                <w:szCs w:val="12"/>
                <w:color w:val="auto"/>
              </w:rPr>
            </w:pPr>
          </w:p>
        </w:tc>
        <w:tc>
          <w:tcPr>
            <w:tcW w:w="116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rPr>
              <w:t>and Other Non-</w:t>
            </w:r>
          </w:p>
        </w:tc>
        <w:tc>
          <w:tcPr>
            <w:tcW w:w="12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Servicing Assets,</w:t>
            </w: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Other Real Estate</w:t>
            </w:r>
          </w:p>
        </w:tc>
        <w:tc>
          <w:tcPr>
            <w:tcW w:w="0" w:type="dxa"/>
            <w:vAlign w:val="bottom"/>
          </w:tcPr>
          <w:p>
            <w:pPr>
              <w:spacing w:after="0"/>
              <w:rPr>
                <w:sz w:val="1"/>
                <w:szCs w:val="1"/>
                <w:color w:val="auto"/>
              </w:rPr>
            </w:pPr>
          </w:p>
        </w:tc>
      </w:tr>
      <w:tr>
        <w:trPr>
          <w:trHeight w:val="145"/>
        </w:trPr>
        <w:tc>
          <w:tcPr>
            <w:tcW w:w="3780" w:type="dxa"/>
            <w:vAlign w:val="bottom"/>
          </w:tcPr>
          <w:p>
            <w:pPr>
              <w:spacing w:after="0"/>
              <w:rPr>
                <w:sz w:val="12"/>
                <w:szCs w:val="12"/>
                <w:color w:val="auto"/>
              </w:rPr>
            </w:pPr>
          </w:p>
        </w:tc>
        <w:tc>
          <w:tcPr>
            <w:tcW w:w="12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Loans HFI, at FV</w:t>
            </w: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Control</w:t>
            </w:r>
          </w:p>
        </w:tc>
        <w:tc>
          <w:tcPr>
            <w:tcW w:w="1260" w:type="dxa"/>
            <w:vAlign w:val="bottom"/>
            <w:gridSpan w:val="3"/>
            <w:vMerge w:val="continue"/>
          </w:tcPr>
          <w:p>
            <w:pPr>
              <w:spacing w:after="0"/>
              <w:rPr>
                <w:sz w:val="12"/>
                <w:szCs w:val="12"/>
                <w:color w:val="auto"/>
              </w:rPr>
            </w:pPr>
          </w:p>
        </w:tc>
        <w:tc>
          <w:tcPr>
            <w:tcW w:w="12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Equity Warrants</w:t>
            </w:r>
            <w:r>
              <w:rPr>
                <w:rFonts w:ascii="Times New Roman" w:cs="Times New Roman" w:eastAsia="Times New Roman" w:hAnsi="Times New Roman"/>
                <w:sz w:val="18"/>
                <w:szCs w:val="18"/>
                <w:b w:val="1"/>
                <w:bCs w:val="1"/>
                <w:color w:val="auto"/>
                <w:vertAlign w:val="superscript"/>
              </w:rPr>
              <w:t>1</w:t>
            </w: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780" w:type="dxa"/>
            <w:vAlign w:val="bottom"/>
          </w:tcPr>
          <w:p>
            <w:pPr>
              <w:spacing w:after="0"/>
              <w:rPr>
                <w:sz w:val="17"/>
                <w:szCs w:val="17"/>
                <w:color w:val="auto"/>
              </w:rPr>
            </w:pPr>
          </w:p>
        </w:tc>
        <w:tc>
          <w:tcPr>
            <w:tcW w:w="124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at FV</w:t>
            </w:r>
          </w:p>
        </w:tc>
        <w:tc>
          <w:tcPr>
            <w:tcW w:w="10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Investments</w:t>
            </w:r>
          </w:p>
        </w:tc>
        <w:tc>
          <w:tcPr>
            <w:tcW w:w="26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at FV</w:t>
            </w:r>
          </w:p>
        </w:tc>
        <w:tc>
          <w:tcPr>
            <w:tcW w:w="126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233"/>
              <w:spacing w:after="0" w:line="198" w:lineRule="exact"/>
              <w:rPr>
                <w:sz w:val="20"/>
                <w:szCs w:val="20"/>
                <w:color w:val="auto"/>
              </w:rPr>
            </w:pPr>
            <w:r>
              <w:rPr>
                <w:rFonts w:ascii="Times New Roman" w:cs="Times New Roman" w:eastAsia="Times New Roman" w:hAnsi="Times New Roman"/>
                <w:sz w:val="14"/>
                <w:szCs w:val="14"/>
                <w:b w:val="1"/>
                <w:bCs w:val="1"/>
                <w:color w:val="auto"/>
              </w:rPr>
              <w:t>Owned</w:t>
            </w:r>
            <w:r>
              <w:rPr>
                <w:rFonts w:ascii="Times New Roman" w:cs="Times New Roman" w:eastAsia="Times New Roman" w:hAnsi="Times New Roman"/>
                <w:sz w:val="18"/>
                <w:szCs w:val="18"/>
                <w:b w:val="1"/>
                <w:bCs w:val="1"/>
                <w:color w:val="auto"/>
                <w:vertAlign w:val="superscript"/>
              </w:rPr>
              <w:t>2</w:t>
            </w:r>
          </w:p>
        </w:tc>
        <w:tc>
          <w:tcPr>
            <w:tcW w:w="0" w:type="dxa"/>
            <w:vAlign w:val="bottom"/>
          </w:tcPr>
          <w:p>
            <w:pPr>
              <w:spacing w:after="0"/>
              <w:rPr>
                <w:sz w:val="1"/>
                <w:szCs w:val="1"/>
                <w:color w:val="auto"/>
              </w:rPr>
            </w:pPr>
          </w:p>
        </w:tc>
      </w:tr>
      <w:tr>
        <w:trPr>
          <w:trHeight w:val="218"/>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December 31, 2023</w:t>
            </w:r>
          </w:p>
        </w:tc>
        <w:tc>
          <w:tcPr>
            <w:tcW w:w="300" w:type="dxa"/>
            <w:vAlign w:val="bottom"/>
            <w:tcBorders>
              <w:top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469,801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118,867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29,336</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0" w:type="dxa"/>
            <w:vAlign w:val="bottom"/>
          </w:tcPr>
          <w:p>
            <w:pPr>
              <w:spacing w:after="0"/>
              <w:rPr>
                <w:sz w:val="1"/>
                <w:szCs w:val="1"/>
                <w:color w:val="auto"/>
              </w:rPr>
            </w:pPr>
          </w:p>
        </w:tc>
      </w:tr>
      <w:tr>
        <w:trPr>
          <w:trHeight w:val="225"/>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Reclasses between loans HFS and HFI</w:t>
            </w:r>
          </w:p>
        </w:tc>
        <w:tc>
          <w:tcPr>
            <w:tcW w:w="3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(123,444)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25"/>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payments received</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Foreclosed real estate acquired</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0" w:type="dxa"/>
            <w:vAlign w:val="bottom"/>
          </w:tcPr>
          <w:p>
            <w:pPr>
              <w:spacing w:after="0"/>
              <w:rPr>
                <w:sz w:val="1"/>
                <w:szCs w:val="1"/>
                <w:color w:val="auto"/>
              </w:rPr>
            </w:pPr>
          </w:p>
        </w:tc>
      </w:tr>
      <w:tr>
        <w:trPr>
          <w:trHeight w:val="225"/>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SBA loans, funded</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ALP loans, funded</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125,575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loans, funded</w:t>
            </w:r>
          </w:p>
        </w:tc>
        <w:tc>
          <w:tcPr>
            <w:tcW w:w="3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50,806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and repurchases of loans</w:t>
            </w:r>
          </w:p>
        </w:tc>
        <w:tc>
          <w:tcPr>
            <w:tcW w:w="3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contributions/(distributions)</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due to:</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Changes in valuation inputs or assumptions</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25"/>
        </w:trPr>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factors</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June 30, 2024</w:t>
            </w:r>
          </w:p>
        </w:tc>
        <w:tc>
          <w:tcPr>
            <w:tcW w:w="300" w:type="dxa"/>
            <w:vAlign w:val="bottom"/>
            <w:tcBorders>
              <w:top w:val="single" w:sz="8" w:color="auto"/>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 w:lineRule="exact"/>
        <w:rPr>
          <w:sz w:val="20"/>
          <w:szCs w:val="20"/>
          <w:color w:val="auto"/>
        </w:rPr>
      </w:pPr>
    </w:p>
    <w:p>
      <w:pPr>
        <w:ind w:left="180" w:hanging="174"/>
        <w:spacing w:after="0"/>
        <w:tabs>
          <w:tab w:leader="none" w:pos="180"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in Accounts payable, accrued expenses, and other liabilities on the Consolidated Statements of Financial Condition.</w:t>
      </w:r>
    </w:p>
    <w:p>
      <w:pPr>
        <w:spacing w:after="0" w:line="2" w:lineRule="exact"/>
        <w:rPr>
          <w:rFonts w:ascii="Times New Roman" w:cs="Times New Roman" w:eastAsia="Times New Roman" w:hAnsi="Times New Roman"/>
          <w:sz w:val="23"/>
          <w:szCs w:val="23"/>
          <w:color w:val="auto"/>
          <w:vertAlign w:val="superscript"/>
        </w:rPr>
      </w:pP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8"/>
          <w:szCs w:val="18"/>
          <w:color w:val="auto"/>
        </w:rPr>
        <w:t xml:space="preserve">  Included in Other assets on the Consolidated Statements of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following tables provide a summary of quantitative information about the Company’s Level 3 fair value measurements as of June 30, 2025 and December 31, 2024. In addition to the inputs noted in the table below, according to our valuation policy we may also use other valuation techniques and methodologies when determining our fair value measurements. The tables below are not intended to be all-inclusive but rather provide information on the significant Level 3 inputs as they relate to the Company’s fair value measurements at June 30, 2025 and December 31, 2024.</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Fair Value as of</w:t>
            </w:r>
          </w:p>
        </w:tc>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60" w:type="dxa"/>
            <w:vAlign w:val="bottom"/>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3040" w:type="dxa"/>
            <w:vAlign w:val="bottom"/>
            <w:gridSpan w:val="2"/>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46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3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3040" w:type="dxa"/>
            <w:vAlign w:val="bottom"/>
            <w:gridSpan w:val="2"/>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6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9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211"/>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HFI, at FV - accrual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255,359</w:t>
            </w:r>
          </w:p>
        </w:tc>
        <w:tc>
          <w:tcPr>
            <w:tcW w:w="100" w:type="dxa"/>
            <w:vAlign w:val="bottom"/>
          </w:tcPr>
          <w:p>
            <w:pPr>
              <w:spacing w:after="0"/>
              <w:rPr>
                <w:sz w:val="19"/>
                <w:szCs w:val="19"/>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Market yields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6.55 %</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6.55 %</w:t>
            </w:r>
          </w:p>
        </w:tc>
        <w:tc>
          <w:tcPr>
            <w:tcW w:w="0" w:type="dxa"/>
            <w:vAlign w:val="bottom"/>
          </w:tcPr>
          <w:p>
            <w:pPr>
              <w:spacing w:after="0"/>
              <w:rPr>
                <w:sz w:val="1"/>
                <w:szCs w:val="1"/>
                <w:color w:val="auto"/>
              </w:rPr>
            </w:pPr>
          </w:p>
        </w:tc>
      </w:tr>
      <w:tr>
        <w:trPr>
          <w:trHeight w:val="225"/>
        </w:trPr>
        <w:tc>
          <w:tcPr>
            <w:tcW w:w="3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prepayment rate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22.50 %</w:t>
            </w:r>
          </w:p>
        </w:tc>
        <w:tc>
          <w:tcPr>
            <w:tcW w:w="0" w:type="dxa"/>
            <w:vAlign w:val="bottom"/>
          </w:tcPr>
          <w:p>
            <w:pPr>
              <w:spacing w:after="0"/>
              <w:rPr>
                <w:sz w:val="1"/>
                <w:szCs w:val="1"/>
                <w:color w:val="auto"/>
              </w:rPr>
            </w:pPr>
          </w:p>
        </w:tc>
      </w:tr>
      <w:tr>
        <w:trPr>
          <w:trHeight w:val="225"/>
        </w:trPr>
        <w:tc>
          <w:tcPr>
            <w:tcW w:w="3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Average cumulative default rate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21.00 %</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21.00 %</w:t>
            </w:r>
          </w:p>
        </w:tc>
        <w:tc>
          <w:tcPr>
            <w:tcW w:w="0" w:type="dxa"/>
            <w:vAlign w:val="bottom"/>
          </w:tcPr>
          <w:p>
            <w:pPr>
              <w:spacing w:after="0"/>
              <w:rPr>
                <w:sz w:val="1"/>
                <w:szCs w:val="1"/>
                <w:color w:val="auto"/>
              </w:rPr>
            </w:pPr>
          </w:p>
        </w:tc>
      </w:tr>
      <w:tr>
        <w:trPr>
          <w:trHeight w:val="225"/>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HFI, at FV - non-accrual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70,754</w:t>
            </w:r>
          </w:p>
        </w:tc>
        <w:tc>
          <w:tcPr>
            <w:tcW w:w="10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yields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7.42 %</w:t>
            </w:r>
          </w:p>
        </w:tc>
        <w:tc>
          <w:tcPr>
            <w:tcW w:w="0" w:type="dxa"/>
            <w:vAlign w:val="bottom"/>
          </w:tcPr>
          <w:p>
            <w:pPr>
              <w:spacing w:after="0"/>
              <w:rPr>
                <w:sz w:val="1"/>
                <w:szCs w:val="1"/>
                <w:color w:val="auto"/>
              </w:rPr>
            </w:pPr>
          </w:p>
        </w:tc>
      </w:tr>
      <w:tr>
        <w:trPr>
          <w:trHeight w:val="225"/>
        </w:trPr>
        <w:tc>
          <w:tcPr>
            <w:tcW w:w="3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Cumulative prepayment rate</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5"/>
        </w:trPr>
        <w:tc>
          <w:tcPr>
            <w:tcW w:w="3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cumulative default rate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0" w:type="dxa"/>
            <w:vAlign w:val="bottom"/>
          </w:tcPr>
          <w:p>
            <w:pPr>
              <w:spacing w:after="0"/>
              <w:rPr>
                <w:sz w:val="1"/>
                <w:szCs w:val="1"/>
                <w:color w:val="auto"/>
              </w:rPr>
            </w:pPr>
          </w:p>
        </w:tc>
      </w:tr>
      <w:tr>
        <w:trPr>
          <w:trHeight w:val="225"/>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HFS, at FV</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311,023</w:t>
            </w:r>
          </w:p>
        </w:tc>
        <w:tc>
          <w:tcPr>
            <w:tcW w:w="100" w:type="dxa"/>
            <w:vAlign w:val="bottom"/>
          </w:tcPr>
          <w:p>
            <w:pPr>
              <w:spacing w:after="0"/>
              <w:rPr>
                <w:sz w:val="19"/>
                <w:szCs w:val="19"/>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Market yields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6.94 %</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8.19 %</w:t>
            </w:r>
          </w:p>
        </w:tc>
        <w:tc>
          <w:tcPr>
            <w:tcW w:w="0" w:type="dxa"/>
            <w:vAlign w:val="bottom"/>
          </w:tcPr>
          <w:p>
            <w:pPr>
              <w:spacing w:after="0"/>
              <w:rPr>
                <w:sz w:val="1"/>
                <w:szCs w:val="1"/>
                <w:color w:val="auto"/>
              </w:rPr>
            </w:pPr>
          </w:p>
        </w:tc>
      </w:tr>
      <w:tr>
        <w:trPr>
          <w:trHeight w:val="225"/>
        </w:trPr>
        <w:tc>
          <w:tcPr>
            <w:tcW w:w="3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prepayment rate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55.56 %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65.00 %</w:t>
            </w:r>
          </w:p>
        </w:tc>
        <w:tc>
          <w:tcPr>
            <w:tcW w:w="0" w:type="dxa"/>
            <w:vAlign w:val="bottom"/>
          </w:tcPr>
          <w:p>
            <w:pPr>
              <w:spacing w:after="0"/>
              <w:rPr>
                <w:sz w:val="1"/>
                <w:szCs w:val="1"/>
                <w:color w:val="auto"/>
              </w:rPr>
            </w:pPr>
          </w:p>
        </w:tc>
      </w:tr>
      <w:tr>
        <w:trPr>
          <w:trHeight w:val="225"/>
        </w:trPr>
        <w:tc>
          <w:tcPr>
            <w:tcW w:w="3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Average cumulative default rate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8.71 %</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15.00 %</w:t>
            </w:r>
          </w:p>
        </w:tc>
        <w:tc>
          <w:tcPr>
            <w:tcW w:w="0" w:type="dxa"/>
            <w:vAlign w:val="bottom"/>
          </w:tcPr>
          <w:p>
            <w:pPr>
              <w:spacing w:after="0"/>
              <w:rPr>
                <w:sz w:val="1"/>
                <w:szCs w:val="1"/>
                <w:color w:val="auto"/>
              </w:rPr>
            </w:pPr>
          </w:p>
        </w:tc>
      </w:tr>
      <w:tr>
        <w:trPr>
          <w:trHeight w:val="172"/>
        </w:trPr>
        <w:tc>
          <w:tcPr>
            <w:tcW w:w="300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Joint ventures and other non-control</w:t>
            </w: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60,561</w:t>
            </w:r>
          </w:p>
        </w:tc>
        <w:tc>
          <w:tcPr>
            <w:tcW w:w="100" w:type="dxa"/>
            <w:vAlign w:val="bottom"/>
            <w:shd w:val="clear" w:color="auto" w:fill="CCEEFF"/>
          </w:tcPr>
          <w:p>
            <w:pPr>
              <w:spacing w:after="0"/>
              <w:rPr>
                <w:sz w:val="20"/>
                <w:szCs w:val="20"/>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yields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7.48 %</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7.58 %</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12.00 %</w:t>
            </w:r>
          </w:p>
        </w:tc>
        <w:tc>
          <w:tcPr>
            <w:tcW w:w="0" w:type="dxa"/>
            <w:vAlign w:val="bottom"/>
          </w:tcPr>
          <w:p>
            <w:pPr>
              <w:spacing w:after="0"/>
              <w:rPr>
                <w:sz w:val="1"/>
                <w:szCs w:val="1"/>
                <w:color w:val="auto"/>
              </w:rPr>
            </w:pPr>
          </w:p>
        </w:tc>
      </w:tr>
      <w:tr>
        <w:trPr>
          <w:trHeight w:val="225"/>
        </w:trPr>
        <w:tc>
          <w:tcPr>
            <w:tcW w:w="3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equity</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12.00 %</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16.00 %</w:t>
            </w:r>
          </w:p>
        </w:tc>
        <w:tc>
          <w:tcPr>
            <w:tcW w:w="0" w:type="dxa"/>
            <w:vAlign w:val="bottom"/>
          </w:tcPr>
          <w:p>
            <w:pPr>
              <w:spacing w:after="0"/>
              <w:rPr>
                <w:sz w:val="1"/>
                <w:szCs w:val="1"/>
                <w:color w:val="auto"/>
              </w:rPr>
            </w:pPr>
          </w:p>
        </w:tc>
      </w:tr>
      <w:tr>
        <w:trPr>
          <w:trHeight w:val="225"/>
        </w:trPr>
        <w:tc>
          <w:tcPr>
            <w:tcW w:w="3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cost of capital</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22.12 %</w:t>
            </w:r>
          </w:p>
        </w:tc>
        <w:tc>
          <w:tcPr>
            <w:tcW w:w="0" w:type="dxa"/>
            <w:vAlign w:val="bottom"/>
          </w:tcPr>
          <w:p>
            <w:pPr>
              <w:spacing w:after="0"/>
              <w:rPr>
                <w:sz w:val="1"/>
                <w:szCs w:val="1"/>
                <w:color w:val="auto"/>
              </w:rPr>
            </w:pPr>
          </w:p>
        </w:tc>
      </w:tr>
      <w:tr>
        <w:trPr>
          <w:trHeight w:val="225"/>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Residuals in Securitizations, at FV</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77,701</w:t>
            </w:r>
          </w:p>
        </w:tc>
        <w:tc>
          <w:tcPr>
            <w:tcW w:w="100" w:type="dxa"/>
            <w:vAlign w:val="bottom"/>
          </w:tcPr>
          <w:p>
            <w:pPr>
              <w:spacing w:after="0"/>
              <w:rPr>
                <w:sz w:val="19"/>
                <w:szCs w:val="19"/>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Market yields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7.69 %</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7.69 %</w:t>
            </w:r>
          </w:p>
        </w:tc>
        <w:tc>
          <w:tcPr>
            <w:tcW w:w="0" w:type="dxa"/>
            <w:vAlign w:val="bottom"/>
          </w:tcPr>
          <w:p>
            <w:pPr>
              <w:spacing w:after="0"/>
              <w:rPr>
                <w:sz w:val="1"/>
                <w:szCs w:val="1"/>
                <w:color w:val="auto"/>
              </w:rPr>
            </w:pPr>
          </w:p>
        </w:tc>
      </w:tr>
      <w:tr>
        <w:trPr>
          <w:trHeight w:val="225"/>
        </w:trPr>
        <w:tc>
          <w:tcPr>
            <w:tcW w:w="3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equity</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16.00 %</w:t>
            </w:r>
          </w:p>
        </w:tc>
        <w:tc>
          <w:tcPr>
            <w:tcW w:w="0" w:type="dxa"/>
            <w:vAlign w:val="bottom"/>
          </w:tcPr>
          <w:p>
            <w:pPr>
              <w:spacing w:after="0"/>
              <w:rPr>
                <w:sz w:val="1"/>
                <w:szCs w:val="1"/>
                <w:color w:val="auto"/>
              </w:rPr>
            </w:pPr>
          </w:p>
        </w:tc>
      </w:tr>
      <w:tr>
        <w:trPr>
          <w:trHeight w:val="225"/>
        </w:trPr>
        <w:tc>
          <w:tcPr>
            <w:tcW w:w="3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cost of capital</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11.00 %</w:t>
            </w:r>
          </w:p>
        </w:tc>
        <w:tc>
          <w:tcPr>
            <w:tcW w:w="0" w:type="dxa"/>
            <w:vAlign w:val="bottom"/>
          </w:tcPr>
          <w:p>
            <w:pPr>
              <w:spacing w:after="0"/>
              <w:rPr>
                <w:sz w:val="1"/>
                <w:szCs w:val="1"/>
                <w:color w:val="auto"/>
              </w:rPr>
            </w:pPr>
          </w:p>
        </w:tc>
      </w:tr>
      <w:tr>
        <w:trPr>
          <w:trHeight w:val="225"/>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assets, at FV</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18,384</w:t>
            </w:r>
          </w:p>
        </w:tc>
        <w:tc>
          <w:tcPr>
            <w:tcW w:w="10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yields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12.00 %</w:t>
            </w:r>
          </w:p>
        </w:tc>
        <w:tc>
          <w:tcPr>
            <w:tcW w:w="0" w:type="dxa"/>
            <w:vAlign w:val="bottom"/>
          </w:tcPr>
          <w:p>
            <w:pPr>
              <w:spacing w:after="0"/>
              <w:rPr>
                <w:sz w:val="1"/>
                <w:szCs w:val="1"/>
                <w:color w:val="auto"/>
              </w:rPr>
            </w:pPr>
          </w:p>
        </w:tc>
      </w:tr>
      <w:tr>
        <w:trPr>
          <w:trHeight w:val="225"/>
        </w:trPr>
        <w:tc>
          <w:tcPr>
            <w:tcW w:w="3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Cumulative prepayment rate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22.50 %</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22.50 %</w:t>
            </w:r>
          </w:p>
        </w:tc>
        <w:tc>
          <w:tcPr>
            <w:tcW w:w="0" w:type="dxa"/>
            <w:vAlign w:val="bottom"/>
          </w:tcPr>
          <w:p>
            <w:pPr>
              <w:spacing w:after="0"/>
              <w:rPr>
                <w:sz w:val="1"/>
                <w:szCs w:val="1"/>
                <w:color w:val="auto"/>
              </w:rPr>
            </w:pPr>
          </w:p>
        </w:tc>
      </w:tr>
      <w:tr>
        <w:trPr>
          <w:trHeight w:val="225"/>
        </w:trPr>
        <w:tc>
          <w:tcPr>
            <w:tcW w:w="3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cumulative default rate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21.00 %</w:t>
            </w:r>
          </w:p>
        </w:tc>
        <w:tc>
          <w:tcPr>
            <w:tcW w:w="0" w:type="dxa"/>
            <w:vAlign w:val="bottom"/>
          </w:tcPr>
          <w:p>
            <w:pPr>
              <w:spacing w:after="0"/>
              <w:rPr>
                <w:sz w:val="1"/>
                <w:szCs w:val="1"/>
                <w:color w:val="auto"/>
              </w:rPr>
            </w:pPr>
          </w:p>
        </w:tc>
      </w:tr>
      <w:tr>
        <w:trPr>
          <w:trHeight w:val="225"/>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real estate owned, at FV</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5,176</w:t>
            </w:r>
          </w:p>
        </w:tc>
        <w:tc>
          <w:tcPr>
            <w:tcW w:w="100" w:type="dxa"/>
            <w:vAlign w:val="bottom"/>
          </w:tcPr>
          <w:p>
            <w:pPr>
              <w:spacing w:after="0"/>
              <w:rPr>
                <w:sz w:val="19"/>
                <w:szCs w:val="19"/>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Appraised value</w:t>
            </w:r>
          </w:p>
        </w:tc>
        <w:tc>
          <w:tcPr>
            <w:tcW w:w="11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5"/>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warrants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40.00 %</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40.00 %</w:t>
            </w:r>
          </w:p>
        </w:tc>
        <w:tc>
          <w:tcPr>
            <w:tcW w:w="0" w:type="dxa"/>
            <w:vAlign w:val="bottom"/>
          </w:tcPr>
          <w:p>
            <w:pPr>
              <w:spacing w:after="0"/>
              <w:rPr>
                <w:sz w:val="1"/>
                <w:szCs w:val="1"/>
                <w:color w:val="auto"/>
              </w:rPr>
            </w:pPr>
          </w:p>
        </w:tc>
      </w:tr>
      <w:tr>
        <w:trPr>
          <w:trHeight w:val="225"/>
        </w:trPr>
        <w:tc>
          <w:tcPr>
            <w:tcW w:w="3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6.70 %</w:t>
            </w:r>
          </w:p>
        </w:tc>
        <w:tc>
          <w:tcPr>
            <w:tcW w:w="0" w:type="dxa"/>
            <w:vAlign w:val="bottom"/>
          </w:tcPr>
          <w:p>
            <w:pPr>
              <w:spacing w:after="0"/>
              <w:rPr>
                <w:sz w:val="1"/>
                <w:szCs w:val="1"/>
                <w:color w:val="auto"/>
              </w:rPr>
            </w:pPr>
          </w:p>
        </w:tc>
      </w:tr>
      <w:tr>
        <w:trPr>
          <w:trHeight w:val="229"/>
        </w:trPr>
        <w:tc>
          <w:tcPr>
            <w:tcW w:w="3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 free rate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4.03 %</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Fair Value as of</w:t>
            </w:r>
          </w:p>
        </w:tc>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480" w:type="dxa"/>
            <w:vAlign w:val="bottom"/>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040" w:type="dxa"/>
            <w:vAlign w:val="bottom"/>
            <w:gridSpan w:val="2"/>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48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3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3040" w:type="dxa"/>
            <w:vAlign w:val="bottom"/>
            <w:gridSpan w:val="2"/>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8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211"/>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HFI, at FV - accrual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302,442</w:t>
            </w:r>
          </w:p>
        </w:tc>
        <w:tc>
          <w:tcPr>
            <w:tcW w:w="100" w:type="dxa"/>
            <w:vAlign w:val="bottom"/>
          </w:tcPr>
          <w:p>
            <w:pPr>
              <w:spacing w:after="0"/>
              <w:rPr>
                <w:sz w:val="19"/>
                <w:szCs w:val="19"/>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Market yields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6.55 %</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6.55 %</w:t>
            </w:r>
          </w:p>
        </w:tc>
        <w:tc>
          <w:tcPr>
            <w:tcW w:w="0" w:type="dxa"/>
            <w:vAlign w:val="bottom"/>
          </w:tcPr>
          <w:p>
            <w:pPr>
              <w:spacing w:after="0"/>
              <w:rPr>
                <w:sz w:val="1"/>
                <w:szCs w:val="1"/>
                <w:color w:val="auto"/>
              </w:rPr>
            </w:pPr>
          </w:p>
        </w:tc>
      </w:tr>
      <w:tr>
        <w:trPr>
          <w:trHeight w:val="225"/>
        </w:trPr>
        <w:tc>
          <w:tcPr>
            <w:tcW w:w="3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prepayment rate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22.50 %</w:t>
            </w:r>
          </w:p>
        </w:tc>
        <w:tc>
          <w:tcPr>
            <w:tcW w:w="0" w:type="dxa"/>
            <w:vAlign w:val="bottom"/>
          </w:tcPr>
          <w:p>
            <w:pPr>
              <w:spacing w:after="0"/>
              <w:rPr>
                <w:sz w:val="1"/>
                <w:szCs w:val="1"/>
                <w:color w:val="auto"/>
              </w:rPr>
            </w:pPr>
          </w:p>
        </w:tc>
      </w:tr>
      <w:tr>
        <w:trPr>
          <w:trHeight w:val="225"/>
        </w:trPr>
        <w:tc>
          <w:tcPr>
            <w:tcW w:w="3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Average cumulative default rate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21.00 %</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21.00 %</w:t>
            </w:r>
          </w:p>
        </w:tc>
        <w:tc>
          <w:tcPr>
            <w:tcW w:w="0" w:type="dxa"/>
            <w:vAlign w:val="bottom"/>
          </w:tcPr>
          <w:p>
            <w:pPr>
              <w:spacing w:after="0"/>
              <w:rPr>
                <w:sz w:val="1"/>
                <w:szCs w:val="1"/>
                <w:color w:val="auto"/>
              </w:rPr>
            </w:pPr>
          </w:p>
        </w:tc>
      </w:tr>
      <w:tr>
        <w:trPr>
          <w:trHeight w:val="225"/>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HFI, at FV - non-accrual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67,304</w:t>
            </w:r>
          </w:p>
        </w:tc>
        <w:tc>
          <w:tcPr>
            <w:tcW w:w="10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yields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7.30 %</w:t>
            </w:r>
          </w:p>
        </w:tc>
        <w:tc>
          <w:tcPr>
            <w:tcW w:w="0" w:type="dxa"/>
            <w:vAlign w:val="bottom"/>
          </w:tcPr>
          <w:p>
            <w:pPr>
              <w:spacing w:after="0"/>
              <w:rPr>
                <w:sz w:val="1"/>
                <w:szCs w:val="1"/>
                <w:color w:val="auto"/>
              </w:rPr>
            </w:pPr>
          </w:p>
        </w:tc>
      </w:tr>
      <w:tr>
        <w:trPr>
          <w:trHeight w:val="225"/>
        </w:trPr>
        <w:tc>
          <w:tcPr>
            <w:tcW w:w="3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Cumulative prepayment rate</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5"/>
        </w:trPr>
        <w:tc>
          <w:tcPr>
            <w:tcW w:w="3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cumulative default rate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0" w:type="dxa"/>
            <w:vAlign w:val="bottom"/>
          </w:tcPr>
          <w:p>
            <w:pPr>
              <w:spacing w:after="0"/>
              <w:rPr>
                <w:sz w:val="1"/>
                <w:szCs w:val="1"/>
                <w:color w:val="auto"/>
              </w:rPr>
            </w:pPr>
          </w:p>
        </w:tc>
      </w:tr>
      <w:tr>
        <w:trPr>
          <w:trHeight w:val="225"/>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HFS, at FV</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372,286</w:t>
            </w:r>
          </w:p>
        </w:tc>
        <w:tc>
          <w:tcPr>
            <w:tcW w:w="100" w:type="dxa"/>
            <w:vAlign w:val="bottom"/>
          </w:tcPr>
          <w:p>
            <w:pPr>
              <w:spacing w:after="0"/>
              <w:rPr>
                <w:sz w:val="19"/>
                <w:szCs w:val="19"/>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Market yields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7.62 %</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8.18 %</w:t>
            </w:r>
          </w:p>
        </w:tc>
        <w:tc>
          <w:tcPr>
            <w:tcW w:w="0" w:type="dxa"/>
            <w:vAlign w:val="bottom"/>
          </w:tcPr>
          <w:p>
            <w:pPr>
              <w:spacing w:after="0"/>
              <w:rPr>
                <w:sz w:val="1"/>
                <w:szCs w:val="1"/>
                <w:color w:val="auto"/>
              </w:rPr>
            </w:pPr>
          </w:p>
        </w:tc>
      </w:tr>
      <w:tr>
        <w:trPr>
          <w:trHeight w:val="225"/>
        </w:trPr>
        <w:tc>
          <w:tcPr>
            <w:tcW w:w="3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prepayment rate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59.78 %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70.00 %</w:t>
            </w:r>
          </w:p>
        </w:tc>
        <w:tc>
          <w:tcPr>
            <w:tcW w:w="0" w:type="dxa"/>
            <w:vAlign w:val="bottom"/>
          </w:tcPr>
          <w:p>
            <w:pPr>
              <w:spacing w:after="0"/>
              <w:rPr>
                <w:sz w:val="1"/>
                <w:szCs w:val="1"/>
                <w:color w:val="auto"/>
              </w:rPr>
            </w:pPr>
          </w:p>
        </w:tc>
      </w:tr>
      <w:tr>
        <w:trPr>
          <w:trHeight w:val="225"/>
        </w:trPr>
        <w:tc>
          <w:tcPr>
            <w:tcW w:w="3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Average cumulative default rate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9.89 %</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15.00 %</w:t>
            </w:r>
          </w:p>
        </w:tc>
        <w:tc>
          <w:tcPr>
            <w:tcW w:w="0" w:type="dxa"/>
            <w:vAlign w:val="bottom"/>
          </w:tcPr>
          <w:p>
            <w:pPr>
              <w:spacing w:after="0"/>
              <w:rPr>
                <w:sz w:val="1"/>
                <w:szCs w:val="1"/>
                <w:color w:val="auto"/>
              </w:rPr>
            </w:pPr>
          </w:p>
        </w:tc>
      </w:tr>
      <w:tr>
        <w:trPr>
          <w:trHeight w:val="172"/>
        </w:trPr>
        <w:tc>
          <w:tcPr>
            <w:tcW w:w="300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Joint ventures and other non-control</w:t>
            </w: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57,678</w:t>
            </w:r>
          </w:p>
        </w:tc>
        <w:tc>
          <w:tcPr>
            <w:tcW w:w="100" w:type="dxa"/>
            <w:vAlign w:val="bottom"/>
            <w:shd w:val="clear" w:color="auto" w:fill="CCEEFF"/>
          </w:tcPr>
          <w:p>
            <w:pPr>
              <w:spacing w:after="0"/>
              <w:rPr>
                <w:sz w:val="20"/>
                <w:szCs w:val="20"/>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yields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8.40 %</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12.00 %</w:t>
            </w:r>
          </w:p>
        </w:tc>
        <w:tc>
          <w:tcPr>
            <w:tcW w:w="0" w:type="dxa"/>
            <w:vAlign w:val="bottom"/>
          </w:tcPr>
          <w:p>
            <w:pPr>
              <w:spacing w:after="0"/>
              <w:rPr>
                <w:sz w:val="1"/>
                <w:szCs w:val="1"/>
                <w:color w:val="auto"/>
              </w:rPr>
            </w:pPr>
          </w:p>
        </w:tc>
      </w:tr>
      <w:tr>
        <w:trPr>
          <w:trHeight w:val="225"/>
        </w:trPr>
        <w:tc>
          <w:tcPr>
            <w:tcW w:w="3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equity</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11.00 %</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14.00 %</w:t>
            </w:r>
          </w:p>
        </w:tc>
        <w:tc>
          <w:tcPr>
            <w:tcW w:w="0" w:type="dxa"/>
            <w:vAlign w:val="bottom"/>
          </w:tcPr>
          <w:p>
            <w:pPr>
              <w:spacing w:after="0"/>
              <w:rPr>
                <w:sz w:val="1"/>
                <w:szCs w:val="1"/>
                <w:color w:val="auto"/>
              </w:rPr>
            </w:pPr>
          </w:p>
        </w:tc>
      </w:tr>
      <w:tr>
        <w:trPr>
          <w:trHeight w:val="225"/>
        </w:trPr>
        <w:tc>
          <w:tcPr>
            <w:tcW w:w="3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cost of capital</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23.98 %</w:t>
            </w:r>
          </w:p>
        </w:tc>
        <w:tc>
          <w:tcPr>
            <w:tcW w:w="0" w:type="dxa"/>
            <w:vAlign w:val="bottom"/>
          </w:tcPr>
          <w:p>
            <w:pPr>
              <w:spacing w:after="0"/>
              <w:rPr>
                <w:sz w:val="1"/>
                <w:szCs w:val="1"/>
                <w:color w:val="auto"/>
              </w:rPr>
            </w:pPr>
          </w:p>
        </w:tc>
      </w:tr>
      <w:tr>
        <w:trPr>
          <w:trHeight w:val="225"/>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Servicing assets, at FV</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22,062</w:t>
            </w:r>
          </w:p>
        </w:tc>
        <w:tc>
          <w:tcPr>
            <w:tcW w:w="100" w:type="dxa"/>
            <w:vAlign w:val="bottom"/>
          </w:tcPr>
          <w:p>
            <w:pPr>
              <w:spacing w:after="0"/>
              <w:rPr>
                <w:sz w:val="19"/>
                <w:szCs w:val="19"/>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Market yields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12.00 %</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12.00 %</w:t>
            </w:r>
          </w:p>
        </w:tc>
        <w:tc>
          <w:tcPr>
            <w:tcW w:w="0" w:type="dxa"/>
            <w:vAlign w:val="bottom"/>
          </w:tcPr>
          <w:p>
            <w:pPr>
              <w:spacing w:after="0"/>
              <w:rPr>
                <w:sz w:val="1"/>
                <w:szCs w:val="1"/>
                <w:color w:val="auto"/>
              </w:rPr>
            </w:pPr>
          </w:p>
        </w:tc>
      </w:tr>
      <w:tr>
        <w:trPr>
          <w:trHeight w:val="225"/>
        </w:trPr>
        <w:tc>
          <w:tcPr>
            <w:tcW w:w="3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prepayment rate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22.50 %</w:t>
            </w:r>
          </w:p>
        </w:tc>
        <w:tc>
          <w:tcPr>
            <w:tcW w:w="0" w:type="dxa"/>
            <w:vAlign w:val="bottom"/>
          </w:tcPr>
          <w:p>
            <w:pPr>
              <w:spacing w:after="0"/>
              <w:rPr>
                <w:sz w:val="1"/>
                <w:szCs w:val="1"/>
                <w:color w:val="auto"/>
              </w:rPr>
            </w:pPr>
          </w:p>
        </w:tc>
      </w:tr>
      <w:tr>
        <w:trPr>
          <w:trHeight w:val="225"/>
        </w:trPr>
        <w:tc>
          <w:tcPr>
            <w:tcW w:w="3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Average cumulative default rate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21.00 %</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21.00 %</w:t>
            </w:r>
          </w:p>
        </w:tc>
        <w:tc>
          <w:tcPr>
            <w:tcW w:w="0" w:type="dxa"/>
            <w:vAlign w:val="bottom"/>
          </w:tcPr>
          <w:p>
            <w:pPr>
              <w:spacing w:after="0"/>
              <w:rPr>
                <w:sz w:val="1"/>
                <w:szCs w:val="1"/>
                <w:color w:val="auto"/>
              </w:rPr>
            </w:pPr>
          </w:p>
        </w:tc>
      </w:tr>
      <w:tr>
        <w:trPr>
          <w:trHeight w:val="225"/>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held for sale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21,308</w:t>
            </w:r>
          </w:p>
        </w:tc>
        <w:tc>
          <w:tcPr>
            <w:tcW w:w="10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factor</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90.70 %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89.50 %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93.20 %</w:t>
            </w:r>
          </w:p>
        </w:tc>
        <w:tc>
          <w:tcPr>
            <w:tcW w:w="0" w:type="dxa"/>
            <w:vAlign w:val="bottom"/>
          </w:tcPr>
          <w:p>
            <w:pPr>
              <w:spacing w:after="0"/>
              <w:rPr>
                <w:sz w:val="1"/>
                <w:szCs w:val="1"/>
                <w:color w:val="auto"/>
              </w:rPr>
            </w:pPr>
          </w:p>
        </w:tc>
      </w:tr>
      <w:tr>
        <w:trPr>
          <w:trHeight w:val="225"/>
        </w:trPr>
        <w:tc>
          <w:tcPr>
            <w:tcW w:w="3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10.23 %</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11.71 %</w:t>
            </w:r>
          </w:p>
        </w:tc>
        <w:tc>
          <w:tcPr>
            <w:tcW w:w="0" w:type="dxa"/>
            <w:vAlign w:val="bottom"/>
          </w:tcPr>
          <w:p>
            <w:pPr>
              <w:spacing w:after="0"/>
              <w:rPr>
                <w:sz w:val="1"/>
                <w:szCs w:val="1"/>
                <w:color w:val="auto"/>
              </w:rPr>
            </w:pPr>
          </w:p>
        </w:tc>
      </w:tr>
      <w:tr>
        <w:trPr>
          <w:trHeight w:val="225"/>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real estate owned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10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Appraised value</w:t>
            </w:r>
          </w:p>
        </w:tc>
        <w:tc>
          <w:tcPr>
            <w:tcW w:w="11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5"/>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warrants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48.00 %</w:t>
            </w:r>
          </w:p>
        </w:tc>
        <w:tc>
          <w:tcPr>
            <w:tcW w:w="0" w:type="dxa"/>
            <w:vAlign w:val="bottom"/>
          </w:tcPr>
          <w:p>
            <w:pPr>
              <w:spacing w:after="0"/>
              <w:rPr>
                <w:sz w:val="1"/>
                <w:szCs w:val="1"/>
                <w:color w:val="auto"/>
              </w:rPr>
            </w:pPr>
          </w:p>
        </w:tc>
      </w:tr>
      <w:tr>
        <w:trPr>
          <w:trHeight w:val="225"/>
        </w:trPr>
        <w:tc>
          <w:tcPr>
            <w:tcW w:w="3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0" w:type="dxa"/>
            <w:vAlign w:val="bottom"/>
          </w:tcPr>
          <w:p>
            <w:pPr>
              <w:spacing w:after="0"/>
              <w:rPr>
                <w:sz w:val="1"/>
                <w:szCs w:val="1"/>
                <w:color w:val="auto"/>
              </w:rPr>
            </w:pPr>
          </w:p>
        </w:tc>
      </w:tr>
      <w:tr>
        <w:trPr>
          <w:trHeight w:val="225"/>
        </w:trPr>
        <w:tc>
          <w:tcPr>
            <w:tcW w:w="3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free rate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Estimated Fair Value of Other Financial Instruments</w:t>
      </w:r>
    </w:p>
    <w:p>
      <w:pPr>
        <w:spacing w:after="0" w:line="246" w:lineRule="exact"/>
        <w:rPr>
          <w:sz w:val="20"/>
          <w:szCs w:val="20"/>
          <w:color w:val="auto"/>
        </w:rPr>
      </w:pPr>
    </w:p>
    <w:p>
      <w:pPr>
        <w:jc w:val="both"/>
        <w:ind w:right="220"/>
        <w:spacing w:after="0" w:line="258" w:lineRule="auto"/>
        <w:rPr>
          <w:sz w:val="20"/>
          <w:szCs w:val="20"/>
          <w:color w:val="auto"/>
        </w:rPr>
      </w:pPr>
      <w:r>
        <w:rPr>
          <w:rFonts w:ascii="Times New Roman" w:cs="Times New Roman" w:eastAsia="Times New Roman" w:hAnsi="Times New Roman"/>
          <w:sz w:val="18"/>
          <w:szCs w:val="18"/>
          <w:color w:val="auto"/>
        </w:rPr>
        <w:t>GAAP also requires disclosure of the fair value of financial instruments carried at book value on the Consolidated Statements of Financial Condition. The carrying amounts and estimated fair values of the Company’s financial instruments not measured at fair value on a recurring or non-recurring basis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7"/>
              </w:rPr>
              <w:t>June 30, 2025</w:t>
            </w:r>
          </w:p>
        </w:tc>
        <w:tc>
          <w:tcPr>
            <w:tcW w:w="1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6"/>
          </w:tcPr>
          <w:p>
            <w:pPr>
              <w:jc w:val="center"/>
              <w:ind w:left="792"/>
              <w:spacing w:after="0"/>
              <w:rPr>
                <w:sz w:val="20"/>
                <w:szCs w:val="20"/>
                <w:color w:val="auto"/>
              </w:rPr>
            </w:pPr>
            <w:r>
              <w:rPr>
                <w:rFonts w:ascii="Times New Roman" w:cs="Times New Roman" w:eastAsia="Times New Roman" w:hAnsi="Times New Roman"/>
                <w:sz w:val="18"/>
                <w:szCs w:val="18"/>
                <w:color w:val="auto"/>
                <w:w w:val="96"/>
              </w:rPr>
              <w:t>Fair Value Amount by Level:</w:t>
            </w:r>
          </w:p>
        </w:tc>
        <w:tc>
          <w:tcPr>
            <w:tcW w:w="11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20" w:type="dxa"/>
            <w:vAlign w:val="bottom"/>
          </w:tcPr>
          <w:p>
            <w:pPr>
              <w:spacing w:after="0"/>
              <w:rPr>
                <w:sz w:val="20"/>
                <w:szCs w:val="20"/>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Carrying Amount</w:t>
            </w:r>
          </w:p>
        </w:tc>
        <w:tc>
          <w:tcPr>
            <w:tcW w:w="280" w:type="dxa"/>
            <w:vAlign w:val="bottom"/>
          </w:tcPr>
          <w:p>
            <w:pPr>
              <w:spacing w:after="0"/>
              <w:rPr>
                <w:sz w:val="20"/>
                <w:szCs w:val="20"/>
                <w:color w:val="auto"/>
              </w:rPr>
            </w:pP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Level 1</w:t>
            </w:r>
          </w:p>
        </w:tc>
        <w:tc>
          <w:tcPr>
            <w:tcW w:w="160" w:type="dxa"/>
            <w:vAlign w:val="bottom"/>
          </w:tcPr>
          <w:p>
            <w:pPr>
              <w:spacing w:after="0"/>
              <w:rPr>
                <w:sz w:val="20"/>
                <w:szCs w:val="20"/>
                <w:color w:val="auto"/>
              </w:rPr>
            </w:pPr>
          </w:p>
        </w:tc>
        <w:tc>
          <w:tcPr>
            <w:tcW w:w="176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9"/>
              </w:rPr>
              <w:t>Level 2</w:t>
            </w:r>
          </w:p>
        </w:tc>
        <w:tc>
          <w:tcPr>
            <w:tcW w:w="14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Level 3</w:t>
            </w:r>
          </w:p>
        </w:tc>
        <w:tc>
          <w:tcPr>
            <w:tcW w:w="13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95"/>
              </w:rPr>
              <w:t>Total Fair Value</w:t>
            </w:r>
          </w:p>
        </w:tc>
        <w:tc>
          <w:tcPr>
            <w:tcW w:w="0" w:type="dxa"/>
            <w:vAlign w:val="bottom"/>
          </w:tcPr>
          <w:p>
            <w:pPr>
              <w:spacing w:after="0"/>
              <w:rPr>
                <w:sz w:val="1"/>
                <w:szCs w:val="1"/>
                <w:color w:val="auto"/>
              </w:rPr>
            </w:pPr>
          </w:p>
        </w:tc>
      </w:tr>
      <w:tr>
        <w:trPr>
          <w:trHeight w:val="205"/>
        </w:trPr>
        <w:tc>
          <w:tcPr>
            <w:tcW w:w="3240" w:type="dxa"/>
            <w:vAlign w:val="bottom"/>
            <w:vMerge w:val="continue"/>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due from banks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3"/>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10,124</w:t>
            </w:r>
          </w:p>
        </w:tc>
        <w:tc>
          <w:tcPr>
            <w:tcW w:w="0" w:type="dxa"/>
            <w:vAlign w:val="bottom"/>
          </w:tcPr>
          <w:p>
            <w:pPr>
              <w:spacing w:after="0"/>
              <w:rPr>
                <w:sz w:val="1"/>
                <w:szCs w:val="1"/>
                <w:color w:val="auto"/>
              </w:rPr>
            </w:pPr>
          </w:p>
        </w:tc>
      </w:tr>
      <w:tr>
        <w:trPr>
          <w:trHeight w:val="225"/>
        </w:trPr>
        <w:tc>
          <w:tcPr>
            <w:tcW w:w="3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23,152</w:t>
            </w:r>
          </w:p>
        </w:tc>
        <w:tc>
          <w:tcPr>
            <w:tcW w:w="0" w:type="dxa"/>
            <w:vAlign w:val="bottom"/>
          </w:tcPr>
          <w:p>
            <w:pPr>
              <w:spacing w:after="0"/>
              <w:rPr>
                <w:sz w:val="1"/>
                <w:szCs w:val="1"/>
                <w:color w:val="auto"/>
              </w:rPr>
            </w:pPr>
          </w:p>
        </w:tc>
      </w:tr>
      <w:tr>
        <w:trPr>
          <w:trHeight w:val="22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bearing deposits in banks</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180,013</w:t>
            </w:r>
          </w:p>
        </w:tc>
        <w:tc>
          <w:tcPr>
            <w:tcW w:w="0" w:type="dxa"/>
            <w:vAlign w:val="bottom"/>
          </w:tcPr>
          <w:p>
            <w:pPr>
              <w:spacing w:after="0"/>
              <w:rPr>
                <w:sz w:val="1"/>
                <w:szCs w:val="1"/>
                <w:color w:val="auto"/>
              </w:rPr>
            </w:pPr>
          </w:p>
        </w:tc>
      </w:tr>
      <w:tr>
        <w:trPr>
          <w:trHeight w:val="225"/>
        </w:trPr>
        <w:tc>
          <w:tcPr>
            <w:tcW w:w="3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Debt securities available-for-sale, at FV</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14,245</w:t>
            </w:r>
          </w:p>
        </w:tc>
        <w:tc>
          <w:tcPr>
            <w:tcW w:w="0" w:type="dxa"/>
            <w:vAlign w:val="bottom"/>
          </w:tcPr>
          <w:p>
            <w:pPr>
              <w:spacing w:after="0"/>
              <w:rPr>
                <w:sz w:val="1"/>
                <w:szCs w:val="1"/>
                <w:color w:val="auto"/>
              </w:rPr>
            </w:pPr>
          </w:p>
        </w:tc>
      </w:tr>
      <w:tr>
        <w:trPr>
          <w:trHeight w:val="22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Loans HFS, at FV</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514,609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203,586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311,023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514,609</w:t>
            </w:r>
          </w:p>
        </w:tc>
        <w:tc>
          <w:tcPr>
            <w:tcW w:w="0" w:type="dxa"/>
            <w:vAlign w:val="bottom"/>
          </w:tcPr>
          <w:p>
            <w:pPr>
              <w:spacing w:after="0"/>
              <w:rPr>
                <w:sz w:val="1"/>
                <w:szCs w:val="1"/>
                <w:color w:val="auto"/>
              </w:rPr>
            </w:pPr>
          </w:p>
        </w:tc>
      </w:tr>
      <w:tr>
        <w:trPr>
          <w:trHeight w:val="225"/>
        </w:trPr>
        <w:tc>
          <w:tcPr>
            <w:tcW w:w="3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Loans HFS, at LCM</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7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32,291</w:t>
            </w:r>
          </w:p>
        </w:tc>
        <w:tc>
          <w:tcPr>
            <w:tcW w:w="0" w:type="dxa"/>
            <w:vAlign w:val="bottom"/>
          </w:tcPr>
          <w:p>
            <w:pPr>
              <w:spacing w:after="0"/>
              <w:rPr>
                <w:sz w:val="1"/>
                <w:szCs w:val="1"/>
                <w:color w:val="auto"/>
              </w:rPr>
            </w:pPr>
          </w:p>
        </w:tc>
      </w:tr>
      <w:tr>
        <w:trPr>
          <w:trHeight w:val="22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Loans HFI, at FV</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326,113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326,113</w:t>
            </w:r>
          </w:p>
        </w:tc>
        <w:tc>
          <w:tcPr>
            <w:tcW w:w="0" w:type="dxa"/>
            <w:vAlign w:val="bottom"/>
          </w:tcPr>
          <w:p>
            <w:pPr>
              <w:spacing w:after="0"/>
              <w:rPr>
                <w:sz w:val="1"/>
                <w:szCs w:val="1"/>
                <w:color w:val="auto"/>
              </w:rPr>
            </w:pPr>
          </w:p>
        </w:tc>
      </w:tr>
      <w:tr>
        <w:trPr>
          <w:trHeight w:val="172"/>
        </w:trPr>
        <w:tc>
          <w:tcPr>
            <w:tcW w:w="3240" w:type="dxa"/>
            <w:vAlign w:val="bottom"/>
          </w:tcPr>
          <w:p>
            <w:pPr>
              <w:ind w:left="120"/>
              <w:spacing w:after="0" w:line="172" w:lineRule="exact"/>
              <w:rPr>
                <w:sz w:val="20"/>
                <w:szCs w:val="20"/>
                <w:color w:val="auto"/>
              </w:rPr>
            </w:pPr>
            <w:r>
              <w:rPr>
                <w:rFonts w:ascii="Times New Roman" w:cs="Times New Roman" w:eastAsia="Times New Roman" w:hAnsi="Times New Roman"/>
                <w:sz w:val="18"/>
                <w:szCs w:val="18"/>
                <w:color w:val="auto"/>
              </w:rPr>
              <w:t>Loans HFI, at amortized cost, net of</w:t>
            </w: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fees and costs</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767,827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7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772,273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772,273</w:t>
            </w:r>
          </w:p>
        </w:tc>
        <w:tc>
          <w:tcPr>
            <w:tcW w:w="0" w:type="dxa"/>
            <w:vAlign w:val="bottom"/>
          </w:tcPr>
          <w:p>
            <w:pPr>
              <w:spacing w:after="0"/>
              <w:rPr>
                <w:sz w:val="1"/>
                <w:szCs w:val="1"/>
                <w:color w:val="auto"/>
              </w:rPr>
            </w:pPr>
          </w:p>
        </w:tc>
      </w:tr>
      <w:tr>
        <w:trPr>
          <w:trHeight w:val="172"/>
        </w:trPr>
        <w:tc>
          <w:tcPr>
            <w:tcW w:w="3240" w:type="dxa"/>
            <w:vAlign w:val="bottom"/>
            <w:shd w:val="clear" w:color="auto" w:fill="CCEEFF"/>
          </w:tcPr>
          <w:p>
            <w:pPr>
              <w:ind w:left="120"/>
              <w:spacing w:after="0" w:line="172" w:lineRule="exact"/>
              <w:rPr>
                <w:sz w:val="20"/>
                <w:szCs w:val="20"/>
                <w:color w:val="auto"/>
              </w:rPr>
            </w:pPr>
            <w:r>
              <w:rPr>
                <w:rFonts w:ascii="Times New Roman" w:cs="Times New Roman" w:eastAsia="Times New Roman" w:hAnsi="Times New Roman"/>
                <w:sz w:val="18"/>
                <w:szCs w:val="18"/>
                <w:color w:val="auto"/>
              </w:rPr>
              <w:t>Federal Home Loan Bank and Federal</w:t>
            </w: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Reserve Bank stock</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w:t>
            </w:r>
          </w:p>
        </w:tc>
        <w:tc>
          <w:tcPr>
            <w:tcW w:w="0" w:type="dxa"/>
            <w:vAlign w:val="bottom"/>
          </w:tcPr>
          <w:p>
            <w:pPr>
              <w:spacing w:after="0"/>
              <w:rPr>
                <w:sz w:val="1"/>
                <w:szCs w:val="1"/>
                <w:color w:val="auto"/>
              </w:rPr>
            </w:pPr>
          </w:p>
        </w:tc>
      </w:tr>
      <w:tr>
        <w:trPr>
          <w:trHeight w:val="172"/>
        </w:trPr>
        <w:tc>
          <w:tcPr>
            <w:tcW w:w="3240" w:type="dxa"/>
            <w:vAlign w:val="bottom"/>
          </w:tcPr>
          <w:p>
            <w:pPr>
              <w:ind w:left="120"/>
              <w:spacing w:after="0" w:line="172" w:lineRule="exact"/>
              <w:rPr>
                <w:sz w:val="20"/>
                <w:szCs w:val="20"/>
                <w:color w:val="auto"/>
              </w:rPr>
            </w:pPr>
            <w:r>
              <w:rPr>
                <w:rFonts w:ascii="Times New Roman" w:cs="Times New Roman" w:eastAsia="Times New Roman" w:hAnsi="Times New Roman"/>
                <w:sz w:val="18"/>
                <w:szCs w:val="18"/>
                <w:color w:val="auto"/>
              </w:rPr>
              <w:t>Joint ventures and other non-control</w:t>
            </w: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investments, at FV</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68,121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60,561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68,121</w:t>
            </w:r>
          </w:p>
        </w:tc>
        <w:tc>
          <w:tcPr>
            <w:tcW w:w="0" w:type="dxa"/>
            <w:vAlign w:val="bottom"/>
          </w:tcPr>
          <w:p>
            <w:pPr>
              <w:spacing w:after="0"/>
              <w:rPr>
                <w:sz w:val="1"/>
                <w:szCs w:val="1"/>
                <w:color w:val="auto"/>
              </w:rPr>
            </w:pPr>
          </w:p>
        </w:tc>
      </w:tr>
      <w:tr>
        <w:trPr>
          <w:trHeight w:val="22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Residuals in securitizations, at FV</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77,701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77,701</w:t>
            </w:r>
          </w:p>
        </w:tc>
        <w:tc>
          <w:tcPr>
            <w:tcW w:w="0" w:type="dxa"/>
            <w:vAlign w:val="bottom"/>
          </w:tcPr>
          <w:p>
            <w:pPr>
              <w:spacing w:after="0"/>
              <w:rPr>
                <w:sz w:val="1"/>
                <w:szCs w:val="1"/>
                <w:color w:val="auto"/>
              </w:rPr>
            </w:pPr>
          </w:p>
        </w:tc>
      </w:tr>
      <w:tr>
        <w:trPr>
          <w:trHeight w:val="225"/>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Time deposits</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437,148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438,121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438,121</w:t>
            </w:r>
          </w:p>
        </w:tc>
        <w:tc>
          <w:tcPr>
            <w:tcW w:w="0" w:type="dxa"/>
            <w:vAlign w:val="bottom"/>
          </w:tcPr>
          <w:p>
            <w:pPr>
              <w:spacing w:after="0"/>
              <w:rPr>
                <w:sz w:val="1"/>
                <w:szCs w:val="1"/>
                <w:color w:val="auto"/>
              </w:rPr>
            </w:pPr>
          </w:p>
        </w:tc>
      </w:tr>
      <w:tr>
        <w:trPr>
          <w:trHeight w:val="225"/>
        </w:trPr>
        <w:tc>
          <w:tcPr>
            <w:tcW w:w="3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Borrowings</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657,327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299,944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360,430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660,374</w:t>
            </w:r>
          </w:p>
        </w:tc>
        <w:tc>
          <w:tcPr>
            <w:tcW w:w="0" w:type="dxa"/>
            <w:vAlign w:val="bottom"/>
          </w:tcPr>
          <w:p>
            <w:pPr>
              <w:spacing w:after="0"/>
              <w:rPr>
                <w:sz w:val="1"/>
                <w:szCs w:val="1"/>
                <w:color w:val="auto"/>
              </w:rPr>
            </w:pPr>
          </w:p>
        </w:tc>
      </w:tr>
      <w:tr>
        <w:trPr>
          <w:trHeight w:val="264"/>
        </w:trPr>
        <w:tc>
          <w:tcPr>
            <w:tcW w:w="3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4"/>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December 31, 2024</w:t>
            </w:r>
          </w:p>
        </w:tc>
        <w:tc>
          <w:tcPr>
            <w:tcW w:w="1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r>
      <w:tr>
        <w:trPr>
          <w:trHeight w:val="231"/>
        </w:trPr>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6"/>
          </w:tcPr>
          <w:p>
            <w:pPr>
              <w:jc w:val="center"/>
              <w:ind w:left="792"/>
              <w:spacing w:after="0"/>
              <w:rPr>
                <w:sz w:val="20"/>
                <w:szCs w:val="20"/>
                <w:color w:val="auto"/>
              </w:rPr>
            </w:pPr>
            <w:r>
              <w:rPr>
                <w:rFonts w:ascii="Times New Roman" w:cs="Times New Roman" w:eastAsia="Times New Roman" w:hAnsi="Times New Roman"/>
                <w:sz w:val="18"/>
                <w:szCs w:val="18"/>
                <w:color w:val="auto"/>
                <w:w w:val="96"/>
              </w:rPr>
              <w:t>Fair Value Amount by Level:</w:t>
            </w:r>
          </w:p>
        </w:tc>
        <w:tc>
          <w:tcPr>
            <w:tcW w:w="11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31"/>
        </w:trPr>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Carrying Amount</w:t>
            </w:r>
          </w:p>
        </w:tc>
        <w:tc>
          <w:tcPr>
            <w:tcW w:w="280" w:type="dxa"/>
            <w:vAlign w:val="bottom"/>
          </w:tcPr>
          <w:p>
            <w:pPr>
              <w:spacing w:after="0"/>
              <w:rPr>
                <w:sz w:val="20"/>
                <w:szCs w:val="20"/>
                <w:color w:val="auto"/>
              </w:rPr>
            </w:pP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Level 1</w:t>
            </w:r>
          </w:p>
        </w:tc>
        <w:tc>
          <w:tcPr>
            <w:tcW w:w="300" w:type="dxa"/>
            <w:vAlign w:val="bottom"/>
          </w:tcPr>
          <w:p>
            <w:pPr>
              <w:spacing w:after="0"/>
              <w:rPr>
                <w:sz w:val="20"/>
                <w:szCs w:val="20"/>
                <w:color w:val="auto"/>
              </w:rPr>
            </w:pPr>
          </w:p>
        </w:tc>
        <w:tc>
          <w:tcPr>
            <w:tcW w:w="162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color w:val="auto"/>
                <w:w w:val="99"/>
              </w:rPr>
              <w:t>Level 2</w:t>
            </w:r>
          </w:p>
        </w:tc>
        <w:tc>
          <w:tcPr>
            <w:tcW w:w="14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Level 3</w:t>
            </w:r>
          </w:p>
        </w:tc>
        <w:tc>
          <w:tcPr>
            <w:tcW w:w="13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95"/>
              </w:rPr>
              <w:t>Total Fair Value</w:t>
            </w:r>
          </w:p>
        </w:tc>
      </w:tr>
      <w:tr>
        <w:trPr>
          <w:trHeight w:val="205"/>
        </w:trPr>
        <w:tc>
          <w:tcPr>
            <w:tcW w:w="3240" w:type="dxa"/>
            <w:vAlign w:val="bottom"/>
            <w:tcBorders>
              <w:top w:val="single" w:sz="8" w:color="CCEEFF"/>
            </w:tcBorders>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Financial Assets:</w:t>
            </w:r>
          </w:p>
        </w:tc>
        <w:tc>
          <w:tcPr>
            <w:tcW w:w="1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r>
      <w:tr>
        <w:trPr>
          <w:trHeight w:val="225"/>
        </w:trPr>
        <w:tc>
          <w:tcPr>
            <w:tcW w:w="3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due from banks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6,941</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6,941</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6,941</w:t>
            </w:r>
          </w:p>
        </w:tc>
      </w:tr>
      <w:tr>
        <w:trPr>
          <w:trHeight w:val="22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28,226</w:t>
            </w:r>
          </w:p>
        </w:tc>
      </w:tr>
      <w:tr>
        <w:trPr>
          <w:trHeight w:val="225"/>
        </w:trPr>
        <w:tc>
          <w:tcPr>
            <w:tcW w:w="3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bearing deposits in banks</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346,207</w:t>
            </w:r>
          </w:p>
        </w:tc>
      </w:tr>
      <w:tr>
        <w:trPr>
          <w:trHeight w:val="22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Debt securities available-for-sale, at FV</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23,916</w:t>
            </w:r>
          </w:p>
        </w:tc>
      </w:tr>
      <w:tr>
        <w:trPr>
          <w:trHeight w:val="225"/>
        </w:trPr>
        <w:tc>
          <w:tcPr>
            <w:tcW w:w="3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Loans HFS, at FV</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372,286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6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372,286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372,286</w:t>
            </w:r>
          </w:p>
        </w:tc>
      </w:tr>
      <w:tr>
        <w:trPr>
          <w:trHeight w:val="22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Loans HFS, at LCM</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58,856</w:t>
            </w:r>
          </w:p>
        </w:tc>
      </w:tr>
      <w:tr>
        <w:trPr>
          <w:trHeight w:val="225"/>
        </w:trPr>
        <w:tc>
          <w:tcPr>
            <w:tcW w:w="3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Loans HFI, at FV</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369,746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6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369,746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369,746</w:t>
            </w:r>
          </w:p>
        </w:tc>
      </w:tr>
      <w:tr>
        <w:trPr>
          <w:trHeight w:val="172"/>
        </w:trPr>
        <w:tc>
          <w:tcPr>
            <w:tcW w:w="3240" w:type="dxa"/>
            <w:vAlign w:val="bottom"/>
            <w:shd w:val="clear" w:color="auto" w:fill="CCEEFF"/>
          </w:tcPr>
          <w:p>
            <w:pPr>
              <w:ind w:left="120"/>
              <w:spacing w:after="0" w:line="172" w:lineRule="exact"/>
              <w:rPr>
                <w:sz w:val="20"/>
                <w:szCs w:val="20"/>
                <w:color w:val="auto"/>
              </w:rPr>
            </w:pPr>
            <w:r>
              <w:rPr>
                <w:rFonts w:ascii="Times New Roman" w:cs="Times New Roman" w:eastAsia="Times New Roman" w:hAnsi="Times New Roman"/>
                <w:sz w:val="18"/>
                <w:szCs w:val="18"/>
                <w:color w:val="auto"/>
              </w:rPr>
              <w:t>Loans HFI, at amortized cost, net of</w:t>
            </w: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238"/>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fees and costs</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621,651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6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668,687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668,687</w:t>
            </w:r>
          </w:p>
        </w:tc>
      </w:tr>
      <w:tr>
        <w:trPr>
          <w:trHeight w:val="172"/>
        </w:trPr>
        <w:tc>
          <w:tcPr>
            <w:tcW w:w="3240" w:type="dxa"/>
            <w:vAlign w:val="bottom"/>
          </w:tcPr>
          <w:p>
            <w:pPr>
              <w:ind w:left="120"/>
              <w:spacing w:after="0" w:line="172" w:lineRule="exact"/>
              <w:rPr>
                <w:sz w:val="20"/>
                <w:szCs w:val="20"/>
                <w:color w:val="auto"/>
              </w:rPr>
            </w:pPr>
            <w:r>
              <w:rPr>
                <w:rFonts w:ascii="Times New Roman" w:cs="Times New Roman" w:eastAsia="Times New Roman" w:hAnsi="Times New Roman"/>
                <w:sz w:val="18"/>
                <w:szCs w:val="18"/>
                <w:color w:val="auto"/>
              </w:rPr>
              <w:t>Federal Home Loan Bank and Federal</w:t>
            </w: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38"/>
        </w:trPr>
        <w:tc>
          <w:tcPr>
            <w:tcW w:w="3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Reserve Bank stock</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3,585</w:t>
            </w:r>
          </w:p>
        </w:tc>
      </w:tr>
      <w:tr>
        <w:trPr>
          <w:trHeight w:val="172"/>
        </w:trPr>
        <w:tc>
          <w:tcPr>
            <w:tcW w:w="3240" w:type="dxa"/>
            <w:vAlign w:val="bottom"/>
            <w:shd w:val="clear" w:color="auto" w:fill="CCEEFF"/>
          </w:tcPr>
          <w:p>
            <w:pPr>
              <w:ind w:left="120"/>
              <w:spacing w:after="0" w:line="172" w:lineRule="exact"/>
              <w:rPr>
                <w:sz w:val="20"/>
                <w:szCs w:val="20"/>
                <w:color w:val="auto"/>
              </w:rPr>
            </w:pPr>
            <w:r>
              <w:rPr>
                <w:rFonts w:ascii="Times New Roman" w:cs="Times New Roman" w:eastAsia="Times New Roman" w:hAnsi="Times New Roman"/>
                <w:sz w:val="18"/>
                <w:szCs w:val="18"/>
                <w:color w:val="auto"/>
              </w:rPr>
              <w:t>Joint ventures and other non-control</w:t>
            </w: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238"/>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investments, at FV</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6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57,678</w:t>
            </w:r>
          </w:p>
        </w:tc>
      </w:tr>
      <w:tr>
        <w:trPr>
          <w:trHeight w:val="225"/>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5"/>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Time deposits</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410,442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410,442</w:t>
            </w:r>
          </w:p>
        </w:tc>
      </w:tr>
      <w:tr>
        <w:trPr>
          <w:trHeight w:val="229"/>
        </w:trPr>
        <w:tc>
          <w:tcPr>
            <w:tcW w:w="3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Borrowings</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708,041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306,549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413,818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720,367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80"/>
          </w:cols>
          <w:pgMar w:left="320" w:top="124" w:right="4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10—DEPOSITS: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deposits by type:</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 w:type="dxa"/>
            <w:vAlign w:val="bottom"/>
          </w:tcPr>
          <w:p>
            <w:pPr>
              <w:spacing w:after="0"/>
              <w:rPr>
                <w:sz w:val="16"/>
                <w:szCs w:val="16"/>
                <w:color w:val="auto"/>
              </w:rPr>
            </w:pPr>
          </w:p>
        </w:tc>
      </w:tr>
      <w:tr>
        <w:trPr>
          <w:trHeight w:val="24"/>
        </w:trPr>
        <w:tc>
          <w:tcPr>
            <w:tcW w:w="7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5"/>
        </w:trPr>
        <w:tc>
          <w:tcPr>
            <w:tcW w:w="77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Non-interest-bearing:</w:t>
            </w:r>
          </w:p>
        </w:tc>
        <w:tc>
          <w:tcPr>
            <w:tcW w:w="2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25"/>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Demand</w:t>
            </w: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41,034</w:t>
            </w:r>
          </w:p>
        </w:tc>
        <w:tc>
          <w:tcPr>
            <w:tcW w:w="100" w:type="dxa"/>
            <w:vAlign w:val="bottom"/>
          </w:tcPr>
          <w:p>
            <w:pPr>
              <w:spacing w:after="0"/>
              <w:rPr>
                <w:sz w:val="19"/>
                <w:szCs w:val="19"/>
                <w:color w:val="auto"/>
              </w:rPr>
            </w:pPr>
          </w:p>
        </w:tc>
        <w:tc>
          <w:tcPr>
            <w:tcW w:w="22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11,142</w:t>
            </w:r>
          </w:p>
        </w:tc>
        <w:tc>
          <w:tcPr>
            <w:tcW w:w="20" w:type="dxa"/>
            <w:vAlign w:val="bottom"/>
          </w:tcPr>
          <w:p>
            <w:pPr>
              <w:spacing w:after="0"/>
              <w:rPr>
                <w:sz w:val="19"/>
                <w:szCs w:val="19"/>
                <w:color w:val="auto"/>
              </w:rPr>
            </w:pPr>
          </w:p>
        </w:tc>
      </w:tr>
      <w:tr>
        <w:trPr>
          <w:trHeight w:val="225"/>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Interest-bearing:</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5"/>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Checking</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129,524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103,978</w:t>
            </w:r>
          </w:p>
        </w:tc>
        <w:tc>
          <w:tcPr>
            <w:tcW w:w="20" w:type="dxa"/>
            <w:vAlign w:val="bottom"/>
          </w:tcPr>
          <w:p>
            <w:pPr>
              <w:spacing w:after="0"/>
              <w:rPr>
                <w:sz w:val="19"/>
                <w:szCs w:val="19"/>
                <w:color w:val="auto"/>
              </w:rPr>
            </w:pPr>
          </w:p>
        </w:tc>
      </w:tr>
      <w:tr>
        <w:trPr>
          <w:trHeight w:val="225"/>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65,248</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62,001</w:t>
            </w:r>
          </w:p>
        </w:tc>
        <w:tc>
          <w:tcPr>
            <w:tcW w:w="20" w:type="dxa"/>
            <w:vAlign w:val="bottom"/>
          </w:tcPr>
          <w:p>
            <w:pPr>
              <w:spacing w:after="0"/>
              <w:rPr>
                <w:sz w:val="19"/>
                <w:szCs w:val="19"/>
                <w:color w:val="auto"/>
              </w:rPr>
            </w:pPr>
          </w:p>
        </w:tc>
      </w:tr>
      <w:tr>
        <w:trPr>
          <w:trHeight w:val="225"/>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Savings</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410,874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386,680</w:t>
            </w:r>
          </w:p>
        </w:tc>
        <w:tc>
          <w:tcPr>
            <w:tcW w:w="20" w:type="dxa"/>
            <w:vAlign w:val="bottom"/>
          </w:tcPr>
          <w:p>
            <w:pPr>
              <w:spacing w:after="0"/>
              <w:rPr>
                <w:sz w:val="19"/>
                <w:szCs w:val="19"/>
                <w:color w:val="auto"/>
              </w:rPr>
            </w:pPr>
          </w:p>
        </w:tc>
      </w:tr>
      <w:tr>
        <w:trPr>
          <w:trHeight w:val="225"/>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2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437,148</w:t>
            </w:r>
          </w:p>
        </w:tc>
        <w:tc>
          <w:tcPr>
            <w:tcW w:w="10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409,251</w:t>
            </w:r>
          </w:p>
        </w:tc>
        <w:tc>
          <w:tcPr>
            <w:tcW w:w="20" w:type="dxa"/>
            <w:vAlign w:val="bottom"/>
          </w:tcPr>
          <w:p>
            <w:pPr>
              <w:spacing w:after="0"/>
              <w:rPr>
                <w:sz w:val="19"/>
                <w:szCs w:val="19"/>
                <w:color w:val="auto"/>
              </w:rPr>
            </w:pPr>
          </w:p>
        </w:tc>
      </w:tr>
      <w:tr>
        <w:trPr>
          <w:trHeight w:val="218"/>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interest-bearing</w:t>
            </w: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1,042,794</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961,910</w:t>
            </w:r>
          </w:p>
        </w:tc>
        <w:tc>
          <w:tcPr>
            <w:tcW w:w="20" w:type="dxa"/>
            <w:vAlign w:val="bottom"/>
          </w:tcPr>
          <w:p>
            <w:pPr>
              <w:spacing w:after="0"/>
              <w:rPr>
                <w:sz w:val="18"/>
                <w:szCs w:val="18"/>
                <w:color w:val="auto"/>
              </w:rPr>
            </w:pPr>
          </w:p>
        </w:tc>
      </w:tr>
      <w:tr>
        <w:trPr>
          <w:trHeight w:val="243"/>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deposits</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1,083,828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973,052</w:t>
            </w:r>
          </w:p>
        </w:tc>
        <w:tc>
          <w:tcPr>
            <w:tcW w:w="20" w:type="dxa"/>
            <w:vAlign w:val="bottom"/>
          </w:tcPr>
          <w:p>
            <w:pPr>
              <w:spacing w:after="0"/>
              <w:rPr>
                <w:sz w:val="20"/>
                <w:szCs w:val="20"/>
                <w:color w:val="auto"/>
              </w:rPr>
            </w:pP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7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5"/>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deposits, money market, and interest-bearing checking obtained through brokers</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42,120</w:t>
            </w: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27,100</w:t>
            </w:r>
          </w:p>
        </w:tc>
        <w:tc>
          <w:tcPr>
            <w:tcW w:w="20" w:type="dxa"/>
            <w:vAlign w:val="bottom"/>
          </w:tcPr>
          <w:p>
            <w:pPr>
              <w:spacing w:after="0"/>
              <w:rPr>
                <w:sz w:val="19"/>
                <w:szCs w:val="19"/>
                <w:color w:val="auto"/>
              </w:rPr>
            </w:pPr>
          </w:p>
        </w:tc>
      </w:tr>
      <w:tr>
        <w:trPr>
          <w:trHeight w:val="225"/>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Aggregate amount of deposit accounts that exceeded the FDIC limit</w:t>
            </w: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147,855</w:t>
            </w:r>
          </w:p>
        </w:tc>
        <w:tc>
          <w:tcPr>
            <w:tcW w:w="100" w:type="dxa"/>
            <w:vAlign w:val="bottom"/>
          </w:tcPr>
          <w:p>
            <w:pPr>
              <w:spacing w:after="0"/>
              <w:rPr>
                <w:sz w:val="19"/>
                <w:szCs w:val="19"/>
                <w:color w:val="auto"/>
              </w:rPr>
            </w:pPr>
          </w:p>
        </w:tc>
        <w:tc>
          <w:tcPr>
            <w:tcW w:w="22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140,679</w:t>
            </w:r>
          </w:p>
        </w:tc>
        <w:tc>
          <w:tcPr>
            <w:tcW w:w="20" w:type="dxa"/>
            <w:vAlign w:val="bottom"/>
          </w:tcPr>
          <w:p>
            <w:pPr>
              <w:spacing w:after="0"/>
              <w:rPr>
                <w:sz w:val="19"/>
                <w:szCs w:val="19"/>
                <w:color w:val="auto"/>
              </w:rPr>
            </w:pPr>
          </w:p>
        </w:tc>
      </w:tr>
      <w:tr>
        <w:trPr>
          <w:trHeight w:val="225"/>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Demand deposit overdrafts reclassified as loan balances</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9"/>
                <w:szCs w:val="19"/>
                <w:color w:val="auto"/>
              </w:rPr>
            </w:pPr>
          </w:p>
        </w:tc>
      </w:tr>
      <w:tr>
        <w:trPr>
          <w:trHeight w:val="22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 in excess of $0.25 million</w:t>
            </w: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106,881</w:t>
            </w:r>
          </w:p>
        </w:tc>
        <w:tc>
          <w:tcPr>
            <w:tcW w:w="100" w:type="dxa"/>
            <w:vAlign w:val="bottom"/>
          </w:tcPr>
          <w:p>
            <w:pPr>
              <w:spacing w:after="0"/>
              <w:rPr>
                <w:sz w:val="19"/>
                <w:szCs w:val="19"/>
                <w:color w:val="auto"/>
              </w:rPr>
            </w:pPr>
          </w:p>
        </w:tc>
        <w:tc>
          <w:tcPr>
            <w:tcW w:w="22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99,231</w:t>
            </w:r>
          </w:p>
        </w:tc>
        <w:tc>
          <w:tcPr>
            <w:tcW w:w="20" w:type="dxa"/>
            <w:vAlign w:val="bottom"/>
          </w:tcPr>
          <w:p>
            <w:pPr>
              <w:spacing w:after="0"/>
              <w:rPr>
                <w:sz w:val="19"/>
                <w:szCs w:val="19"/>
                <w:color w:val="auto"/>
              </w:rPr>
            </w:pPr>
          </w:p>
        </w:tc>
      </w:tr>
      <w:tr>
        <w:trPr>
          <w:trHeight w:val="537"/>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scheduled maturities of time deposits:</w:t>
            </w: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
        </w:trPr>
        <w:tc>
          <w:tcPr>
            <w:tcW w:w="7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5"/>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169,565</w:t>
            </w:r>
          </w:p>
        </w:tc>
        <w:tc>
          <w:tcPr>
            <w:tcW w:w="20" w:type="dxa"/>
            <w:vAlign w:val="bottom"/>
            <w:shd w:val="clear" w:color="auto" w:fill="CCEEFF"/>
          </w:tcPr>
          <w:p>
            <w:pPr>
              <w:spacing w:after="0"/>
              <w:rPr>
                <w:sz w:val="19"/>
                <w:szCs w:val="19"/>
                <w:color w:val="auto"/>
              </w:rPr>
            </w:pPr>
          </w:p>
        </w:tc>
      </w:tr>
      <w:tr>
        <w:trPr>
          <w:trHeight w:val="225"/>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225,396</w:t>
            </w:r>
          </w:p>
        </w:tc>
        <w:tc>
          <w:tcPr>
            <w:tcW w:w="20" w:type="dxa"/>
            <w:vAlign w:val="bottom"/>
          </w:tcPr>
          <w:p>
            <w:pPr>
              <w:spacing w:after="0"/>
              <w:rPr>
                <w:sz w:val="19"/>
                <w:szCs w:val="19"/>
                <w:color w:val="auto"/>
              </w:rPr>
            </w:pPr>
          </w:p>
        </w:tc>
      </w:tr>
      <w:tr>
        <w:trPr>
          <w:trHeight w:val="225"/>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31,556</w:t>
            </w:r>
          </w:p>
        </w:tc>
        <w:tc>
          <w:tcPr>
            <w:tcW w:w="20" w:type="dxa"/>
            <w:vAlign w:val="bottom"/>
            <w:shd w:val="clear" w:color="auto" w:fill="CCEEFF"/>
          </w:tcPr>
          <w:p>
            <w:pPr>
              <w:spacing w:after="0"/>
              <w:rPr>
                <w:sz w:val="19"/>
                <w:szCs w:val="19"/>
                <w:color w:val="auto"/>
              </w:rPr>
            </w:pPr>
          </w:p>
        </w:tc>
      </w:tr>
      <w:tr>
        <w:trPr>
          <w:trHeight w:val="225"/>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10,492</w:t>
            </w:r>
          </w:p>
        </w:tc>
        <w:tc>
          <w:tcPr>
            <w:tcW w:w="20" w:type="dxa"/>
            <w:vAlign w:val="bottom"/>
          </w:tcPr>
          <w:p>
            <w:pPr>
              <w:spacing w:after="0"/>
              <w:rPr>
                <w:sz w:val="19"/>
                <w:szCs w:val="19"/>
                <w:color w:val="auto"/>
              </w:rPr>
            </w:pPr>
          </w:p>
        </w:tc>
      </w:tr>
      <w:tr>
        <w:trPr>
          <w:trHeight w:val="225"/>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 w:type="dxa"/>
            <w:vAlign w:val="bottom"/>
            <w:shd w:val="clear" w:color="auto" w:fill="CCEEFF"/>
          </w:tcPr>
          <w:p>
            <w:pPr>
              <w:spacing w:after="0"/>
              <w:rPr>
                <w:sz w:val="19"/>
                <w:szCs w:val="19"/>
                <w:color w:val="auto"/>
              </w:rPr>
            </w:pPr>
          </w:p>
        </w:tc>
      </w:tr>
      <w:tr>
        <w:trPr>
          <w:trHeight w:val="225"/>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Borders>
              <w:bottom w:val="single" w:sz="8" w:color="auto"/>
            </w:tcBorders>
          </w:tcPr>
          <w:p>
            <w:pPr>
              <w:spacing w:after="0"/>
              <w:rPr>
                <w:sz w:val="19"/>
                <w:szCs w:val="19"/>
                <w:color w:val="auto"/>
              </w:rPr>
            </w:pPr>
          </w:p>
        </w:tc>
      </w:tr>
      <w:tr>
        <w:trPr>
          <w:trHeight w:val="243"/>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time deposits</w:t>
            </w: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437,148</w:t>
            </w:r>
          </w:p>
        </w:tc>
        <w:tc>
          <w:tcPr>
            <w:tcW w:w="20" w:type="dxa"/>
            <w:vAlign w:val="bottom"/>
            <w:tcBorders>
              <w:bottom w:val="single" w:sz="8" w:color="auto"/>
            </w:tcBorders>
            <w:shd w:val="clear" w:color="auto" w:fill="CCEEFF"/>
          </w:tcPr>
          <w:p>
            <w:pPr>
              <w:spacing w:after="0"/>
              <w:rPr>
                <w:sz w:val="20"/>
                <w:szCs w:val="20"/>
                <w:color w:val="auto"/>
              </w:rPr>
            </w:pP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11—BORROWINGS: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2025 and December 31, 2024, the Company had borrowings composed of the following: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gridSpan w:val="4"/>
          </w:tcPr>
          <w:p>
            <w:pPr>
              <w:jc w:val="right"/>
              <w:ind w:right="132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4"/>
        </w:trPr>
        <w:tc>
          <w:tcPr>
            <w:tcW w:w="3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5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33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Commitments</w:t>
            </w: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center"/>
              <w:ind w:right="220"/>
              <w:spacing w:after="0" w:line="125" w:lineRule="exact"/>
              <w:rPr>
                <w:sz w:val="20"/>
                <w:szCs w:val="20"/>
                <w:color w:val="auto"/>
              </w:rPr>
            </w:pPr>
            <w:r>
              <w:rPr>
                <w:rFonts w:ascii="Times New Roman" w:cs="Times New Roman" w:eastAsia="Times New Roman" w:hAnsi="Times New Roman"/>
                <w:sz w:val="14"/>
                <w:szCs w:val="14"/>
                <w:b w:val="1"/>
                <w:bCs w:val="1"/>
                <w:color w:val="auto"/>
                <w:w w:val="99"/>
              </w:rPr>
              <w:t>Borrowings</w:t>
            </w:r>
          </w:p>
        </w:tc>
        <w:tc>
          <w:tcPr>
            <w:tcW w:w="148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8"/>
              </w:rPr>
              <w:t>Weighted Avg Interest</w:t>
            </w: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Commitments</w:t>
            </w: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74"/>
              <w:spacing w:after="0" w:line="125" w:lineRule="exact"/>
              <w:rPr>
                <w:sz w:val="20"/>
                <w:szCs w:val="20"/>
                <w:color w:val="auto"/>
              </w:rPr>
            </w:pPr>
            <w:r>
              <w:rPr>
                <w:rFonts w:ascii="Times New Roman" w:cs="Times New Roman" w:eastAsia="Times New Roman" w:hAnsi="Times New Roman"/>
                <w:sz w:val="14"/>
                <w:szCs w:val="14"/>
                <w:b w:val="1"/>
                <w:bCs w:val="1"/>
                <w:color w:val="auto"/>
              </w:rPr>
              <w:t>Borrowings</w:t>
            </w:r>
          </w:p>
        </w:tc>
        <w:tc>
          <w:tcPr>
            <w:tcW w:w="12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Weighted Avg Interest</w:t>
            </w:r>
          </w:p>
        </w:tc>
        <w:tc>
          <w:tcPr>
            <w:tcW w:w="0" w:type="dxa"/>
            <w:vAlign w:val="bottom"/>
          </w:tcPr>
          <w:p>
            <w:pPr>
              <w:spacing w:after="0"/>
              <w:rPr>
                <w:sz w:val="1"/>
                <w:szCs w:val="1"/>
                <w:color w:val="auto"/>
              </w:rPr>
            </w:pPr>
          </w:p>
        </w:tc>
      </w:tr>
      <w:tr>
        <w:trPr>
          <w:trHeight w:val="192"/>
        </w:trPr>
        <w:tc>
          <w:tcPr>
            <w:tcW w:w="3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6"/>
                <w:szCs w:val="16"/>
                <w:color w:val="auto"/>
              </w:rPr>
            </w:pPr>
          </w:p>
        </w:tc>
        <w:tc>
          <w:tcPr>
            <w:tcW w:w="146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212"/>
        </w:trPr>
        <w:tc>
          <w:tcPr>
            <w:tcW w:w="3300" w:type="dxa"/>
            <w:vAlign w:val="bottom"/>
          </w:tcPr>
          <w:p>
            <w:pPr>
              <w:ind w:left="20"/>
              <w:spacing w:after="0" w:line="211" w:lineRule="exact"/>
              <w:rPr>
                <w:sz w:val="20"/>
                <w:szCs w:val="20"/>
                <w:color w:val="auto"/>
              </w:rPr>
            </w:pPr>
            <w:r>
              <w:rPr>
                <w:rFonts w:ascii="Times New Roman" w:cs="Times New Roman" w:eastAsia="Times New Roman" w:hAnsi="Times New Roman"/>
                <w:sz w:val="18"/>
                <w:szCs w:val="18"/>
                <w:color w:val="auto"/>
              </w:rPr>
              <w:t>Bank Borrowings</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w:t>
            </w: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NMS Webster Note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54,871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32,688</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7.30 %</w:t>
            </w:r>
          </w:p>
        </w:tc>
        <w:tc>
          <w:tcPr>
            <w:tcW w:w="0" w:type="dxa"/>
            <w:vAlign w:val="bottom"/>
          </w:tcPr>
          <w:p>
            <w:pPr>
              <w:spacing w:after="0"/>
              <w:rPr>
                <w:sz w:val="1"/>
                <w:szCs w:val="1"/>
                <w:color w:val="auto"/>
              </w:rPr>
            </w:pPr>
          </w:p>
        </w:tc>
      </w:tr>
      <w:tr>
        <w:trPr>
          <w:trHeight w:val="225"/>
        </w:trPr>
        <w:tc>
          <w:tcPr>
            <w:tcW w:w="3300" w:type="dxa"/>
            <w:vAlign w:val="bottom"/>
          </w:tcPr>
          <w:p>
            <w:pPr>
              <w:ind w:left="120"/>
              <w:spacing w:after="0" w:line="225" w:lineRule="exact"/>
              <w:rPr>
                <w:sz w:val="20"/>
                <w:szCs w:val="20"/>
                <w:color w:val="auto"/>
              </w:rPr>
            </w:pPr>
            <w:r>
              <w:rPr>
                <w:rFonts w:ascii="Times New Roman" w:cs="Times New Roman" w:eastAsia="Times New Roman" w:hAnsi="Times New Roman"/>
                <w:sz w:val="18"/>
                <w:szCs w:val="18"/>
                <w:color w:val="auto"/>
              </w:rPr>
              <w:t>SPV I Capital One Facility</w:t>
            </w:r>
            <w:r>
              <w:rPr>
                <w:rFonts w:ascii="Times New Roman" w:cs="Times New Roman" w:eastAsia="Times New Roman" w:hAnsi="Times New Roman"/>
                <w:sz w:val="22"/>
                <w:szCs w:val="22"/>
                <w:color w:val="auto"/>
                <w:vertAlign w:val="superscript"/>
              </w:rPr>
              <w:t>2</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7,491</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7.22 %</w:t>
            </w:r>
          </w:p>
        </w:tc>
        <w:tc>
          <w:tcPr>
            <w:tcW w:w="0" w:type="dxa"/>
            <w:vAlign w:val="bottom"/>
          </w:tcPr>
          <w:p>
            <w:pPr>
              <w:spacing w:after="0"/>
              <w:rPr>
                <w:sz w:val="1"/>
                <w:szCs w:val="1"/>
                <w:color w:val="auto"/>
              </w:rPr>
            </w:pPr>
          </w:p>
        </w:tc>
      </w:tr>
      <w:tr>
        <w:trPr>
          <w:trHeight w:val="225"/>
        </w:trPr>
        <w:tc>
          <w:tcPr>
            <w:tcW w:w="3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SPV II Deutsche Bank Facility</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54,036</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7.57 %</w:t>
            </w:r>
          </w:p>
        </w:tc>
        <w:tc>
          <w:tcPr>
            <w:tcW w:w="0" w:type="dxa"/>
            <w:vAlign w:val="bottom"/>
          </w:tcPr>
          <w:p>
            <w:pPr>
              <w:spacing w:after="0"/>
              <w:rPr>
                <w:sz w:val="1"/>
                <w:szCs w:val="1"/>
                <w:color w:val="auto"/>
              </w:rPr>
            </w:pPr>
          </w:p>
        </w:tc>
      </w:tr>
      <w:tr>
        <w:trPr>
          <w:trHeight w:val="225"/>
        </w:trPr>
        <w:tc>
          <w:tcPr>
            <w:tcW w:w="3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SPV III One Florida Bank Facility</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8.50 %</w:t>
            </w:r>
          </w:p>
        </w:tc>
        <w:tc>
          <w:tcPr>
            <w:tcW w:w="0" w:type="dxa"/>
            <w:vAlign w:val="bottom"/>
          </w:tcPr>
          <w:p>
            <w:pPr>
              <w:spacing w:after="0"/>
              <w:rPr>
                <w:sz w:val="1"/>
                <w:szCs w:val="1"/>
                <w:color w:val="auto"/>
              </w:rPr>
            </w:pPr>
          </w:p>
        </w:tc>
      </w:tr>
      <w:tr>
        <w:trPr>
          <w:trHeight w:val="225"/>
        </w:trPr>
        <w:tc>
          <w:tcPr>
            <w:tcW w:w="330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FHLB Advances</w:t>
            </w:r>
            <w:r>
              <w:rPr>
                <w:rFonts w:ascii="Times New Roman" w:cs="Times New Roman" w:eastAsia="Times New Roman" w:hAnsi="Times New Roman"/>
                <w:sz w:val="22"/>
                <w:szCs w:val="22"/>
                <w:color w:val="auto"/>
                <w:vertAlign w:val="superscript"/>
              </w:rPr>
              <w:t>3</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15,330</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0" w:type="dxa"/>
            <w:vAlign w:val="bottom"/>
          </w:tcPr>
          <w:p>
            <w:pPr>
              <w:spacing w:after="0"/>
              <w:rPr>
                <w:sz w:val="1"/>
                <w:szCs w:val="1"/>
                <w:color w:val="auto"/>
              </w:rPr>
            </w:pPr>
          </w:p>
        </w:tc>
      </w:tr>
      <w:tr>
        <w:trPr>
          <w:trHeight w:val="225"/>
        </w:trPr>
        <w:tc>
          <w:tcPr>
            <w:tcW w:w="330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Parent Company Notes</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300" w:type="dxa"/>
            <w:vAlign w:val="bottom"/>
            <w:shd w:val="clear" w:color="auto" w:fill="CCEEFF"/>
          </w:tcPr>
          <w:p>
            <w:pPr>
              <w:ind w:left="120"/>
              <w:spacing w:after="0" w:line="225" w:lineRule="exact"/>
              <w:rPr>
                <w:sz w:val="20"/>
                <w:szCs w:val="20"/>
                <w:color w:val="auto"/>
              </w:rPr>
            </w:pPr>
            <w:r>
              <w:rPr>
                <w:rFonts w:ascii="Times New Roman" w:cs="Times New Roman" w:eastAsia="Times New Roman" w:hAnsi="Times New Roman"/>
                <w:sz w:val="18"/>
                <w:szCs w:val="18"/>
                <w:color w:val="auto"/>
              </w:rPr>
              <w:t>2025 Notes</w:t>
            </w:r>
            <w:r>
              <w:rPr>
                <w:rFonts w:ascii="Times New Roman" w:cs="Times New Roman" w:eastAsia="Times New Roman" w:hAnsi="Times New Roman"/>
                <w:sz w:val="22"/>
                <w:szCs w:val="22"/>
                <w:color w:val="auto"/>
                <w:vertAlign w:val="superscript"/>
              </w:rPr>
              <w:t>4</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29,913</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r>
        <w:trPr>
          <w:trHeight w:val="225"/>
        </w:trPr>
        <w:tc>
          <w:tcPr>
            <w:tcW w:w="3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2026 Notes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114,641</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114,282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5.50 %</w:t>
            </w:r>
          </w:p>
        </w:tc>
        <w:tc>
          <w:tcPr>
            <w:tcW w:w="0" w:type="dxa"/>
            <w:vAlign w:val="bottom"/>
          </w:tcPr>
          <w:p>
            <w:pPr>
              <w:spacing w:after="0"/>
              <w:rPr>
                <w:sz w:val="1"/>
                <w:szCs w:val="1"/>
                <w:color w:val="auto"/>
              </w:rPr>
            </w:pPr>
          </w:p>
        </w:tc>
      </w:tr>
      <w:tr>
        <w:trPr>
          <w:trHeight w:val="225"/>
        </w:trPr>
        <w:tc>
          <w:tcPr>
            <w:tcW w:w="3300" w:type="dxa"/>
            <w:vAlign w:val="bottom"/>
            <w:shd w:val="clear" w:color="auto" w:fill="CCEEFF"/>
          </w:tcPr>
          <w:p>
            <w:pPr>
              <w:ind w:left="120"/>
              <w:spacing w:after="0" w:line="225" w:lineRule="exact"/>
              <w:rPr>
                <w:sz w:val="20"/>
                <w:szCs w:val="20"/>
                <w:color w:val="auto"/>
              </w:rPr>
            </w:pPr>
            <w:r>
              <w:rPr>
                <w:rFonts w:ascii="Times New Roman" w:cs="Times New Roman" w:eastAsia="Times New Roman" w:hAnsi="Times New Roman"/>
                <w:sz w:val="18"/>
                <w:szCs w:val="18"/>
                <w:color w:val="auto"/>
              </w:rPr>
              <w:t>2027 Notes</w:t>
            </w:r>
            <w:r>
              <w:rPr>
                <w:rFonts w:ascii="Times New Roman" w:cs="Times New Roman" w:eastAsia="Times New Roman" w:hAnsi="Times New Roman"/>
                <w:sz w:val="22"/>
                <w:szCs w:val="22"/>
                <w:color w:val="auto"/>
                <w:vertAlign w:val="superscript"/>
              </w:rPr>
              <w:t>5</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8.125 %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49,944</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8.125 %</w:t>
            </w:r>
          </w:p>
        </w:tc>
        <w:tc>
          <w:tcPr>
            <w:tcW w:w="0" w:type="dxa"/>
            <w:vAlign w:val="bottom"/>
          </w:tcPr>
          <w:p>
            <w:pPr>
              <w:spacing w:after="0"/>
              <w:rPr>
                <w:sz w:val="1"/>
                <w:szCs w:val="1"/>
                <w:color w:val="auto"/>
              </w:rPr>
            </w:pPr>
          </w:p>
        </w:tc>
      </w:tr>
      <w:tr>
        <w:trPr>
          <w:trHeight w:val="225"/>
        </w:trPr>
        <w:tc>
          <w:tcPr>
            <w:tcW w:w="3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2028 Notes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38,900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38,726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0" w:type="dxa"/>
            <w:vAlign w:val="bottom"/>
          </w:tcPr>
          <w:p>
            <w:pPr>
              <w:spacing w:after="0"/>
              <w:rPr>
                <w:sz w:val="1"/>
                <w:szCs w:val="1"/>
                <w:color w:val="auto"/>
              </w:rPr>
            </w:pPr>
          </w:p>
        </w:tc>
      </w:tr>
      <w:tr>
        <w:trPr>
          <w:trHeight w:val="225"/>
        </w:trPr>
        <w:tc>
          <w:tcPr>
            <w:tcW w:w="3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2029 Notes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69,878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71,875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69,622</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8.50 %</w:t>
            </w:r>
          </w:p>
        </w:tc>
        <w:tc>
          <w:tcPr>
            <w:tcW w:w="0" w:type="dxa"/>
            <w:vAlign w:val="bottom"/>
          </w:tcPr>
          <w:p>
            <w:pPr>
              <w:spacing w:after="0"/>
              <w:rPr>
                <w:sz w:val="1"/>
                <w:szCs w:val="1"/>
                <w:color w:val="auto"/>
              </w:rPr>
            </w:pPr>
          </w:p>
        </w:tc>
      </w:tr>
      <w:tr>
        <w:trPr>
          <w:trHeight w:val="225"/>
        </w:trPr>
        <w:tc>
          <w:tcPr>
            <w:tcW w:w="3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2029 Notes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72,906</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8.625 %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72,662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8.625 %</w:t>
            </w:r>
          </w:p>
        </w:tc>
        <w:tc>
          <w:tcPr>
            <w:tcW w:w="0" w:type="dxa"/>
            <w:vAlign w:val="bottom"/>
          </w:tcPr>
          <w:p>
            <w:pPr>
              <w:spacing w:after="0"/>
              <w:rPr>
                <w:sz w:val="1"/>
                <w:szCs w:val="1"/>
                <w:color w:val="auto"/>
              </w:rPr>
            </w:pPr>
          </w:p>
        </w:tc>
      </w:tr>
      <w:tr>
        <w:trPr>
          <w:trHeight w:val="225"/>
        </w:trPr>
        <w:tc>
          <w:tcPr>
            <w:tcW w:w="3300" w:type="dxa"/>
            <w:vAlign w:val="bottom"/>
            <w:shd w:val="clear" w:color="auto" w:fill="CCEEFF"/>
          </w:tcPr>
          <w:p>
            <w:pPr>
              <w:ind w:left="120"/>
              <w:spacing w:after="0" w:line="225" w:lineRule="exact"/>
              <w:rPr>
                <w:sz w:val="20"/>
                <w:szCs w:val="20"/>
                <w:color w:val="auto"/>
              </w:rPr>
            </w:pPr>
            <w:r>
              <w:rPr>
                <w:rFonts w:ascii="Times New Roman" w:cs="Times New Roman" w:eastAsia="Times New Roman" w:hAnsi="Times New Roman"/>
                <w:sz w:val="18"/>
                <w:szCs w:val="18"/>
                <w:color w:val="auto"/>
              </w:rPr>
              <w:t>2030 Notes</w:t>
            </w:r>
            <w:r>
              <w:rPr>
                <w:rFonts w:ascii="Times New Roman" w:cs="Times New Roman" w:eastAsia="Times New Roman" w:hAnsi="Times New Roman"/>
                <w:sz w:val="22"/>
                <w:szCs w:val="22"/>
                <w:color w:val="auto"/>
                <w:vertAlign w:val="superscript"/>
              </w:rPr>
              <w:t>6</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29,319</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8.375 %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5"/>
        </w:trPr>
        <w:tc>
          <w:tcPr>
            <w:tcW w:w="3300" w:type="dxa"/>
            <w:vAlign w:val="bottom"/>
            <w:tcBorders>
              <w:bottom w:val="single" w:sz="8" w:color="CCEEFF"/>
            </w:tcBorders>
          </w:tcPr>
          <w:p>
            <w:pPr>
              <w:ind w:left="20"/>
              <w:spacing w:after="0" w:line="225" w:lineRule="exact"/>
              <w:rPr>
                <w:sz w:val="20"/>
                <w:szCs w:val="20"/>
                <w:color w:val="auto"/>
              </w:rPr>
            </w:pPr>
            <w:r>
              <w:rPr>
                <w:rFonts w:ascii="Times New Roman" w:cs="Times New Roman" w:eastAsia="Times New Roman" w:hAnsi="Times New Roman"/>
                <w:sz w:val="18"/>
                <w:szCs w:val="18"/>
                <w:color w:val="auto"/>
              </w:rPr>
              <w:t>Notes payable - Securitization Trusts</w:t>
            </w:r>
            <w:r>
              <w:rPr>
                <w:rFonts w:ascii="Times New Roman" w:cs="Times New Roman" w:eastAsia="Times New Roman" w:hAnsi="Times New Roman"/>
                <w:sz w:val="22"/>
                <w:szCs w:val="22"/>
                <w:color w:val="auto"/>
                <w:vertAlign w:val="superscript"/>
              </w:rPr>
              <w:t>1</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159,635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157,439</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6.80 %</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189,231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186,635</w:t>
            </w:r>
          </w:p>
        </w:tc>
        <w:tc>
          <w:tcPr>
            <w:tcW w:w="15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7.32 %</w:t>
            </w:r>
          </w:p>
        </w:tc>
        <w:tc>
          <w:tcPr>
            <w:tcW w:w="0" w:type="dxa"/>
            <w:vAlign w:val="bottom"/>
          </w:tcPr>
          <w:p>
            <w:pPr>
              <w:spacing w:after="0"/>
              <w:rPr>
                <w:sz w:val="1"/>
                <w:szCs w:val="1"/>
                <w:color w:val="auto"/>
              </w:rPr>
            </w:pPr>
          </w:p>
        </w:tc>
      </w:tr>
      <w:tr>
        <w:trPr>
          <w:trHeight w:val="243"/>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borrowings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870,381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657,327</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855,977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708,041</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7.22 %</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 w:lineRule="exact"/>
        <w:rPr>
          <w:sz w:val="20"/>
          <w:szCs w:val="20"/>
          <w:color w:val="auto"/>
        </w:rPr>
      </w:pPr>
    </w:p>
    <w:p>
      <w:pPr>
        <w:ind w:left="180" w:hanging="174"/>
        <w:spacing w:after="0"/>
        <w:tabs>
          <w:tab w:leader="none" w:pos="180"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Net of deferred financing costs.</w:t>
      </w:r>
    </w:p>
    <w:p>
      <w:pPr>
        <w:ind w:left="180" w:hanging="174"/>
        <w:spacing w:after="0" w:line="191" w:lineRule="auto"/>
        <w:tabs>
          <w:tab w:leader="none" w:pos="180"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Total commitments were increased to $100.0 million as of July 28, 2025. Refer to NOTE 19—SUBSEQUENT EVENTS: SPV I Facility.</w:t>
      </w:r>
    </w:p>
    <w:p>
      <w:pPr>
        <w:ind w:left="180" w:hanging="174"/>
        <w:spacing w:after="0" w:line="192" w:lineRule="auto"/>
        <w:tabs>
          <w:tab w:leader="none" w:pos="180"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At June 30, 2025 and December 31, 2024, the carrying amount of Newtek Bank’s FHLB borrowings includes a $0.02 million and $0.04 million purchase</w:t>
      </w:r>
    </w:p>
    <w:p>
      <w:pPr>
        <w:spacing w:after="0" w:line="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accounting adjustment, respectively.</w:t>
      </w:r>
    </w:p>
    <w:p>
      <w:pPr>
        <w:ind w:left="180" w:hanging="174"/>
        <w:spacing w:after="0" w:line="193" w:lineRule="auto"/>
        <w:tabs>
          <w:tab w:leader="none" w:pos="180"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On March 31, 2025, the 2025 5.00% Notes matured.</w:t>
      </w:r>
    </w:p>
    <w:p>
      <w:pPr>
        <w:spacing w:after="0" w:line="3" w:lineRule="exact"/>
        <w:rPr>
          <w:sz w:val="20"/>
          <w:szCs w:val="20"/>
          <w:color w:val="auto"/>
        </w:rPr>
      </w:pPr>
    </w:p>
    <w:p>
      <w:pPr>
        <w:ind w:left="160" w:right="60" w:hanging="154"/>
        <w:spacing w:after="0" w:line="244" w:lineRule="auto"/>
        <w:tabs>
          <w:tab w:leader="none" w:pos="235" w:val="left"/>
        </w:tabs>
        <w:numPr>
          <w:ilvl w:val="0"/>
          <w:numId w:val="2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Effective December 11, 2024, the Company entered into Note Amendment and Exchange Agreements (the “Amendment and Exchange Agreements”) with each of the holders of the 2025 8.125% Notes, pursuant to which the Company and the holders of the 2025 8.125% Notes agreed to exchange the 2025 8.125% Notes for the 2027 Notes, effecting amendments solely to (i) extend the February 1, 2025 maturity date of the 2025 8.125% Notes to the new maturity date of February 1, 2027 (the “New Maturity Date”) and (ii) provide that the 2027 Notes will be redeemable in whole, but not in part, at any time, at the option of the Company, from November 1, 2026 to the New Maturity Date, at a redemption price of 100% of the outstanding principal amount being</w:t>
      </w:r>
    </w:p>
    <w:p>
      <w:pPr>
        <w:spacing w:after="0" w:line="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redeemed plus any accrued but unpaid interest, to but excluding the redemption date.</w:t>
      </w:r>
    </w:p>
    <w:p>
      <w:pPr>
        <w:spacing w:after="0" w:line="5" w:lineRule="exact"/>
        <w:rPr>
          <w:sz w:val="20"/>
          <w:szCs w:val="20"/>
          <w:color w:val="auto"/>
        </w:rPr>
      </w:pPr>
    </w:p>
    <w:p>
      <w:pPr>
        <w:ind w:left="160" w:right="60" w:hanging="154"/>
        <w:spacing w:after="0" w:line="215" w:lineRule="auto"/>
        <w:tabs>
          <w:tab w:leader="none" w:pos="173"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On March 19, 2025, the Company closed an exempt offering of $30.0 million in aggregate principal amount of its 2030 Notes. The 2030 Notes bear interest at a rate of 8.375% per year payable semiannually on April 1 and October 1 each year, beginning October 1, 2025.</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440"/>
        <w:spacing w:after="0" w:line="270" w:lineRule="auto"/>
        <w:rPr>
          <w:sz w:val="20"/>
          <w:szCs w:val="20"/>
          <w:color w:val="auto"/>
        </w:rPr>
      </w:pPr>
      <w:r>
        <w:rPr>
          <w:rFonts w:ascii="Times New Roman" w:cs="Times New Roman" w:eastAsia="Times New Roman" w:hAnsi="Times New Roman"/>
          <w:sz w:val="18"/>
          <w:szCs w:val="18"/>
          <w:color w:val="auto"/>
        </w:rPr>
        <w:t>Outstanding borrowings that are presented net of deferred financing costs, which include the bank borrowings, the Parent Company Notes, and the Notes payable - Securitization Trusts, consisted of the following:</w:t>
      </w:r>
    </w:p>
    <w:p>
      <w:pPr>
        <w:spacing w:after="0" w:line="83" w:lineRule="exact"/>
        <w:rPr>
          <w:sz w:val="20"/>
          <w:szCs w:val="20"/>
          <w:color w:val="auto"/>
        </w:rPr>
      </w:pPr>
    </w:p>
    <w:tbl>
      <w:tblPr>
        <w:tblLayout w:type="fixed"/>
        <w:tblInd w:w="100" w:type="dxa"/>
        <w:tblCellMar>
          <w:top w:w="0" w:type="dxa"/>
          <w:left w:w="0" w:type="dxa"/>
          <w:bottom w:w="0" w:type="dxa"/>
          <w:right w:w="0" w:type="dxa"/>
        </w:tblCellMar>
      </w:tblPr>
      <w:tr>
        <w:trPr>
          <w:trHeight w:val="186"/>
        </w:trPr>
        <w:tc>
          <w:tcPr>
            <w:tcW w:w="4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4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color w:val="auto"/>
                <w:w w:val="98"/>
              </w:rPr>
              <w:t>Principal</w:t>
            </w:r>
          </w:p>
        </w:tc>
        <w:tc>
          <w:tcPr>
            <w:tcW w:w="100" w:type="dxa"/>
            <w:vAlign w:val="bottom"/>
          </w:tcPr>
          <w:p>
            <w:pPr>
              <w:spacing w:after="0"/>
              <w:rPr>
                <w:sz w:val="14"/>
                <w:szCs w:val="14"/>
                <w:color w:val="auto"/>
              </w:rPr>
            </w:pPr>
          </w:p>
        </w:tc>
        <w:tc>
          <w:tcPr>
            <w:tcW w:w="1280" w:type="dxa"/>
            <w:vAlign w:val="bottom"/>
            <w:gridSpan w:val="2"/>
          </w:tcPr>
          <w:p>
            <w:pPr>
              <w:jc w:val="center"/>
              <w:ind w:right="200"/>
              <w:spacing w:after="0" w:line="165" w:lineRule="exact"/>
              <w:rPr>
                <w:sz w:val="20"/>
                <w:szCs w:val="20"/>
                <w:color w:val="auto"/>
              </w:rPr>
            </w:pPr>
            <w:r>
              <w:rPr>
                <w:rFonts w:ascii="Times New Roman" w:cs="Times New Roman" w:eastAsia="Times New Roman" w:hAnsi="Times New Roman"/>
                <w:sz w:val="18"/>
                <w:szCs w:val="18"/>
                <w:color w:val="auto"/>
                <w:w w:val="97"/>
              </w:rPr>
              <w:t>Unamortized</w:t>
            </w:r>
          </w:p>
        </w:tc>
        <w:tc>
          <w:tcPr>
            <w:tcW w:w="11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7"/>
              </w:rPr>
              <w:t>Net carrying</w:t>
            </w:r>
          </w:p>
        </w:tc>
        <w:tc>
          <w:tcPr>
            <w:tcW w:w="160" w:type="dxa"/>
            <w:vAlign w:val="bottom"/>
          </w:tcPr>
          <w:p>
            <w:pPr>
              <w:spacing w:after="0"/>
              <w:rPr>
                <w:sz w:val="14"/>
                <w:szCs w:val="14"/>
                <w:color w:val="auto"/>
              </w:rPr>
            </w:pPr>
          </w:p>
        </w:tc>
        <w:tc>
          <w:tcPr>
            <w:tcW w:w="10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color w:val="auto"/>
                <w:w w:val="98"/>
              </w:rPr>
              <w:t>Principal</w:t>
            </w:r>
          </w:p>
        </w:tc>
        <w:tc>
          <w:tcPr>
            <w:tcW w:w="100" w:type="dxa"/>
            <w:vAlign w:val="bottom"/>
          </w:tcPr>
          <w:p>
            <w:pPr>
              <w:spacing w:after="0"/>
              <w:rPr>
                <w:sz w:val="14"/>
                <w:szCs w:val="14"/>
                <w:color w:val="auto"/>
              </w:rPr>
            </w:pPr>
          </w:p>
        </w:tc>
        <w:tc>
          <w:tcPr>
            <w:tcW w:w="1280" w:type="dxa"/>
            <w:vAlign w:val="bottom"/>
            <w:gridSpan w:val="2"/>
          </w:tcPr>
          <w:p>
            <w:pPr>
              <w:jc w:val="center"/>
              <w:ind w:right="200"/>
              <w:spacing w:after="0" w:line="165" w:lineRule="exact"/>
              <w:rPr>
                <w:sz w:val="20"/>
                <w:szCs w:val="20"/>
                <w:color w:val="auto"/>
              </w:rPr>
            </w:pPr>
            <w:r>
              <w:rPr>
                <w:rFonts w:ascii="Times New Roman" w:cs="Times New Roman" w:eastAsia="Times New Roman" w:hAnsi="Times New Roman"/>
                <w:sz w:val="18"/>
                <w:szCs w:val="18"/>
                <w:color w:val="auto"/>
                <w:w w:val="97"/>
              </w:rPr>
              <w:t>Unamortized</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Net carrying</w:t>
            </w:r>
          </w:p>
        </w:tc>
        <w:tc>
          <w:tcPr>
            <w:tcW w:w="0" w:type="dxa"/>
            <w:vAlign w:val="bottom"/>
          </w:tcPr>
          <w:p>
            <w:pPr>
              <w:spacing w:after="0"/>
              <w:rPr>
                <w:sz w:val="1"/>
                <w:szCs w:val="1"/>
                <w:color w:val="auto"/>
              </w:rPr>
            </w:pPr>
          </w:p>
        </w:tc>
      </w:tr>
      <w:tr>
        <w:trPr>
          <w:trHeight w:val="172"/>
        </w:trPr>
        <w:tc>
          <w:tcPr>
            <w:tcW w:w="4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220"/>
              <w:spacing w:after="0" w:line="172" w:lineRule="exact"/>
              <w:rPr>
                <w:sz w:val="20"/>
                <w:szCs w:val="20"/>
                <w:color w:val="auto"/>
              </w:rPr>
            </w:pPr>
            <w:r>
              <w:rPr>
                <w:rFonts w:ascii="Times New Roman" w:cs="Times New Roman" w:eastAsia="Times New Roman" w:hAnsi="Times New Roman"/>
                <w:sz w:val="18"/>
                <w:szCs w:val="18"/>
                <w:color w:val="auto"/>
                <w:w w:val="96"/>
              </w:rPr>
              <w:t>deferred</w:t>
            </w:r>
          </w:p>
        </w:tc>
        <w:tc>
          <w:tcPr>
            <w:tcW w:w="11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220"/>
              <w:spacing w:after="0" w:line="172" w:lineRule="exact"/>
              <w:rPr>
                <w:sz w:val="20"/>
                <w:szCs w:val="20"/>
                <w:color w:val="auto"/>
              </w:rPr>
            </w:pPr>
            <w:r>
              <w:rPr>
                <w:rFonts w:ascii="Times New Roman" w:cs="Times New Roman" w:eastAsia="Times New Roman" w:hAnsi="Times New Roman"/>
                <w:sz w:val="18"/>
                <w:szCs w:val="18"/>
                <w:color w:val="auto"/>
                <w:w w:val="96"/>
              </w:rPr>
              <w:t>deferred</w:t>
            </w: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balance</w:t>
            </w:r>
          </w:p>
        </w:tc>
        <w:tc>
          <w:tcPr>
            <w:tcW w:w="100" w:type="dxa"/>
            <w:vAlign w:val="bottom"/>
          </w:tcPr>
          <w:p>
            <w:pPr>
              <w:spacing w:after="0"/>
              <w:rPr>
                <w:sz w:val="20"/>
                <w:szCs w:val="20"/>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financing costs</w:t>
            </w:r>
          </w:p>
        </w:tc>
        <w:tc>
          <w:tcPr>
            <w:tcW w:w="140" w:type="dxa"/>
            <w:vAlign w:val="bottom"/>
          </w:tcPr>
          <w:p>
            <w:pPr>
              <w:spacing w:after="0"/>
              <w:rPr>
                <w:sz w:val="20"/>
                <w:szCs w:val="20"/>
                <w:color w:val="auto"/>
              </w:rPr>
            </w:pPr>
          </w:p>
        </w:tc>
        <w:tc>
          <w:tcPr>
            <w:tcW w:w="980" w:type="dxa"/>
            <w:vAlign w:val="bottom"/>
            <w:gridSpan w:val="2"/>
          </w:tcPr>
          <w:p>
            <w:pPr>
              <w:jc w:val="center"/>
              <w:ind w:right="260"/>
              <w:spacing w:after="0" w:line="238" w:lineRule="exact"/>
              <w:rPr>
                <w:sz w:val="20"/>
                <w:szCs w:val="20"/>
                <w:color w:val="auto"/>
              </w:rPr>
            </w:pPr>
            <w:r>
              <w:rPr>
                <w:rFonts w:ascii="Times New Roman" w:cs="Times New Roman" w:eastAsia="Times New Roman" w:hAnsi="Times New Roman"/>
                <w:sz w:val="18"/>
                <w:szCs w:val="18"/>
                <w:color w:val="auto"/>
                <w:w w:val="97"/>
              </w:rPr>
              <w:t>amount</w:t>
            </w:r>
            <w:r>
              <w:rPr>
                <w:rFonts w:ascii="Times New Roman" w:cs="Times New Roman" w:eastAsia="Times New Roman" w:hAnsi="Times New Roman"/>
                <w:sz w:val="22"/>
                <w:szCs w:val="22"/>
                <w:color w:val="auto"/>
                <w:w w:val="97"/>
                <w:vertAlign w:val="superscript"/>
              </w:rPr>
              <w:t>1</w:t>
            </w:r>
          </w:p>
        </w:tc>
        <w:tc>
          <w:tcPr>
            <w:tcW w:w="160" w:type="dxa"/>
            <w:vAlign w:val="bottom"/>
          </w:tcPr>
          <w:p>
            <w:pPr>
              <w:spacing w:after="0"/>
              <w:rPr>
                <w:sz w:val="20"/>
                <w:szCs w:val="20"/>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balance</w:t>
            </w:r>
          </w:p>
        </w:tc>
        <w:tc>
          <w:tcPr>
            <w:tcW w:w="100" w:type="dxa"/>
            <w:vAlign w:val="bottom"/>
          </w:tcPr>
          <w:p>
            <w:pPr>
              <w:spacing w:after="0"/>
              <w:rPr>
                <w:sz w:val="20"/>
                <w:szCs w:val="20"/>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financing costs</w:t>
            </w:r>
          </w:p>
        </w:tc>
        <w:tc>
          <w:tcPr>
            <w:tcW w:w="140" w:type="dxa"/>
            <w:vAlign w:val="bottom"/>
          </w:tcPr>
          <w:p>
            <w:pPr>
              <w:spacing w:after="0"/>
              <w:rPr>
                <w:sz w:val="20"/>
                <w:szCs w:val="20"/>
                <w:color w:val="auto"/>
              </w:rPr>
            </w:pPr>
          </w:p>
        </w:tc>
        <w:tc>
          <w:tcPr>
            <w:tcW w:w="880" w:type="dxa"/>
            <w:vAlign w:val="bottom"/>
          </w:tcPr>
          <w:p>
            <w:pPr>
              <w:jc w:val="right"/>
              <w:ind w:right="132"/>
              <w:spacing w:after="0" w:line="238" w:lineRule="exact"/>
              <w:rPr>
                <w:sz w:val="20"/>
                <w:szCs w:val="20"/>
                <w:color w:val="auto"/>
              </w:rPr>
            </w:pPr>
            <w:r>
              <w:rPr>
                <w:rFonts w:ascii="Times New Roman" w:cs="Times New Roman" w:eastAsia="Times New Roman" w:hAnsi="Times New Roman"/>
                <w:sz w:val="18"/>
                <w:szCs w:val="18"/>
                <w:color w:val="auto"/>
              </w:rPr>
              <w:t>amount</w:t>
            </w:r>
            <w:r>
              <w:rPr>
                <w:rFonts w:ascii="Times New Roman" w:cs="Times New Roman" w:eastAsia="Times New Roman" w:hAnsi="Times New Roman"/>
                <w:sz w:val="22"/>
                <w:szCs w:val="22"/>
                <w:color w:val="auto"/>
                <w:vertAlign w:val="superscript"/>
              </w:rPr>
              <w:t>1</w:t>
            </w:r>
          </w:p>
        </w:tc>
        <w:tc>
          <w:tcPr>
            <w:tcW w:w="0" w:type="dxa"/>
            <w:vAlign w:val="bottom"/>
          </w:tcPr>
          <w:p>
            <w:pPr>
              <w:spacing w:after="0"/>
              <w:rPr>
                <w:sz w:val="1"/>
                <w:szCs w:val="1"/>
                <w:color w:val="auto"/>
              </w:rPr>
            </w:pPr>
          </w:p>
        </w:tc>
      </w:tr>
      <w:tr>
        <w:trPr>
          <w:trHeight w:val="205"/>
        </w:trPr>
        <w:tc>
          <w:tcPr>
            <w:tcW w:w="372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Bank Borrowings:</w:t>
            </w: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NMS Webster Note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32,688</w:t>
            </w:r>
          </w:p>
        </w:tc>
        <w:tc>
          <w:tcPr>
            <w:tcW w:w="0" w:type="dxa"/>
            <w:vAlign w:val="bottom"/>
          </w:tcPr>
          <w:p>
            <w:pPr>
              <w:spacing w:after="0"/>
              <w:rPr>
                <w:sz w:val="1"/>
                <w:szCs w:val="1"/>
                <w:color w:val="auto"/>
              </w:rPr>
            </w:pPr>
          </w:p>
        </w:tc>
      </w:tr>
      <w:tr>
        <w:trPr>
          <w:trHeight w:val="225"/>
        </w:trPr>
        <w:tc>
          <w:tcPr>
            <w:tcW w:w="3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SPV I Capital One Facility</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21,192</w:t>
            </w:r>
          </w:p>
        </w:tc>
        <w:tc>
          <w:tcPr>
            <w:tcW w:w="0" w:type="dxa"/>
            <w:vAlign w:val="bottom"/>
          </w:tcPr>
          <w:p>
            <w:pPr>
              <w:spacing w:after="0"/>
              <w:rPr>
                <w:sz w:val="1"/>
                <w:szCs w:val="1"/>
                <w:color w:val="auto"/>
              </w:rPr>
            </w:pPr>
          </w:p>
        </w:tc>
      </w:tr>
      <w:tr>
        <w:trPr>
          <w:trHeight w:val="225"/>
        </w:trPr>
        <w:tc>
          <w:tcPr>
            <w:tcW w:w="3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SPV II Deutsche Bank Facility</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54,036</w:t>
            </w:r>
          </w:p>
        </w:tc>
        <w:tc>
          <w:tcPr>
            <w:tcW w:w="0" w:type="dxa"/>
            <w:vAlign w:val="bottom"/>
          </w:tcPr>
          <w:p>
            <w:pPr>
              <w:spacing w:after="0"/>
              <w:rPr>
                <w:sz w:val="1"/>
                <w:szCs w:val="1"/>
                <w:color w:val="auto"/>
              </w:rPr>
            </w:pPr>
          </w:p>
        </w:tc>
      </w:tr>
      <w:tr>
        <w:trPr>
          <w:trHeight w:val="225"/>
        </w:trPr>
        <w:tc>
          <w:tcPr>
            <w:tcW w:w="3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SPV III One Florida Bank Facility</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23,011</w:t>
            </w:r>
          </w:p>
        </w:tc>
        <w:tc>
          <w:tcPr>
            <w:tcW w:w="0" w:type="dxa"/>
            <w:vAlign w:val="bottom"/>
          </w:tcPr>
          <w:p>
            <w:pPr>
              <w:spacing w:after="0"/>
              <w:rPr>
                <w:sz w:val="1"/>
                <w:szCs w:val="1"/>
                <w:color w:val="auto"/>
              </w:rPr>
            </w:pPr>
          </w:p>
        </w:tc>
      </w:tr>
      <w:tr>
        <w:trPr>
          <w:trHeight w:val="225"/>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 Company Notes:</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720" w:type="dxa"/>
            <w:vAlign w:val="bottom"/>
            <w:gridSpan w:val="2"/>
          </w:tcPr>
          <w:p>
            <w:pPr>
              <w:ind w:left="120"/>
              <w:spacing w:after="0" w:line="225" w:lineRule="exact"/>
              <w:rPr>
                <w:sz w:val="20"/>
                <w:szCs w:val="20"/>
                <w:color w:val="auto"/>
              </w:rPr>
            </w:pPr>
            <w:r>
              <w:rPr>
                <w:rFonts w:ascii="Times New Roman" w:cs="Times New Roman" w:eastAsia="Times New Roman" w:hAnsi="Times New Roman"/>
                <w:sz w:val="18"/>
                <w:szCs w:val="18"/>
                <w:color w:val="auto"/>
              </w:rPr>
              <w:t>2025 Notes (5.00%)</w:t>
            </w:r>
            <w:r>
              <w:rPr>
                <w:rFonts w:ascii="Times New Roman" w:cs="Times New Roman" w:eastAsia="Times New Roman" w:hAnsi="Times New Roman"/>
                <w:sz w:val="22"/>
                <w:szCs w:val="22"/>
                <w:color w:val="auto"/>
                <w:vertAlign w:val="superscript"/>
              </w:rPr>
              <w:t>2</w:t>
            </w: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29,913</w:t>
            </w:r>
          </w:p>
        </w:tc>
        <w:tc>
          <w:tcPr>
            <w:tcW w:w="0" w:type="dxa"/>
            <w:vAlign w:val="bottom"/>
          </w:tcPr>
          <w:p>
            <w:pPr>
              <w:spacing w:after="0"/>
              <w:rPr>
                <w:sz w:val="1"/>
                <w:szCs w:val="1"/>
                <w:color w:val="auto"/>
              </w:rPr>
            </w:pPr>
          </w:p>
        </w:tc>
      </w:tr>
      <w:tr>
        <w:trPr>
          <w:trHeight w:val="225"/>
        </w:trPr>
        <w:tc>
          <w:tcPr>
            <w:tcW w:w="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4"/>
              </w:rPr>
              <w:t>2026</w:t>
            </w:r>
          </w:p>
        </w:tc>
        <w:tc>
          <w:tcPr>
            <w:tcW w:w="3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(5.50%)</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114,282</w:t>
            </w:r>
          </w:p>
        </w:tc>
        <w:tc>
          <w:tcPr>
            <w:tcW w:w="0" w:type="dxa"/>
            <w:vAlign w:val="bottom"/>
          </w:tcPr>
          <w:p>
            <w:pPr>
              <w:spacing w:after="0"/>
              <w:rPr>
                <w:sz w:val="1"/>
                <w:szCs w:val="1"/>
                <w:color w:val="auto"/>
              </w:rPr>
            </w:pPr>
          </w:p>
        </w:tc>
      </w:tr>
      <w:tr>
        <w:trPr>
          <w:trHeight w:val="225"/>
        </w:trPr>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4"/>
              </w:rPr>
              <w:t>2027</w:t>
            </w:r>
          </w:p>
        </w:tc>
        <w:tc>
          <w:tcPr>
            <w:tcW w:w="3240" w:type="dxa"/>
            <w:vAlign w:val="bottom"/>
          </w:tcPr>
          <w:p>
            <w:pPr>
              <w:ind w:left="40"/>
              <w:spacing w:after="0" w:line="225" w:lineRule="exact"/>
              <w:rPr>
                <w:sz w:val="20"/>
                <w:szCs w:val="20"/>
                <w:color w:val="auto"/>
              </w:rPr>
            </w:pPr>
            <w:r>
              <w:rPr>
                <w:rFonts w:ascii="Times New Roman" w:cs="Times New Roman" w:eastAsia="Times New Roman" w:hAnsi="Times New Roman"/>
                <w:sz w:val="18"/>
                <w:szCs w:val="18"/>
                <w:color w:val="auto"/>
              </w:rPr>
              <w:t>Notes (8.125%)</w:t>
            </w:r>
            <w:r>
              <w:rPr>
                <w:rFonts w:ascii="Times New Roman" w:cs="Times New Roman" w:eastAsia="Times New Roman" w:hAnsi="Times New Roman"/>
                <w:sz w:val="22"/>
                <w:szCs w:val="22"/>
                <w:color w:val="auto"/>
                <w:vertAlign w:val="superscript"/>
              </w:rPr>
              <w:t>3</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49,944</w:t>
            </w:r>
          </w:p>
        </w:tc>
        <w:tc>
          <w:tcPr>
            <w:tcW w:w="0" w:type="dxa"/>
            <w:vAlign w:val="bottom"/>
          </w:tcPr>
          <w:p>
            <w:pPr>
              <w:spacing w:after="0"/>
              <w:rPr>
                <w:sz w:val="1"/>
                <w:szCs w:val="1"/>
                <w:color w:val="auto"/>
              </w:rPr>
            </w:pPr>
          </w:p>
        </w:tc>
      </w:tr>
      <w:tr>
        <w:trPr>
          <w:trHeight w:val="225"/>
        </w:trPr>
        <w:tc>
          <w:tcPr>
            <w:tcW w:w="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4"/>
              </w:rPr>
              <w:t>2028</w:t>
            </w:r>
          </w:p>
        </w:tc>
        <w:tc>
          <w:tcPr>
            <w:tcW w:w="3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(8.00%)</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38,726</w:t>
            </w:r>
          </w:p>
        </w:tc>
        <w:tc>
          <w:tcPr>
            <w:tcW w:w="0" w:type="dxa"/>
            <w:vAlign w:val="bottom"/>
          </w:tcPr>
          <w:p>
            <w:pPr>
              <w:spacing w:after="0"/>
              <w:rPr>
                <w:sz w:val="1"/>
                <w:szCs w:val="1"/>
                <w:color w:val="auto"/>
              </w:rPr>
            </w:pPr>
          </w:p>
        </w:tc>
      </w:tr>
      <w:tr>
        <w:trPr>
          <w:trHeight w:val="225"/>
        </w:trPr>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4"/>
              </w:rPr>
              <w:t>2029</w:t>
            </w:r>
          </w:p>
        </w:tc>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(8.50%)</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71,875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71,875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69,622</w:t>
            </w:r>
          </w:p>
        </w:tc>
        <w:tc>
          <w:tcPr>
            <w:tcW w:w="0" w:type="dxa"/>
            <w:vAlign w:val="bottom"/>
          </w:tcPr>
          <w:p>
            <w:pPr>
              <w:spacing w:after="0"/>
              <w:rPr>
                <w:sz w:val="1"/>
                <w:szCs w:val="1"/>
                <w:color w:val="auto"/>
              </w:rPr>
            </w:pPr>
          </w:p>
        </w:tc>
      </w:tr>
      <w:tr>
        <w:trPr>
          <w:trHeight w:val="225"/>
        </w:trPr>
        <w:tc>
          <w:tcPr>
            <w:tcW w:w="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4"/>
              </w:rPr>
              <w:t>2029</w:t>
            </w:r>
          </w:p>
        </w:tc>
        <w:tc>
          <w:tcPr>
            <w:tcW w:w="3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(8.625%)</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72,662</w:t>
            </w:r>
          </w:p>
        </w:tc>
        <w:tc>
          <w:tcPr>
            <w:tcW w:w="0" w:type="dxa"/>
            <w:vAlign w:val="bottom"/>
          </w:tcPr>
          <w:p>
            <w:pPr>
              <w:spacing w:after="0"/>
              <w:rPr>
                <w:sz w:val="1"/>
                <w:szCs w:val="1"/>
                <w:color w:val="auto"/>
              </w:rPr>
            </w:pPr>
          </w:p>
        </w:tc>
      </w:tr>
      <w:tr>
        <w:trPr>
          <w:trHeight w:val="225"/>
        </w:trPr>
        <w:tc>
          <w:tcPr>
            <w:tcW w:w="3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2030 Notes (8.375%)</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 - Securitization Trusts</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159,635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189,231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186,635</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180" w:hanging="174"/>
        <w:spacing w:after="0"/>
        <w:tabs>
          <w:tab w:leader="none" w:pos="180"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Net of deferred financing costs.</w:t>
      </w:r>
    </w:p>
    <w:p>
      <w:pPr>
        <w:ind w:left="280" w:hanging="274"/>
        <w:spacing w:after="0" w:line="191" w:lineRule="auto"/>
        <w:tabs>
          <w:tab w:leader="none" w:pos="280" w:val="left"/>
        </w:tabs>
        <w:numPr>
          <w:ilvl w:val="0"/>
          <w:numId w:val="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On March 31, 2025, the 2025 5.00% Notes matured.</w:t>
      </w:r>
    </w:p>
    <w:p>
      <w:pPr>
        <w:spacing w:after="0" w:line="4" w:lineRule="exact"/>
        <w:rPr>
          <w:sz w:val="20"/>
          <w:szCs w:val="20"/>
          <w:color w:val="auto"/>
        </w:rPr>
      </w:pPr>
    </w:p>
    <w:p>
      <w:pPr>
        <w:ind w:left="160" w:right="220" w:hanging="154"/>
        <w:spacing w:after="0" w:line="247" w:lineRule="auto"/>
        <w:tabs>
          <w:tab w:leader="none" w:pos="26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December 11, 2024, the Company entered into the Amendment and Exchange Agreements with each of the holders of the 2025 8.125% Notes, pursuant to which the Company and the holders of the 2025 8.125% Notes agreed to exchange the 2025 8.125% Notes for the 2027 Notes.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2030 Notes</w:t>
      </w:r>
    </w:p>
    <w:p>
      <w:pPr>
        <w:spacing w:after="0" w:line="24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7"/>
          <w:szCs w:val="17"/>
          <w:color w:val="auto"/>
        </w:rPr>
        <w:t>On March 19, 2025, the Company closed an exempt offering of $30.0 million in aggregate principal amount of its 2030 Notes. The offering was consummated pursuant to the terms of a purchase agreement dated March 19, 2025 among the Company and eleven institutional accredited investors (each a “Purchaser”). Pursuant to the purchase agreement, the 2030 Notes were issued to the Purchaser in a private placement in reliance on Section 4(a)(2) of the Securities Act of 1933, as amended (the “Securities Act”). The 2030 Notes are scheduled to mature on April 1, 2030 and can be redeemed in whole or in part at any time, at a make-whole price prior to January 1, 2030, or at a price equal to 100% of the principal amount of the Notes to be redeemed, plus accrued and unpaid interest, if any, thereafter. The 2030 Notes bear interest at a rate of 8.375% per year payable semiannually on April 1 and October 1 each year, beginning October 1, 2025. Total net proceeds received after deducting structuring fees and estimated offering expenses was approximately $29.25 million.</w:t>
      </w:r>
    </w:p>
    <w:p>
      <w:pPr>
        <w:spacing w:after="0" w:line="200" w:lineRule="exact"/>
        <w:rPr>
          <w:sz w:val="20"/>
          <w:szCs w:val="20"/>
          <w:color w:val="auto"/>
        </w:rPr>
      </w:pPr>
    </w:p>
    <w:p>
      <w:pPr>
        <w:spacing w:after="0" w:line="213"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8"/>
          <w:szCs w:val="18"/>
          <w:color w:val="auto"/>
        </w:rPr>
        <w:t>Total interest expense including unused line fees and amortization of deferred financing costs related to borrowings for the three and six months ended June 30, 2025 and 2024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880" w:type="dxa"/>
            <w:vAlign w:val="bottom"/>
          </w:tcPr>
          <w:p>
            <w:pPr>
              <w:spacing w:after="0"/>
              <w:rPr>
                <w:sz w:val="20"/>
                <w:szCs w:val="20"/>
                <w:color w:val="auto"/>
              </w:rPr>
            </w:pPr>
          </w:p>
        </w:tc>
        <w:tc>
          <w:tcPr>
            <w:tcW w:w="3220" w:type="dxa"/>
            <w:vAlign w:val="bottom"/>
            <w:gridSpan w:val="6"/>
          </w:tcPr>
          <w:p>
            <w:pPr>
              <w:ind w:left="4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20" w:type="dxa"/>
            <w:vAlign w:val="bottom"/>
          </w:tcPr>
          <w:p>
            <w:pPr>
              <w:spacing w:after="0"/>
              <w:rPr>
                <w:sz w:val="20"/>
                <w:szCs w:val="20"/>
                <w:color w:val="auto"/>
              </w:rPr>
            </w:pPr>
          </w:p>
        </w:tc>
        <w:tc>
          <w:tcPr>
            <w:tcW w:w="2820" w:type="dxa"/>
            <w:vAlign w:val="bottom"/>
            <w:gridSpan w:val="4"/>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18"/>
        </w:trPr>
        <w:tc>
          <w:tcPr>
            <w:tcW w:w="488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8"/>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94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13,238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12—DERIVATIVE INSTRUMENTS:</w:t>
      </w:r>
    </w:p>
    <w:p>
      <w:pPr>
        <w:spacing w:after="0" w:line="244"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7"/>
          <w:szCs w:val="17"/>
          <w:color w:val="auto"/>
        </w:rPr>
        <w:t>The Company historically uses derivative instruments primarily to economically manage the fair value variability of certain fixed rate assets caused by interest rate fluctuations and overall portfolio market risk. The following is a breakdown of the derivatives outstanding as of June 30, 2025 and December 31, 2024:</w:t>
      </w: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100" w:type="dxa"/>
            <w:vAlign w:val="bottom"/>
          </w:tcPr>
          <w:p>
            <w:pPr>
              <w:spacing w:after="0"/>
              <w:rPr>
                <w:sz w:val="16"/>
                <w:szCs w:val="16"/>
                <w:color w:val="auto"/>
              </w:rPr>
            </w:pPr>
          </w:p>
        </w:tc>
      </w:tr>
      <w:tr>
        <w:trPr>
          <w:trHeight w:val="24"/>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20" w:type="dxa"/>
            <w:vAlign w:val="bottom"/>
            <w:gridSpan w:val="5"/>
          </w:tcPr>
          <w:p>
            <w:pPr>
              <w:spacing w:after="0"/>
              <w:rPr>
                <w:sz w:val="2"/>
                <w:szCs w:val="2"/>
                <w:color w:val="auto"/>
              </w:rPr>
            </w:pPr>
          </w:p>
        </w:tc>
        <w:tc>
          <w:tcPr>
            <w:tcW w:w="1340" w:type="dxa"/>
            <w:vAlign w:val="bottom"/>
            <w:gridSpan w:val="3"/>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20" w:type="dxa"/>
            <w:vAlign w:val="bottom"/>
            <w:gridSpan w:val="5"/>
          </w:tcPr>
          <w:p>
            <w:pPr>
              <w:spacing w:after="0"/>
              <w:rPr>
                <w:sz w:val="2"/>
                <w:szCs w:val="2"/>
                <w:color w:val="auto"/>
              </w:rPr>
            </w:pPr>
          </w:p>
        </w:tc>
        <w:tc>
          <w:tcPr>
            <w:tcW w:w="1100" w:type="dxa"/>
            <w:vAlign w:val="bottom"/>
          </w:tcPr>
          <w:p>
            <w:pPr>
              <w:spacing w:after="0"/>
              <w:rPr>
                <w:sz w:val="2"/>
                <w:szCs w:val="2"/>
                <w:color w:val="auto"/>
              </w:rPr>
            </w:pPr>
          </w:p>
        </w:tc>
      </w:tr>
      <w:tr>
        <w:trPr>
          <w:trHeight w:val="185"/>
        </w:trPr>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920" w:type="dxa"/>
            <w:vAlign w:val="bottom"/>
            <w:tcBorders>
              <w:top w:val="single" w:sz="8" w:color="auto"/>
            </w:tcBorders>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920" w:type="dxa"/>
            <w:vAlign w:val="bottom"/>
            <w:tcBorders>
              <w:top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Remaining</w:t>
            </w:r>
          </w:p>
        </w:tc>
      </w:tr>
      <w:tr>
        <w:trPr>
          <w:trHeight w:val="192"/>
        </w:trPr>
        <w:tc>
          <w:tcPr>
            <w:tcW w:w="2360" w:type="dxa"/>
            <w:vAlign w:val="bottom"/>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Contract Type</w:t>
            </w:r>
          </w:p>
        </w:tc>
        <w:tc>
          <w:tcPr>
            <w:tcW w:w="180" w:type="dxa"/>
            <w:vAlign w:val="bottom"/>
          </w:tcPr>
          <w:p>
            <w:pPr>
              <w:spacing w:after="0"/>
              <w:rPr>
                <w:sz w:val="16"/>
                <w:szCs w:val="16"/>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Notional</w:t>
            </w:r>
            <w:r>
              <w:rPr>
                <w:rFonts w:ascii="Times New Roman" w:cs="Times New Roman" w:eastAsia="Times New Roman" w:hAnsi="Times New Roman"/>
                <w:sz w:val="9"/>
                <w:szCs w:val="9"/>
                <w:b w:val="1"/>
                <w:bCs w:val="1"/>
                <w:color w:val="auto"/>
              </w:rPr>
              <w:t>1</w:t>
            </w: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Asset</w:t>
            </w:r>
            <w:r>
              <w:rPr>
                <w:rFonts w:ascii="Times New Roman" w:cs="Times New Roman" w:eastAsia="Times New Roman" w:hAnsi="Times New Roman"/>
                <w:sz w:val="9"/>
                <w:szCs w:val="9"/>
                <w:b w:val="1"/>
                <w:bCs w:val="1"/>
                <w:color w:val="auto"/>
              </w:rPr>
              <w:t>2</w:t>
            </w:r>
          </w:p>
        </w:tc>
        <w:tc>
          <w:tcPr>
            <w:tcW w:w="82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Liability</w:t>
            </w:r>
            <w:r>
              <w:rPr>
                <w:rFonts w:ascii="Times New Roman" w:cs="Times New Roman" w:eastAsia="Times New Roman" w:hAnsi="Times New Roman"/>
                <w:sz w:val="9"/>
                <w:szCs w:val="9"/>
                <w:b w:val="1"/>
                <w:bCs w:val="1"/>
                <w:color w:val="auto"/>
              </w:rPr>
              <w:t>3</w:t>
            </w:r>
          </w:p>
        </w:tc>
        <w:tc>
          <w:tcPr>
            <w:tcW w:w="100" w:type="dxa"/>
            <w:vAlign w:val="bottom"/>
          </w:tcPr>
          <w:p>
            <w:pPr>
              <w:spacing w:after="0"/>
              <w:rPr>
                <w:sz w:val="16"/>
                <w:szCs w:val="16"/>
                <w:color w:val="auto"/>
              </w:rPr>
            </w:pPr>
          </w:p>
        </w:tc>
        <w:tc>
          <w:tcPr>
            <w:tcW w:w="1340" w:type="dxa"/>
            <w:vAlign w:val="bottom"/>
            <w:gridSpan w:val="3"/>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Maturity (years)</w:t>
            </w: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Notional</w:t>
            </w:r>
            <w:r>
              <w:rPr>
                <w:rFonts w:ascii="Times New Roman" w:cs="Times New Roman" w:eastAsia="Times New Roman" w:hAnsi="Times New Roman"/>
                <w:sz w:val="9"/>
                <w:szCs w:val="9"/>
                <w:b w:val="1"/>
                <w:bCs w:val="1"/>
                <w:color w:val="auto"/>
              </w:rPr>
              <w:t>1</w:t>
            </w:r>
          </w:p>
        </w:tc>
        <w:tc>
          <w:tcPr>
            <w:tcW w:w="1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Asset</w:t>
            </w:r>
            <w:r>
              <w:rPr>
                <w:rFonts w:ascii="Times New Roman" w:cs="Times New Roman" w:eastAsia="Times New Roman" w:hAnsi="Times New Roman"/>
                <w:sz w:val="9"/>
                <w:szCs w:val="9"/>
                <w:b w:val="1"/>
                <w:bCs w:val="1"/>
                <w:color w:val="auto"/>
              </w:rPr>
              <w:t>2</w:t>
            </w: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Liability</w:t>
            </w:r>
            <w:r>
              <w:rPr>
                <w:rFonts w:ascii="Times New Roman" w:cs="Times New Roman" w:eastAsia="Times New Roman" w:hAnsi="Times New Roman"/>
                <w:sz w:val="9"/>
                <w:szCs w:val="9"/>
                <w:b w:val="1"/>
                <w:bCs w:val="1"/>
                <w:color w:val="auto"/>
              </w:rPr>
              <w:t>3</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 (years)</w:t>
            </w:r>
          </w:p>
        </w:tc>
      </w:tr>
      <w:tr>
        <w:trPr>
          <w:trHeight w:val="224"/>
        </w:trPr>
        <w:tc>
          <w:tcPr>
            <w:tcW w:w="2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5-year Treasury Futures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(92,919)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7"/>
              </w:rPr>
              <w:t>0.25 years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(153,049)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9"/>
              </w:rPr>
              <w:t>0.25 years</w:t>
            </w:r>
          </w:p>
        </w:tc>
      </w:tr>
    </w:tbl>
    <w:p>
      <w:pPr>
        <w:spacing w:after="0" w:line="30" w:lineRule="exact"/>
        <w:rPr>
          <w:sz w:val="20"/>
          <w:szCs w:val="20"/>
          <w:color w:val="auto"/>
        </w:rPr>
      </w:pPr>
    </w:p>
    <w:p>
      <w:pPr>
        <w:ind w:left="180" w:hanging="174"/>
        <w:spacing w:after="0"/>
        <w:tabs>
          <w:tab w:leader="none" w:pos="180"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Shown as a negative number when the position is sold short.</w:t>
      </w:r>
    </w:p>
    <w:p>
      <w:pPr>
        <w:ind w:left="280" w:hanging="274"/>
        <w:spacing w:after="0" w:line="191" w:lineRule="auto"/>
        <w:tabs>
          <w:tab w:leader="none" w:pos="280" w:val="left"/>
        </w:tabs>
        <w:numPr>
          <w:ilvl w:val="0"/>
          <w:numId w:val="3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Shown in Other assets in the accompanying Consolidated Statements of Financial Condition.</w:t>
      </w:r>
    </w:p>
    <w:p>
      <w:pPr>
        <w:ind w:left="240" w:hanging="234"/>
        <w:spacing w:after="0" w:line="200" w:lineRule="auto"/>
        <w:tabs>
          <w:tab w:leader="none" w:pos="240"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Shown in Accounts payable, accrued expenses, and other liabilities in the accompanying Consolidated Statements of Financial Condition.</w:t>
      </w:r>
    </w:p>
    <w:p>
      <w:pPr>
        <w:spacing w:after="0" w:line="221"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8"/>
          <w:szCs w:val="18"/>
          <w:color w:val="auto"/>
        </w:rPr>
        <w:t>The following table indicates the net realized gains (losses) and unrealized appreciation (depreciation) on derivatives as included in Other noninterest income in the Consolidated Statements of Income for the three and six months ended June 30, 2025 and 2024:</w:t>
      </w: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4"/>
        </w:trPr>
        <w:tc>
          <w:tcPr>
            <w:tcW w:w="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5"/>
        </w:trPr>
        <w:tc>
          <w:tcPr>
            <w:tcW w:w="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left="427"/>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760" w:type="dxa"/>
            <w:vAlign w:val="bottom"/>
            <w:tcBorders>
              <w:bottom w:val="single" w:sz="8" w:color="auto"/>
            </w:tcBorders>
          </w:tcPr>
          <w:p>
            <w:pPr>
              <w:spacing w:after="0"/>
              <w:rPr>
                <w:sz w:val="16"/>
                <w:szCs w:val="16"/>
                <w:color w:val="auto"/>
              </w:rPr>
            </w:pPr>
          </w:p>
        </w:tc>
      </w:tr>
      <w:tr>
        <w:trPr>
          <w:trHeight w:val="119"/>
        </w:trPr>
        <w:tc>
          <w:tcPr>
            <w:tcW w:w="9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gridSpan w:val="2"/>
          </w:tcPr>
          <w:p>
            <w:pPr>
              <w:ind w:left="200"/>
              <w:spacing w:after="0" w:line="119" w:lineRule="exact"/>
              <w:rPr>
                <w:sz w:val="20"/>
                <w:szCs w:val="20"/>
                <w:color w:val="auto"/>
              </w:rPr>
            </w:pPr>
            <w:r>
              <w:rPr>
                <w:rFonts w:ascii="Times New Roman" w:cs="Times New Roman" w:eastAsia="Times New Roman" w:hAnsi="Times New Roman"/>
                <w:sz w:val="12"/>
                <w:szCs w:val="12"/>
                <w:b w:val="1"/>
                <w:bCs w:val="1"/>
                <w:color w:val="auto"/>
              </w:rPr>
              <w:t>Unrealized</w:t>
            </w:r>
          </w:p>
        </w:tc>
        <w:tc>
          <w:tcPr>
            <w:tcW w:w="100" w:type="dxa"/>
            <w:vAlign w:val="bottom"/>
          </w:tcPr>
          <w:p>
            <w:pPr>
              <w:spacing w:after="0"/>
              <w:rPr>
                <w:sz w:val="10"/>
                <w:szCs w:val="10"/>
                <w:color w:val="auto"/>
              </w:rPr>
            </w:pPr>
          </w:p>
        </w:tc>
        <w:tc>
          <w:tcPr>
            <w:tcW w:w="760" w:type="dxa"/>
            <w:vAlign w:val="bottom"/>
          </w:tcPr>
          <w:p>
            <w:pPr>
              <w:jc w:val="center"/>
              <w:ind w:right="50"/>
              <w:spacing w:after="0" w:line="119" w:lineRule="exact"/>
              <w:rPr>
                <w:sz w:val="20"/>
                <w:szCs w:val="20"/>
                <w:color w:val="auto"/>
              </w:rPr>
            </w:pPr>
            <w:r>
              <w:rPr>
                <w:rFonts w:ascii="Times New Roman" w:cs="Times New Roman" w:eastAsia="Times New Roman" w:hAnsi="Times New Roman"/>
                <w:sz w:val="12"/>
                <w:szCs w:val="12"/>
                <w:b w:val="1"/>
                <w:bCs w:val="1"/>
                <w:color w:val="auto"/>
                <w:w w:val="99"/>
              </w:rPr>
              <w:t>Realized</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20" w:type="dxa"/>
            <w:vAlign w:val="bottom"/>
            <w:gridSpan w:val="2"/>
          </w:tcPr>
          <w:p>
            <w:pPr>
              <w:ind w:left="180"/>
              <w:spacing w:after="0" w:line="119" w:lineRule="exact"/>
              <w:rPr>
                <w:sz w:val="20"/>
                <w:szCs w:val="20"/>
                <w:color w:val="auto"/>
              </w:rPr>
            </w:pPr>
            <w:r>
              <w:rPr>
                <w:rFonts w:ascii="Times New Roman" w:cs="Times New Roman" w:eastAsia="Times New Roman" w:hAnsi="Times New Roman"/>
                <w:sz w:val="12"/>
                <w:szCs w:val="12"/>
                <w:b w:val="1"/>
                <w:bCs w:val="1"/>
                <w:color w:val="auto"/>
              </w:rPr>
              <w:t>Unrealized</w:t>
            </w:r>
          </w:p>
        </w:tc>
        <w:tc>
          <w:tcPr>
            <w:tcW w:w="120" w:type="dxa"/>
            <w:vAlign w:val="bottom"/>
          </w:tcPr>
          <w:p>
            <w:pPr>
              <w:spacing w:after="0"/>
              <w:rPr>
                <w:sz w:val="10"/>
                <w:szCs w:val="10"/>
                <w:color w:val="auto"/>
              </w:rPr>
            </w:pPr>
          </w:p>
        </w:tc>
        <w:tc>
          <w:tcPr>
            <w:tcW w:w="760" w:type="dxa"/>
            <w:vAlign w:val="bottom"/>
          </w:tcPr>
          <w:p>
            <w:pPr>
              <w:jc w:val="center"/>
              <w:ind w:right="70"/>
              <w:spacing w:after="0" w:line="119" w:lineRule="exact"/>
              <w:rPr>
                <w:sz w:val="20"/>
                <w:szCs w:val="20"/>
                <w:color w:val="auto"/>
              </w:rPr>
            </w:pPr>
            <w:r>
              <w:rPr>
                <w:rFonts w:ascii="Times New Roman" w:cs="Times New Roman" w:eastAsia="Times New Roman" w:hAnsi="Times New Roman"/>
                <w:sz w:val="12"/>
                <w:szCs w:val="12"/>
                <w:b w:val="1"/>
                <w:bCs w:val="1"/>
                <w:color w:val="auto"/>
              </w:rPr>
              <w:t>Realized</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gridSpan w:val="2"/>
          </w:tcPr>
          <w:p>
            <w:pPr>
              <w:ind w:left="200"/>
              <w:spacing w:after="0" w:line="119" w:lineRule="exact"/>
              <w:rPr>
                <w:sz w:val="20"/>
                <w:szCs w:val="20"/>
                <w:color w:val="auto"/>
              </w:rPr>
            </w:pPr>
            <w:r>
              <w:rPr>
                <w:rFonts w:ascii="Times New Roman" w:cs="Times New Roman" w:eastAsia="Times New Roman" w:hAnsi="Times New Roman"/>
                <w:sz w:val="12"/>
                <w:szCs w:val="12"/>
                <w:b w:val="1"/>
                <w:bCs w:val="1"/>
                <w:color w:val="auto"/>
              </w:rPr>
              <w:t>Unrealized</w:t>
            </w:r>
          </w:p>
        </w:tc>
        <w:tc>
          <w:tcPr>
            <w:tcW w:w="100" w:type="dxa"/>
            <w:vAlign w:val="bottom"/>
          </w:tcPr>
          <w:p>
            <w:pPr>
              <w:spacing w:after="0"/>
              <w:rPr>
                <w:sz w:val="10"/>
                <w:szCs w:val="10"/>
                <w:color w:val="auto"/>
              </w:rPr>
            </w:pPr>
          </w:p>
        </w:tc>
        <w:tc>
          <w:tcPr>
            <w:tcW w:w="780" w:type="dxa"/>
            <w:vAlign w:val="bottom"/>
          </w:tcPr>
          <w:p>
            <w:pPr>
              <w:jc w:val="center"/>
              <w:ind w:right="50"/>
              <w:spacing w:after="0" w:line="119" w:lineRule="exact"/>
              <w:rPr>
                <w:sz w:val="20"/>
                <w:szCs w:val="20"/>
                <w:color w:val="auto"/>
              </w:rPr>
            </w:pPr>
            <w:r>
              <w:rPr>
                <w:rFonts w:ascii="Times New Roman" w:cs="Times New Roman" w:eastAsia="Times New Roman" w:hAnsi="Times New Roman"/>
                <w:sz w:val="12"/>
                <w:szCs w:val="12"/>
                <w:b w:val="1"/>
                <w:bCs w:val="1"/>
                <w:color w:val="auto"/>
              </w:rPr>
              <w:t>Realized</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gridSpan w:val="2"/>
          </w:tcPr>
          <w:p>
            <w:pPr>
              <w:ind w:left="200"/>
              <w:spacing w:after="0" w:line="119" w:lineRule="exact"/>
              <w:rPr>
                <w:sz w:val="20"/>
                <w:szCs w:val="20"/>
                <w:color w:val="auto"/>
              </w:rPr>
            </w:pPr>
            <w:r>
              <w:rPr>
                <w:rFonts w:ascii="Times New Roman" w:cs="Times New Roman" w:eastAsia="Times New Roman" w:hAnsi="Times New Roman"/>
                <w:sz w:val="12"/>
                <w:szCs w:val="12"/>
                <w:b w:val="1"/>
                <w:bCs w:val="1"/>
                <w:color w:val="auto"/>
              </w:rPr>
              <w:t>Unrealized</w:t>
            </w:r>
          </w:p>
        </w:tc>
        <w:tc>
          <w:tcPr>
            <w:tcW w:w="100" w:type="dxa"/>
            <w:vAlign w:val="bottom"/>
          </w:tcPr>
          <w:p>
            <w:pPr>
              <w:spacing w:after="0"/>
              <w:rPr>
                <w:sz w:val="10"/>
                <w:szCs w:val="10"/>
                <w:color w:val="auto"/>
              </w:rPr>
            </w:pPr>
          </w:p>
        </w:tc>
        <w:tc>
          <w:tcPr>
            <w:tcW w:w="760" w:type="dxa"/>
            <w:vAlign w:val="bottom"/>
          </w:tcPr>
          <w:p>
            <w:pPr>
              <w:jc w:val="center"/>
              <w:ind w:right="30"/>
              <w:spacing w:after="0" w:line="119" w:lineRule="exact"/>
              <w:rPr>
                <w:sz w:val="20"/>
                <w:szCs w:val="20"/>
                <w:color w:val="auto"/>
              </w:rPr>
            </w:pPr>
            <w:r>
              <w:rPr>
                <w:rFonts w:ascii="Times New Roman" w:cs="Times New Roman" w:eastAsia="Times New Roman" w:hAnsi="Times New Roman"/>
                <w:sz w:val="12"/>
                <w:szCs w:val="12"/>
                <w:b w:val="1"/>
                <w:bCs w:val="1"/>
                <w:color w:val="auto"/>
              </w:rPr>
              <w:t>Realized</w:t>
            </w:r>
          </w:p>
        </w:tc>
      </w:tr>
      <w:tr>
        <w:trPr>
          <w:trHeight w:val="178"/>
        </w:trPr>
        <w:tc>
          <w:tcPr>
            <w:tcW w:w="98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Contract Type</w:t>
            </w: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Appreciation/(Depreciation)</w:t>
            </w:r>
          </w:p>
        </w:tc>
        <w:tc>
          <w:tcPr>
            <w:tcW w:w="10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Gain/(Loss)</w:t>
            </w: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Appreciation/(Depreciation)</w:t>
            </w:r>
          </w:p>
        </w:tc>
        <w:tc>
          <w:tcPr>
            <w:tcW w:w="12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Gain/(Loss)</w:t>
            </w: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Appreciation/(Depreciation)</w:t>
            </w:r>
          </w:p>
        </w:tc>
        <w:tc>
          <w:tcPr>
            <w:tcW w:w="100" w:type="dxa"/>
            <w:vAlign w:val="bottom"/>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Gain/(Loss)</w:t>
            </w: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Appreciation/(Depreciation)</w:t>
            </w:r>
          </w:p>
        </w:tc>
        <w:tc>
          <w:tcPr>
            <w:tcW w:w="100" w:type="dxa"/>
            <w:vAlign w:val="bottom"/>
          </w:tcPr>
          <w:p>
            <w:pPr>
              <w:spacing w:after="0"/>
              <w:rPr>
                <w:sz w:val="15"/>
                <w:szCs w:val="15"/>
                <w:color w:val="auto"/>
              </w:rPr>
            </w:pPr>
          </w:p>
        </w:tc>
        <w:tc>
          <w:tcPr>
            <w:tcW w:w="760" w:type="dxa"/>
            <w:vAlign w:val="bottom"/>
          </w:tcPr>
          <w:p>
            <w:pPr>
              <w:jc w:val="center"/>
              <w:ind w:right="30"/>
              <w:spacing w:after="0"/>
              <w:rPr>
                <w:sz w:val="20"/>
                <w:szCs w:val="20"/>
                <w:color w:val="auto"/>
              </w:rPr>
            </w:pPr>
            <w:r>
              <w:rPr>
                <w:rFonts w:ascii="Times New Roman" w:cs="Times New Roman" w:eastAsia="Times New Roman" w:hAnsi="Times New Roman"/>
                <w:sz w:val="12"/>
                <w:szCs w:val="12"/>
                <w:b w:val="1"/>
                <w:bCs w:val="1"/>
                <w:color w:val="auto"/>
              </w:rPr>
              <w:t>Gain/(Loss)</w:t>
            </w:r>
          </w:p>
        </w:tc>
      </w:tr>
      <w:tr>
        <w:trPr>
          <w:trHeight w:val="172"/>
        </w:trPr>
        <w:tc>
          <w:tcPr>
            <w:tcW w:w="980" w:type="dxa"/>
            <w:vAlign w:val="bottom"/>
            <w:tcBorders>
              <w:top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8"/>
                <w:szCs w:val="18"/>
                <w:color w:val="auto"/>
              </w:rPr>
              <w:t>5-year</w:t>
            </w:r>
          </w:p>
        </w:tc>
        <w:tc>
          <w:tcPr>
            <w:tcW w:w="28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r>
      <w:tr>
        <w:trPr>
          <w:trHeight w:val="172"/>
        </w:trPr>
        <w:tc>
          <w:tcPr>
            <w:tcW w:w="98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8"/>
                <w:szCs w:val="18"/>
                <w:color w:val="auto"/>
              </w:rPr>
              <w:t>Treasury</w:t>
            </w: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238"/>
        </w:trPr>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Futures</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755</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r>
    </w:tbl>
    <w:p>
      <w:pPr>
        <w:spacing w:after="0" w:line="36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Collateral posted with our futures counterparty is segregated in the Company’s books and records. Historically, the Company’s counterparty has held cash margin as collateral for derivatives, which is included in restricted cash in the consolidated balance sheets. Interest rate futures are centrally cleared by the Chicago Mercantile Exchange (“CME”) through a futures commission merchant. The Company is required to post initial margin and daily variation margin for interest rate futures that are centrally cleared by CME. CME determines the fair value of our centrally cleared futures, including daily variation margin. Variation margin pledged on the Company’s centrally cleared interest rate futures is settled against the realized results of these futures.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13—COMMITMENTS AND CONTINGENCIES: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and Employment Commitments</w:t>
      </w:r>
    </w:p>
    <w:p>
      <w:pPr>
        <w:spacing w:after="0" w:line="220"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Company leases office space and other office equipment in several states under operating lease agreements which expire at various dates through 2027. Those office space leases which are for more than one year generally contain scheduled rent increases or escalation clauses. In addition, during 2025, the Company entered into one-year employment agreements with its named executive officers.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Terminations</w:t>
      </w:r>
    </w:p>
    <w:p>
      <w:pPr>
        <w:spacing w:after="0" w:line="24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On April 10, 2025, NSBF entered into a Lease Termination and Surrender Agreement with respect to office space leased at 1981 Marcus Avenue, Lake Success, NY 11042, which lease had an expiration date of March 31, 2027, to terminate the lease effective April 30, 2025. In addition, on April 11, 2025, NSBF entered into an Early Termination Agreement to terminate an additional lease for office space at 1985 Marcus Avenue, Lake Success, NY 11042, which lease had an expiration date of March 31, 2027, to terminate the lease effective April 11, 2025.</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60"/>
        <w:spacing w:after="0" w:line="270" w:lineRule="auto"/>
        <w:rPr>
          <w:sz w:val="20"/>
          <w:szCs w:val="20"/>
          <w:color w:val="auto"/>
        </w:rPr>
      </w:pPr>
      <w:r>
        <w:rPr>
          <w:rFonts w:ascii="Times New Roman" w:cs="Times New Roman" w:eastAsia="Times New Roman" w:hAnsi="Times New Roman"/>
          <w:sz w:val="18"/>
          <w:szCs w:val="18"/>
          <w:color w:val="auto"/>
        </w:rPr>
        <w:t>The following summarizes the Company’s obligations and commitments, as of June 30, 2025 for future minimum cash payments required under operating lease and employment agreements: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300" w:type="dxa"/>
            <w:vAlign w:val="bottom"/>
          </w:tcPr>
          <w:p>
            <w:pPr>
              <w:spacing w:after="0"/>
              <w:rPr>
                <w:sz w:val="17"/>
                <w:szCs w:val="17"/>
                <w:color w:val="auto"/>
              </w:rPr>
            </w:pPr>
          </w:p>
        </w:tc>
        <w:tc>
          <w:tcPr>
            <w:tcW w:w="18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80" w:type="dxa"/>
            <w:vAlign w:val="bottom"/>
          </w:tcPr>
          <w:p>
            <w:pPr>
              <w:spacing w:after="0"/>
              <w:rPr>
                <w:sz w:val="17"/>
                <w:szCs w:val="17"/>
                <w:color w:val="auto"/>
              </w:rPr>
            </w:pPr>
          </w:p>
        </w:tc>
        <w:tc>
          <w:tcPr>
            <w:tcW w:w="2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Employment Agreements</w:t>
            </w:r>
            <w:r>
              <w:rPr>
                <w:rFonts w:ascii="Times New Roman" w:cs="Times New Roman" w:eastAsia="Times New Roman" w:hAnsi="Times New Roman"/>
                <w:sz w:val="18"/>
                <w:szCs w:val="18"/>
                <w:b w:val="1"/>
                <w:bCs w:val="1"/>
                <w:color w:val="auto"/>
                <w:vertAlign w:val="superscript"/>
              </w:rPr>
              <w:t>1</w:t>
            </w:r>
          </w:p>
        </w:tc>
        <w:tc>
          <w:tcPr>
            <w:tcW w:w="500" w:type="dxa"/>
            <w:vAlign w:val="bottom"/>
          </w:tcPr>
          <w:p>
            <w:pPr>
              <w:spacing w:after="0"/>
              <w:rPr>
                <w:sz w:val="17"/>
                <w:szCs w:val="17"/>
                <w:color w:val="auto"/>
              </w:rPr>
            </w:pPr>
          </w:p>
        </w:tc>
        <w:tc>
          <w:tcPr>
            <w:tcW w:w="1580" w:type="dxa"/>
            <w:vAlign w:val="bottom"/>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3"/>
        </w:trPr>
        <w:tc>
          <w:tcPr>
            <w:tcW w:w="20" w:type="dxa"/>
            <w:vAlign w:val="bottom"/>
            <w:tcBorders>
              <w:bottom w:val="single" w:sz="8" w:color="CCEEFF"/>
            </w:tcBorders>
          </w:tcPr>
          <w:p>
            <w:pPr>
              <w:spacing w:after="0"/>
              <w:rPr>
                <w:sz w:val="2"/>
                <w:szCs w:val="2"/>
                <w:color w:val="auto"/>
              </w:rPr>
            </w:pPr>
          </w:p>
        </w:tc>
        <w:tc>
          <w:tcPr>
            <w:tcW w:w="280" w:type="dxa"/>
            <w:vAlign w:val="bottom"/>
            <w:tcBorders>
              <w:top w:val="single" w:sz="8" w:color="auto"/>
              <w:bottom w:val="single" w:sz="8" w:color="CCEEFF"/>
            </w:tcBorders>
          </w:tcPr>
          <w:p>
            <w:pPr>
              <w:spacing w:after="0"/>
              <w:rPr>
                <w:sz w:val="2"/>
                <w:szCs w:val="2"/>
                <w:color w:val="auto"/>
              </w:rPr>
            </w:pPr>
          </w:p>
        </w:tc>
        <w:tc>
          <w:tcPr>
            <w:tcW w:w="4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8"/>
        </w:trPr>
        <w:tc>
          <w:tcPr>
            <w:tcW w:w="4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w:t>
            </w:r>
          </w:p>
        </w:tc>
      </w:tr>
      <w:tr>
        <w:trPr>
          <w:trHeight w:val="225"/>
        </w:trPr>
        <w:tc>
          <w:tcPr>
            <w:tcW w:w="4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w:t>
            </w:r>
          </w:p>
        </w:tc>
      </w:tr>
      <w:tr>
        <w:trPr>
          <w:trHeight w:val="225"/>
        </w:trPr>
        <w:tc>
          <w:tcPr>
            <w:tcW w:w="4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25"/>
        </w:trPr>
        <w:tc>
          <w:tcPr>
            <w:tcW w:w="4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25"/>
        </w:trPr>
        <w:tc>
          <w:tcPr>
            <w:tcW w:w="4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25"/>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w:t>
            </w:r>
          </w:p>
        </w:tc>
      </w:tr>
      <w:tr>
        <w:trPr>
          <w:trHeight w:val="243"/>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7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5" w:lineRule="exact"/>
        <w:rPr>
          <w:sz w:val="20"/>
          <w:szCs w:val="20"/>
          <w:color w:val="auto"/>
        </w:rPr>
      </w:pPr>
    </w:p>
    <w:p>
      <w:pPr>
        <w:ind w:left="180" w:hanging="174"/>
        <w:spacing w:after="0"/>
        <w:tabs>
          <w:tab w:leader="none" w:pos="180" w:val="left"/>
        </w:tabs>
        <w:numPr>
          <w:ilvl w:val="0"/>
          <w:numId w:val="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Employment agreements with the Company’s named executive officers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233" w:lineRule="exact"/>
        <w:rPr>
          <w:sz w:val="20"/>
          <w:szCs w:val="20"/>
          <w:color w:val="auto"/>
        </w:rPr>
      </w:pPr>
    </w:p>
    <w:p>
      <w:pPr>
        <w:ind w:right="200"/>
        <w:spacing w:after="0" w:line="251" w:lineRule="auto"/>
        <w:rPr>
          <w:sz w:val="20"/>
          <w:szCs w:val="20"/>
          <w:color w:val="auto"/>
        </w:rPr>
      </w:pPr>
      <w:r>
        <w:rPr>
          <w:rFonts w:ascii="Times New Roman" w:cs="Times New Roman" w:eastAsia="Times New Roman" w:hAnsi="Times New Roman"/>
          <w:sz w:val="17"/>
          <w:szCs w:val="17"/>
          <w:color w:val="auto"/>
        </w:rPr>
        <w:t>The Company and its subsidiaries are routinely subject to actual or threatened legal proceedings, including litigation and regulatory matters, arising in the ordinary course of business. Litigation matters range from individual actions involving a single plaintiff to class action lawsuits and can involve claims for substantial or indeterminate alleged damages or for injunctive or other relief. Regulatory investigations and enforcement matters may involve formal or informal proceedings and other inquiries initiated by various governmental agencies, law enforcement authorities, and self-regulatory organizations, and can result in fines, penalties, restitution, changes to the Company’s business practices, and other related costs, including reputational damage. At any given time, these legal proceedings are at varying stages of adjudication, arbitration, or investigation, and may relate to a variety of topics.</w:t>
      </w:r>
    </w:p>
    <w:p>
      <w:pPr>
        <w:spacing w:after="0" w:line="201" w:lineRule="exact"/>
        <w:rPr>
          <w:sz w:val="20"/>
          <w:szCs w:val="20"/>
          <w:color w:val="auto"/>
        </w:rPr>
      </w:pPr>
    </w:p>
    <w:p>
      <w:pPr>
        <w:ind w:right="200"/>
        <w:spacing w:after="0" w:line="248" w:lineRule="auto"/>
        <w:rPr>
          <w:sz w:val="20"/>
          <w:szCs w:val="20"/>
          <w:color w:val="auto"/>
        </w:rPr>
      </w:pPr>
      <w:r>
        <w:rPr>
          <w:rFonts w:ascii="Times New Roman" w:cs="Times New Roman" w:eastAsia="Times New Roman" w:hAnsi="Times New Roman"/>
          <w:sz w:val="17"/>
          <w:szCs w:val="17"/>
          <w:color w:val="auto"/>
        </w:rPr>
        <w:t>Assessment of exposure that could result from legal proceedings is complex because these proceedings often involve inherently unpredictable factors, including, but not limited to, the following: whether the proceeding is in early stages; whether damages or the amount of potential fines, penalties, and restitution are unspecified, unsupported, or uncertain; whether there is a potential for punitive or other pecuniary damages; whether the matter involves legal uncertainties, including novel issues of law; whether the matter involves multiple parties and/or jurisdictions; whether discovery or other investigation has begun or is not complete; whether material facts may be disputed or unsubstantiated; whether meaningful settlement discussions have commenced; and whether the matter involves class allegations. As a result of these complexities, the Company may be unable to develop an estimate or range of loss.</w:t>
      </w:r>
    </w:p>
    <w:p>
      <w:pPr>
        <w:spacing w:after="0" w:line="202"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8"/>
          <w:szCs w:val="18"/>
          <w:color w:val="auto"/>
        </w:rPr>
        <w:t>The Company evaluates legal proceedings based on information currently available, including advice of counsel. The Company establishes accruals for those matters, pursuant to ASC 450, when a loss is considered probable and the related amount is reasonably estimable. While the final outcomes of legal proceedings are inherently unpredictable, management is currently of the opinion that the outcomes of pending and threatened matters will not have a material effect on the Company’s business, consolidated financial position, results of operations or cash flows as a whole.</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As available information changes, the matters for which the Company is able to estimate, as well as the estimates themselves, will be adjusted accordingly. The Company’s estimates are subject to significant judgment and uncertainties, and the matters underlying the estimates will change from time to time. In the event of unexpected future developments, it is possible that an adverse outcome in any such matter could be material to the Company’s business, consolidated financial position, results of operations, or cash flows as a whole for any particular reporting period of occurrence.</w:t>
      </w:r>
    </w:p>
    <w:p>
      <w:pPr>
        <w:spacing w:after="0" w:line="223"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8"/>
          <w:szCs w:val="18"/>
          <w:color w:val="auto"/>
        </w:rPr>
        <w:t>In addition. as a result of a litigation brought by the Federal Trade Commission (the “FTC”) in October 2012, NMS voluntarily entered into, and continues to operate under, a permanent injunction with respect to certain of its business practices.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Unfunded Commitments</w:t>
      </w:r>
    </w:p>
    <w:p>
      <w:pPr>
        <w:spacing w:after="0" w:line="24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At June 30, 2025, the Company had $100.1 million of unfunded commitments consisting of $21.2 million in connection with its SBA 7(a) loans, $70.4 million in connection with its SBA 504 loans, and $8.6 million relating to commercial and industrial loans. The Company funds these commitments from the same sources it uses to fund its other loan commitments.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14—SHAREHOLDERS EQUITY:</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44"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7"/>
          <w:szCs w:val="17"/>
          <w:color w:val="auto"/>
        </w:rPr>
        <w:t>On February 3, 2023, the Company entered into a Securities Purchase Agreement (the “Securities Purchase Agreement”) with Patriot Financial Partners IV, L.P., and Patriot Financial Partners Parallel IV, L.P. (collectively, “Patriot”) in respect of 20 thousand shares of the Company’s Series A Convertible Preferred Stock, par value $0.02 per share (the “Series A Preferred Stock”), in a private placement transaction. The aggregate purchase price was $20.0 million. Each share of Series A Preferred Stock was issued at a price of $1.0 thousand per share and is convertible at the holder’s option into 47.54 shares of the Company’s Common Stock. The Company had not issued preferred stock prior to February 3, 2023 and has not subsequently issued any preferred stock.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 for Common Stock</w:t>
      </w:r>
    </w:p>
    <w:p>
      <w:pPr>
        <w:spacing w:after="0" w:line="244"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On February 3, 2023, pursuant to the Securities Purchase Agreement, the Company issued warrants to Patriot to purchase, in the aggregate, 47.54 thousand shares of Common Stock for $21.03 per share. The Warrants are exercisable in whole or in part until the ten year anniversary of the entry into the Securities Purchase Agreement and may be exercised for cash or on a “net share” basis, with the number of shares withheld determined based on the closing price of the Common Stock on the date of such exercise. Warrants are included in Accounts payable, accrued expenses and other liabilities on the Consolidated Statements of Financial Condition.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 Program</w:t>
      </w:r>
    </w:p>
    <w:p>
      <w:pPr>
        <w:spacing w:after="0" w:line="233"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7"/>
          <w:szCs w:val="17"/>
          <w:color w:val="auto"/>
        </w:rPr>
        <w:t>The Company’s shelf registration statement on Form S-3 was declared effective by the SEC on July 27, 2023. On November 17, 2023, the Company entered into an ATM equity distribution agreement (the “Original ATM Equity Distribution Agreement”). The Original ATM Equity Distribution Agreement provided that the Company may offer and sell up to 3.0 million shares of Common Stock from time to time through the placement agents thereunder (the “ATM Program”). The Original ATM Equity Distribution Agreement was amended and restated on June 6, 2025 (the “Amended and Restated Equity Distribution Agreement”). The Amended and Restated Equity Distribution Agreement provides that the Company may offer and sell up to 5.0 million shares of Common Stock from time to time through the placement agents thereunder (inclusive of shares of Common Stock sold under the Original ATM Distribution Agreement) and added certain additional placement agents. The Company may, subject to market conditions, engage in activity under the ATM Program.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total shares sold and net proceeds received under the ATM Program:</w:t>
      </w:r>
    </w:p>
    <w:p>
      <w:pPr>
        <w:spacing w:after="0" w:line="11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0" w:type="dxa"/>
            <w:vAlign w:val="bottom"/>
          </w:tcPr>
          <w:p>
            <w:pPr>
              <w:spacing w:after="0"/>
              <w:rPr>
                <w:sz w:val="13"/>
                <w:szCs w:val="13"/>
                <w:color w:val="auto"/>
              </w:rPr>
            </w:pPr>
          </w:p>
        </w:tc>
        <w:tc>
          <w:tcPr>
            <w:tcW w:w="184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1"/>
        </w:trPr>
        <w:tc>
          <w:tcPr>
            <w:tcW w:w="7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75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3"/>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sold</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25"/>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Net weighted average price 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r>
      <w:tr>
        <w:trPr>
          <w:trHeight w:val="225"/>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2"/>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13,818</w:t>
            </w:r>
          </w:p>
        </w:tc>
      </w:tr>
      <w:tr>
        <w:trPr>
          <w:trHeight w:val="229"/>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Placement agent fees paid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r>
    </w:tbl>
    <w:p>
      <w:pPr>
        <w:spacing w:after="0" w:line="308" w:lineRule="exact"/>
        <w:rPr>
          <w:sz w:val="20"/>
          <w:szCs w:val="20"/>
          <w:color w:val="auto"/>
        </w:rPr>
      </w:pPr>
    </w:p>
    <w:p>
      <w:pPr>
        <w:ind w:right="360"/>
        <w:spacing w:after="0" w:line="270" w:lineRule="auto"/>
        <w:rPr>
          <w:sz w:val="20"/>
          <w:szCs w:val="20"/>
          <w:color w:val="auto"/>
        </w:rPr>
      </w:pPr>
      <w:r>
        <w:rPr>
          <w:rFonts w:ascii="Times New Roman" w:cs="Times New Roman" w:eastAsia="Times New Roman" w:hAnsi="Times New Roman"/>
          <w:sz w:val="18"/>
          <w:szCs w:val="18"/>
          <w:color w:val="auto"/>
        </w:rPr>
        <w:t>We used the net proceeds for funding investments in accordance with our investment objective and strategies and for general corporate purposes including repaying outstanding indebtedness and other general corporate purposes.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Program</w:t>
      </w:r>
    </w:p>
    <w:p>
      <w:pPr>
        <w:spacing w:after="0" w:line="231"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8"/>
          <w:szCs w:val="18"/>
          <w:color w:val="auto"/>
        </w:rPr>
        <w:t>On November 1, 2024, the Company’s Board of Directors approved a new stock repurchase program granting the Company authority to repurchase up to 1.0 million shares of Company common stock during the next twelve months. The actual timing and amount of any repurchases under the plan will be determined by the Company in its discretion, and will depend on a number of factors, including market conditions, applicable legal requirements, the Company's capital needs and whether there is a better alternative use of capital. The Company has no obligation to repurchase any amount of its common stock under its new stock repurchase program.</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total shares repurchased and net proceeds received under the stock repurchase program:</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100" w:type="dxa"/>
            <w:vAlign w:val="bottom"/>
          </w:tcPr>
          <w:p>
            <w:pPr>
              <w:spacing w:after="0"/>
              <w:rPr>
                <w:sz w:val="13"/>
                <w:szCs w:val="13"/>
                <w:color w:val="auto"/>
              </w:rPr>
            </w:pPr>
          </w:p>
        </w:tc>
        <w:tc>
          <w:tcPr>
            <w:tcW w:w="20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3"/>
                <w:szCs w:val="13"/>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0" w:type="dxa"/>
            <w:vAlign w:val="bottom"/>
          </w:tcPr>
          <w:p>
            <w:pPr>
              <w:spacing w:after="0"/>
              <w:rPr>
                <w:sz w:val="13"/>
                <w:szCs w:val="13"/>
                <w:color w:val="auto"/>
              </w:rPr>
            </w:pPr>
          </w:p>
        </w:tc>
        <w:tc>
          <w:tcPr>
            <w:tcW w:w="18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2"/>
        </w:trPr>
        <w:tc>
          <w:tcPr>
            <w:tcW w:w="3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4"/>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repurchased</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weighted average price per share</w:t>
            </w:r>
          </w:p>
        </w:tc>
        <w:tc>
          <w:tcPr>
            <w:tcW w:w="460" w:type="dxa"/>
            <w:vAlign w:val="bottom"/>
          </w:tcPr>
          <w:p>
            <w:pPr>
              <w:jc w:val="right"/>
              <w:ind w:right="278"/>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tcPr>
          <w:p>
            <w:pPr>
              <w:spacing w:after="0"/>
              <w:rPr>
                <w:sz w:val="19"/>
                <w:szCs w:val="19"/>
                <w:color w:val="auto"/>
              </w:rPr>
            </w:pPr>
          </w:p>
        </w:tc>
        <w:tc>
          <w:tcPr>
            <w:tcW w:w="480" w:type="dxa"/>
            <w:vAlign w:val="bottom"/>
          </w:tcPr>
          <w:p>
            <w:pPr>
              <w:jc w:val="right"/>
              <w:ind w:right="298"/>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proceeds</w:t>
            </w:r>
          </w:p>
        </w:tc>
        <w:tc>
          <w:tcPr>
            <w:tcW w:w="460" w:type="dxa"/>
            <w:vAlign w:val="bottom"/>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w:t>
            </w: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and Distributions</w:t>
      </w:r>
    </w:p>
    <w:p>
      <w:pPr>
        <w:spacing w:after="0" w:line="244"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8"/>
          <w:szCs w:val="18"/>
          <w:color w:val="auto"/>
        </w:rPr>
        <w:t>The Company’s dividends and distributions on the Preferred Stock are recorded on the declaration date. The following table summarizes dividend declarations and distributions on the Series A Preferred Stock during the six months ended June 30, 2025 and 2024:</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2300" w:type="dxa"/>
            <w:vAlign w:val="bottom"/>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2320" w:type="dxa"/>
            <w:vAlign w:val="bottom"/>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12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 Per Share</w:t>
            </w:r>
          </w:p>
        </w:tc>
        <w:tc>
          <w:tcPr>
            <w:tcW w:w="140" w:type="dxa"/>
            <w:vAlign w:val="bottom"/>
          </w:tcPr>
          <w:p>
            <w:pPr>
              <w:spacing w:after="0"/>
              <w:rPr>
                <w:sz w:val="16"/>
                <w:szCs w:val="16"/>
                <w:color w:val="auto"/>
              </w:rPr>
            </w:pPr>
          </w:p>
        </w:tc>
        <w:tc>
          <w:tcPr>
            <w:tcW w:w="128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Cash Distribution</w:t>
            </w:r>
          </w:p>
        </w:tc>
      </w:tr>
      <w:tr>
        <w:trPr>
          <w:trHeight w:val="24"/>
        </w:trPr>
        <w:tc>
          <w:tcPr>
            <w:tcW w:w="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72"/>
        </w:trPr>
        <w:tc>
          <w:tcPr>
            <w:tcW w:w="20" w:type="dxa"/>
            <w:vAlign w:val="bottom"/>
            <w:shd w:val="clear" w:color="auto" w:fill="CCEEFF"/>
          </w:tcPr>
          <w:p>
            <w:pPr>
              <w:spacing w:after="0"/>
              <w:rPr>
                <w:sz w:val="14"/>
                <w:szCs w:val="14"/>
                <w:color w:val="auto"/>
              </w:rPr>
            </w:pPr>
          </w:p>
        </w:tc>
        <w:tc>
          <w:tcPr>
            <w:tcW w:w="3540" w:type="dxa"/>
            <w:vAlign w:val="bottom"/>
            <w:gridSpan w:val="2"/>
            <w:shd w:val="clear" w:color="auto" w:fill="CCEEFF"/>
          </w:tcPr>
          <w:p>
            <w:pPr>
              <w:spacing w:after="0" w:line="139" w:lineRule="exact"/>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100" w:type="dxa"/>
            <w:vAlign w:val="bottom"/>
            <w:shd w:val="clear" w:color="auto" w:fill="CCEEFF"/>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1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March 31, 2025</w:t>
            </w:r>
          </w:p>
        </w:tc>
        <w:tc>
          <w:tcPr>
            <w:tcW w:w="1720" w:type="dxa"/>
            <w:vAlign w:val="bottom"/>
            <w:tcBorders>
              <w:top w:val="single" w:sz="8" w:color="CCEEFF"/>
            </w:tcBorders>
            <w:gridSpan w:val="2"/>
          </w:tcPr>
          <w:p>
            <w:pPr>
              <w:spacing w:after="0"/>
              <w:rPr>
                <w:sz w:val="19"/>
                <w:szCs w:val="19"/>
                <w:color w:val="auto"/>
              </w:rPr>
            </w:pPr>
          </w:p>
        </w:tc>
        <w:tc>
          <w:tcPr>
            <w:tcW w:w="2300" w:type="dxa"/>
            <w:vAlign w:val="bottom"/>
            <w:tcBorders>
              <w:top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March 30, 2025</w:t>
            </w:r>
          </w:p>
        </w:tc>
        <w:tc>
          <w:tcPr>
            <w:tcW w:w="2320" w:type="dxa"/>
            <w:vAlign w:val="bottom"/>
            <w:tcBorders>
              <w:top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April 1, 2025</w:t>
            </w: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5"/>
        </w:trPr>
        <w:tc>
          <w:tcPr>
            <w:tcW w:w="20" w:type="dxa"/>
            <w:vAlign w:val="bottom"/>
            <w:shd w:val="clear" w:color="auto" w:fill="CCEEFF"/>
          </w:tcPr>
          <w:p>
            <w:pPr>
              <w:spacing w:after="0"/>
              <w:rPr>
                <w:sz w:val="19"/>
                <w:szCs w:val="19"/>
                <w:color w:val="auto"/>
              </w:rPr>
            </w:pPr>
          </w:p>
        </w:tc>
        <w:tc>
          <w:tcPr>
            <w:tcW w:w="3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2025</w:t>
            </w:r>
          </w:p>
        </w:tc>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2025</w:t>
            </w:r>
          </w:p>
        </w:tc>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64"/>
        </w:trPr>
        <w:tc>
          <w:tcPr>
            <w:tcW w:w="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178"/>
        </w:trPr>
        <w:tc>
          <w:tcPr>
            <w:tcW w:w="20" w:type="dxa"/>
            <w:vAlign w:val="bottom"/>
            <w:shd w:val="clear" w:color="auto" w:fill="CCEEFF"/>
          </w:tcPr>
          <w:p>
            <w:pPr>
              <w:spacing w:after="0"/>
              <w:rPr>
                <w:sz w:val="15"/>
                <w:szCs w:val="15"/>
                <w:color w:val="auto"/>
              </w:rPr>
            </w:pPr>
          </w:p>
        </w:tc>
        <w:tc>
          <w:tcPr>
            <w:tcW w:w="3640" w:type="dxa"/>
            <w:vAlign w:val="bottom"/>
            <w:gridSpan w:val="3"/>
            <w:shd w:val="clear" w:color="auto" w:fill="CCEEFF"/>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2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1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March 19, 2024</w:t>
            </w:r>
          </w:p>
        </w:tc>
        <w:tc>
          <w:tcPr>
            <w:tcW w:w="1720" w:type="dxa"/>
            <w:vAlign w:val="bottom"/>
            <w:tcBorders>
              <w:top w:val="single" w:sz="8" w:color="CCEEFF"/>
            </w:tcBorders>
            <w:gridSpan w:val="2"/>
          </w:tcPr>
          <w:p>
            <w:pPr>
              <w:spacing w:after="0"/>
              <w:rPr>
                <w:sz w:val="19"/>
                <w:szCs w:val="19"/>
                <w:color w:val="auto"/>
              </w:rPr>
            </w:pPr>
          </w:p>
        </w:tc>
        <w:tc>
          <w:tcPr>
            <w:tcW w:w="2300" w:type="dxa"/>
            <w:vAlign w:val="bottom"/>
            <w:tcBorders>
              <w:top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March 28, 2024</w:t>
            </w:r>
          </w:p>
        </w:tc>
        <w:tc>
          <w:tcPr>
            <w:tcW w:w="2320" w:type="dxa"/>
            <w:vAlign w:val="bottom"/>
            <w:tcBorders>
              <w:top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April 1, 2024</w:t>
            </w: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5"/>
        </w:trPr>
        <w:tc>
          <w:tcPr>
            <w:tcW w:w="20" w:type="dxa"/>
            <w:vAlign w:val="bottom"/>
            <w:shd w:val="clear" w:color="auto" w:fill="CCEEFF"/>
          </w:tcPr>
          <w:p>
            <w:pPr>
              <w:spacing w:after="0"/>
              <w:rPr>
                <w:sz w:val="19"/>
                <w:szCs w:val="19"/>
                <w:color w:val="auto"/>
              </w:rPr>
            </w:pPr>
          </w:p>
        </w:tc>
        <w:tc>
          <w:tcPr>
            <w:tcW w:w="3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27, 2024</w:t>
            </w:r>
          </w:p>
        </w:tc>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28, 2024</w:t>
            </w:r>
          </w:p>
        </w:tc>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bl>
    <w:p>
      <w:pPr>
        <w:spacing w:after="0" w:line="312"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The Company’s dividends and distributions on the Common Stock are recorded on the declaration date. Effective December 8, 2023, the Company terminated the DRIP. The following table summarizes the Company’s dividend declarations and distributions, including dividend shares issued on vested restricted stock awards, during the six months ended June 30, 2025 and 2024:</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Dividend Shares Issued</w:t>
            </w:r>
          </w:p>
        </w:tc>
      </w:tr>
      <w:tr>
        <w:trPr>
          <w:trHeight w:val="190"/>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 Per</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Cash</w:t>
            </w:r>
          </w:p>
        </w:tc>
        <w:tc>
          <w:tcPr>
            <w:tcW w:w="16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on Unvested RSAs</w:t>
            </w:r>
          </w:p>
        </w:tc>
      </w:tr>
      <w:tr>
        <w:trPr>
          <w:trHeight w:val="193"/>
        </w:trPr>
        <w:tc>
          <w:tcPr>
            <w:tcW w:w="20" w:type="dxa"/>
            <w:vAlign w:val="bottom"/>
          </w:tcPr>
          <w:p>
            <w:pPr>
              <w:spacing w:after="0"/>
              <w:rPr>
                <w:sz w:val="16"/>
                <w:szCs w:val="16"/>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00" w:type="dxa"/>
            <w:vAlign w:val="bottom"/>
          </w:tcPr>
          <w:p>
            <w:pPr>
              <w:spacing w:after="0"/>
              <w:rPr>
                <w:sz w:val="16"/>
                <w:szCs w:val="16"/>
                <w:color w:val="auto"/>
              </w:rPr>
            </w:pPr>
          </w:p>
        </w:tc>
        <w:tc>
          <w:tcPr>
            <w:tcW w:w="200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76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Distribution</w:t>
            </w:r>
          </w:p>
        </w:tc>
        <w:tc>
          <w:tcPr>
            <w:tcW w:w="70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44"/>
        </w:trPr>
        <w:tc>
          <w:tcPr>
            <w:tcW w:w="20" w:type="dxa"/>
            <w:vAlign w:val="bottom"/>
            <w:tcBorders>
              <w:top w:val="single" w:sz="8" w:color="auto"/>
            </w:tcBorders>
            <w:shd w:val="clear" w:color="auto" w:fill="CCEEFF"/>
          </w:tcPr>
          <w:p>
            <w:pPr>
              <w:spacing w:after="0"/>
              <w:rPr>
                <w:sz w:val="12"/>
                <w:szCs w:val="12"/>
                <w:color w:val="auto"/>
              </w:rPr>
            </w:pPr>
          </w:p>
        </w:tc>
        <w:tc>
          <w:tcPr>
            <w:tcW w:w="3520" w:type="dxa"/>
            <w:vAlign w:val="bottom"/>
            <w:tcBorders>
              <w:top w:val="single" w:sz="8" w:color="auto"/>
            </w:tcBorders>
            <w:gridSpan w:val="2"/>
            <w:shd w:val="clear" w:color="auto" w:fill="CCEEFF"/>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100" w:type="dxa"/>
            <w:vAlign w:val="bottom"/>
            <w:tcBorders>
              <w:top w:val="single" w:sz="8" w:color="CCEEFF"/>
            </w:tcBorders>
            <w:shd w:val="clear" w:color="auto" w:fill="CCEEFF"/>
          </w:tcPr>
          <w:p>
            <w:pPr>
              <w:spacing w:after="0"/>
              <w:rPr>
                <w:sz w:val="12"/>
                <w:szCs w:val="12"/>
                <w:color w:val="auto"/>
              </w:rPr>
            </w:pPr>
          </w:p>
        </w:tc>
        <w:tc>
          <w:tcPr>
            <w:tcW w:w="18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1920" w:type="dxa"/>
            <w:vAlign w:val="bottom"/>
            <w:tcBorders>
              <w:top w:val="single" w:sz="8" w:color="auto"/>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31, 2025</w:t>
            </w:r>
          </w:p>
        </w:tc>
        <w:tc>
          <w:tcPr>
            <w:tcW w:w="23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April 15, 2025</w:t>
            </w:r>
          </w:p>
        </w:tc>
        <w:tc>
          <w:tcPr>
            <w:tcW w:w="18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April 30, 2025</w:t>
            </w:r>
          </w:p>
        </w:tc>
        <w:tc>
          <w:tcPr>
            <w:tcW w:w="6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4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4,835</w:t>
            </w: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w:t>
            </w:r>
          </w:p>
        </w:tc>
        <w:tc>
          <w:tcPr>
            <w:tcW w:w="4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225"/>
        </w:trPr>
        <w:tc>
          <w:tcPr>
            <w:tcW w:w="20" w:type="dxa"/>
            <w:vAlign w:val="bottom"/>
            <w:shd w:val="clear" w:color="auto" w:fill="CCEEFF"/>
          </w:tcPr>
          <w:p>
            <w:pPr>
              <w:spacing w:after="0"/>
              <w:rPr>
                <w:sz w:val="19"/>
                <w:szCs w:val="19"/>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25, 2025</w:t>
            </w:r>
          </w:p>
        </w:tc>
        <w:tc>
          <w:tcPr>
            <w:tcW w:w="23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July 9, 2025</w:t>
            </w:r>
          </w:p>
        </w:tc>
        <w:tc>
          <w:tcPr>
            <w:tcW w:w="1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July 21, 2025</w:t>
            </w:r>
          </w:p>
        </w:tc>
        <w:tc>
          <w:tcPr>
            <w:tcW w:w="6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4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4,846</w:t>
            </w:r>
          </w:p>
        </w:tc>
        <w:tc>
          <w:tcPr>
            <w:tcW w:w="5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178"/>
        </w:trPr>
        <w:tc>
          <w:tcPr>
            <w:tcW w:w="20" w:type="dxa"/>
            <w:vAlign w:val="bottom"/>
            <w:tcBorders>
              <w:bottom w:val="single" w:sz="8" w:color="CCEEFF"/>
            </w:tcBorders>
            <w:shd w:val="clear" w:color="auto" w:fill="CCEEFF"/>
          </w:tcPr>
          <w:p>
            <w:pPr>
              <w:spacing w:after="0"/>
              <w:rPr>
                <w:sz w:val="15"/>
                <w:szCs w:val="15"/>
                <w:color w:val="auto"/>
              </w:rPr>
            </w:pPr>
          </w:p>
        </w:tc>
        <w:tc>
          <w:tcPr>
            <w:tcW w:w="1920" w:type="dxa"/>
            <w:vAlign w:val="bottom"/>
            <w:tcBorders>
              <w:bottom w:val="single" w:sz="8" w:color="auto"/>
            </w:tcBorders>
            <w:shd w:val="clear" w:color="auto" w:fill="CCEEFF"/>
          </w:tcPr>
          <w:p>
            <w:pPr>
              <w:spacing w:after="0" w:line="145" w:lineRule="exact"/>
              <w:rPr>
                <w:sz w:val="20"/>
                <w:szCs w:val="20"/>
                <w:color w:val="auto"/>
              </w:rPr>
            </w:pPr>
            <w:r>
              <w:rPr>
                <w:rFonts w:ascii="Times New Roman" w:cs="Times New Roman" w:eastAsia="Times New Roman" w:hAnsi="Times New Roman"/>
                <w:sz w:val="14"/>
                <w:szCs w:val="14"/>
                <w:b w:val="1"/>
                <w:bCs w:val="1"/>
                <w:color w:val="auto"/>
                <w:w w:val="99"/>
              </w:rPr>
              <w:t>Six months ended June 30, 2024</w:t>
            </w:r>
          </w:p>
        </w:tc>
        <w:tc>
          <w:tcPr>
            <w:tcW w:w="860" w:type="dxa"/>
            <w:vAlign w:val="bottom"/>
            <w:tcBorders>
              <w:bottom w:val="single" w:sz="8" w:color="CCEEFF"/>
            </w:tcBorders>
            <w:shd w:val="clear" w:color="auto" w:fill="CCEEFF"/>
          </w:tcPr>
          <w:p>
            <w:pPr>
              <w:spacing w:after="0"/>
              <w:rPr>
                <w:sz w:val="15"/>
                <w:szCs w:val="15"/>
                <w:color w:val="auto"/>
              </w:rPr>
            </w:pPr>
          </w:p>
        </w:tc>
        <w:tc>
          <w:tcPr>
            <w:tcW w:w="2380" w:type="dxa"/>
            <w:vAlign w:val="bottom"/>
            <w:tcBorders>
              <w:bottom w:val="single" w:sz="8" w:color="CCEEFF"/>
            </w:tcBorders>
            <w:shd w:val="clear" w:color="auto" w:fill="CCEEFF"/>
          </w:tcPr>
          <w:p>
            <w:pPr>
              <w:spacing w:after="0"/>
              <w:rPr>
                <w:sz w:val="15"/>
                <w:szCs w:val="15"/>
                <w:color w:val="auto"/>
              </w:rPr>
            </w:pPr>
          </w:p>
        </w:tc>
        <w:tc>
          <w:tcPr>
            <w:tcW w:w="18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r>
      <w:tr>
        <w:trPr>
          <w:trHeight w:val="225"/>
        </w:trPr>
        <w:tc>
          <w:tcPr>
            <w:tcW w:w="20" w:type="dxa"/>
            <w:vAlign w:val="bottom"/>
          </w:tcPr>
          <w:p>
            <w:pPr>
              <w:spacing w:after="0"/>
              <w:rPr>
                <w:sz w:val="19"/>
                <w:szCs w:val="19"/>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19, 2024</w:t>
            </w:r>
          </w:p>
        </w:tc>
        <w:tc>
          <w:tcPr>
            <w:tcW w:w="23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April 1, 2024</w:t>
            </w:r>
          </w:p>
        </w:tc>
        <w:tc>
          <w:tcPr>
            <w:tcW w:w="18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April 15, 2024</w:t>
            </w:r>
          </w:p>
        </w:tc>
        <w:tc>
          <w:tcPr>
            <w:tcW w:w="6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4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4,617</w:t>
            </w: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4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5"/>
        </w:trPr>
        <w:tc>
          <w:tcPr>
            <w:tcW w:w="20" w:type="dxa"/>
            <w:vAlign w:val="bottom"/>
            <w:shd w:val="clear" w:color="auto" w:fill="CCEEFF"/>
          </w:tcPr>
          <w:p>
            <w:pPr>
              <w:spacing w:after="0"/>
              <w:rPr>
                <w:sz w:val="19"/>
                <w:szCs w:val="19"/>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27, 2024</w:t>
            </w:r>
          </w:p>
        </w:tc>
        <w:tc>
          <w:tcPr>
            <w:tcW w:w="23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July 9, 2024</w:t>
            </w:r>
          </w:p>
        </w:tc>
        <w:tc>
          <w:tcPr>
            <w:tcW w:w="1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July 19, 2024</w:t>
            </w:r>
          </w:p>
        </w:tc>
        <w:tc>
          <w:tcPr>
            <w:tcW w:w="6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4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4,827</w:t>
            </w:r>
          </w:p>
        </w:tc>
        <w:tc>
          <w:tcPr>
            <w:tcW w:w="5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15—EARNINGS PER SHARE:</w:t>
      </w:r>
    </w:p>
    <w:p>
      <w:pPr>
        <w:spacing w:after="0" w:line="24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Basic and diluted earnings per share are computed based on the weighted average number of shares outstanding during each period. Diluted earnings per share reflects the potential dilution that could occur upon the exercise of stock options, to the extent outstanding, or upon the vesting of restricted stock grants, any of which would result in the issuance of Common Stock that would then share in the net income of the Company.</w:t>
      </w:r>
    </w:p>
    <w:p>
      <w:pPr>
        <w:spacing w:after="0" w:line="281" w:lineRule="exact"/>
        <w:rPr>
          <w:sz w:val="20"/>
          <w:szCs w:val="20"/>
          <w:color w:val="auto"/>
        </w:rPr>
      </w:pPr>
    </w:p>
    <w:tbl>
      <w:tblPr>
        <w:tblLayout w:type="fixed"/>
        <w:tblInd w:w="5020" w:type="dxa"/>
        <w:tblCellMar>
          <w:top w:w="0" w:type="dxa"/>
          <w:left w:w="0" w:type="dxa"/>
          <w:bottom w:w="0" w:type="dxa"/>
          <w:right w:w="0" w:type="dxa"/>
        </w:tblCellMar>
      </w:tblPr>
      <w:tr>
        <w:trPr>
          <w:trHeight w:val="207"/>
        </w:trPr>
        <w:tc>
          <w:tcPr>
            <w:tcW w:w="31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30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Six Months Ended</w:t>
            </w:r>
          </w:p>
        </w:tc>
      </w:tr>
      <w:tr>
        <w:trPr>
          <w:trHeight w:val="234"/>
        </w:trPr>
        <w:tc>
          <w:tcPr>
            <w:tcW w:w="1060" w:type="dxa"/>
            <w:vAlign w:val="bottom"/>
          </w:tcPr>
          <w:p>
            <w:pPr>
              <w:spacing w:after="0"/>
              <w:rPr>
                <w:sz w:val="20"/>
                <w:szCs w:val="20"/>
                <w:color w:val="auto"/>
              </w:rPr>
            </w:pPr>
          </w:p>
        </w:tc>
        <w:tc>
          <w:tcPr>
            <w:tcW w:w="208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6"/>
              </w:rPr>
              <w:t>June 30,</w:t>
            </w:r>
          </w:p>
        </w:tc>
        <w:tc>
          <w:tcPr>
            <w:tcW w:w="1080" w:type="dxa"/>
            <w:vAlign w:val="bottom"/>
          </w:tcPr>
          <w:p>
            <w:pPr>
              <w:spacing w:after="0"/>
              <w:rPr>
                <w:sz w:val="20"/>
                <w:szCs w:val="20"/>
                <w:color w:val="auto"/>
              </w:rPr>
            </w:pPr>
          </w:p>
        </w:tc>
        <w:tc>
          <w:tcPr>
            <w:tcW w:w="2000" w:type="dxa"/>
            <w:vAlign w:val="bottom"/>
          </w:tcPr>
          <w:p>
            <w:pPr>
              <w:jc w:val="center"/>
              <w:ind w:right="992"/>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28"/>
        </w:trPr>
        <w:tc>
          <w:tcPr>
            <w:tcW w:w="106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980" w:type="dxa"/>
            <w:vAlign w:val="bottom"/>
            <w:tcBorders>
              <w:top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108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0" w:type="dxa"/>
            <w:vAlign w:val="bottom"/>
            <w:tcBorders>
              <w:top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3193415</wp:posOffset>
            </wp:positionH>
            <wp:positionV relativeFrom="paragraph">
              <wp:posOffset>-3175</wp:posOffset>
            </wp:positionV>
            <wp:extent cx="39452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945255"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w:t>
      </w:r>
    </w:p>
    <w:p>
      <w:pPr>
        <w:sectPr>
          <w:pgSz w:w="11900" w:h="16838" w:orient="portrait"/>
          <w:cols w:equalWidth="0" w:num="1">
            <w:col w:w="11240"/>
          </w:cols>
          <w:pgMar w:left="320" w:top="124" w:right="339" w:bottom="1440" w:gutter="0" w:footer="0" w:header="0"/>
        </w:sectPr>
      </w:pP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51"/>
        </w:trPr>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8"/>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basic shares outstanding</w:t>
            </w:r>
          </w:p>
        </w:tc>
        <w:tc>
          <w:tcPr>
            <w:tcW w:w="120" w:type="dxa"/>
            <w:vAlign w:val="bottom"/>
          </w:tcPr>
          <w:p>
            <w:pPr>
              <w:spacing w:after="0"/>
              <w:rPr>
                <w:sz w:val="24"/>
                <w:szCs w:val="24"/>
                <w:color w:val="auto"/>
              </w:rPr>
            </w:pPr>
          </w:p>
        </w:tc>
      </w:tr>
      <w:tr>
        <w:trPr>
          <w:trHeight w:val="271"/>
        </w:trPr>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120" w:type="dxa"/>
            <w:vAlign w:val="bottom"/>
          </w:tcPr>
          <w:p>
            <w:pPr>
              <w:spacing w:after="0"/>
              <w:rPr>
                <w:sz w:val="19"/>
                <w:szCs w:val="19"/>
                <w:color w:val="auto"/>
              </w:rPr>
            </w:pPr>
          </w:p>
        </w:tc>
      </w:tr>
      <w:tr>
        <w:trPr>
          <w:trHeight w:val="225"/>
        </w:trPr>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for diluted earnings 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7"/>
        </w:trPr>
        <w:tc>
          <w:tcPr>
            <w:tcW w:w="5000" w:type="dxa"/>
            <w:vAlign w:val="bottom"/>
          </w:tcPr>
          <w:p>
            <w:pPr>
              <w:ind w:left="220"/>
              <w:spacing w:after="0" w:line="177" w:lineRule="exact"/>
              <w:rPr>
                <w:sz w:val="20"/>
                <w:szCs w:val="20"/>
                <w:color w:val="auto"/>
              </w:rPr>
            </w:pPr>
            <w:r>
              <w:rPr>
                <w:rFonts w:ascii="Times New Roman" w:cs="Times New Roman" w:eastAsia="Times New Roman" w:hAnsi="Times New Roman"/>
                <w:sz w:val="18"/>
                <w:szCs w:val="18"/>
                <w:color w:val="auto"/>
                <w:w w:val="97"/>
              </w:rPr>
              <w:t>Add: Preferred dividends on dilutive Series A convertible preferred</w:t>
            </w:r>
          </w:p>
        </w:tc>
        <w:tc>
          <w:tcPr>
            <w:tcW w:w="120" w:type="dxa"/>
            <w:vAlign w:val="bottom"/>
          </w:tcPr>
          <w:p>
            <w:pPr>
              <w:spacing w:after="0"/>
              <w:rPr>
                <w:sz w:val="15"/>
                <w:szCs w:val="15"/>
                <w:color w:val="auto"/>
              </w:rPr>
            </w:pPr>
          </w:p>
        </w:tc>
      </w:tr>
      <w:tr>
        <w:trPr>
          <w:trHeight w:val="229"/>
        </w:trPr>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stock¹</w:t>
            </w:r>
          </w:p>
        </w:tc>
        <w:tc>
          <w:tcPr>
            <w:tcW w:w="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6"/>
        </w:trPr>
        <w:tc>
          <w:tcPr>
            <w:tcW w:w="6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92"/>
              </w:rPr>
              <w:t>13,303</w:t>
            </w:r>
          </w:p>
        </w:tc>
        <w:tc>
          <w:tcPr>
            <w:tcW w:w="5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10,545</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22,270</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19,795</w:t>
            </w:r>
          </w:p>
        </w:tc>
        <w:tc>
          <w:tcPr>
            <w:tcW w:w="0" w:type="dxa"/>
            <w:vAlign w:val="bottom"/>
          </w:tcPr>
          <w:p>
            <w:pPr>
              <w:spacing w:after="0"/>
              <w:rPr>
                <w:sz w:val="1"/>
                <w:szCs w:val="1"/>
                <w:color w:val="auto"/>
              </w:rPr>
            </w:pPr>
          </w:p>
        </w:tc>
      </w:tr>
      <w:tr>
        <w:trPr>
          <w:trHeight w:val="20"/>
        </w:trPr>
        <w:tc>
          <w:tcPr>
            <w:tcW w:w="64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color w:val="auto"/>
                <w:w w:val="92"/>
              </w:rPr>
              <w:t>25,167</w:t>
            </w: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40" w:type="dxa"/>
            <w:vAlign w:val="bottom"/>
            <w:vMerge w:val="continue"/>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24,599</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25,162</w:t>
            </w:r>
          </w:p>
        </w:tc>
        <w:tc>
          <w:tcPr>
            <w:tcW w:w="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24,443</w:t>
            </w:r>
          </w:p>
        </w:tc>
        <w:tc>
          <w:tcPr>
            <w:tcW w:w="0" w:type="dxa"/>
            <w:vAlign w:val="bottom"/>
          </w:tcPr>
          <w:p>
            <w:pPr>
              <w:spacing w:after="0"/>
              <w:rPr>
                <w:sz w:val="1"/>
                <w:szCs w:val="1"/>
                <w:color w:val="auto"/>
              </w:rPr>
            </w:pPr>
          </w:p>
        </w:tc>
      </w:tr>
      <w:tr>
        <w:trPr>
          <w:trHeight w:val="20"/>
        </w:trPr>
        <w:tc>
          <w:tcPr>
            <w:tcW w:w="64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color w:val="auto"/>
              </w:rPr>
              <w:t>0.53</w:t>
            </w: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40" w:type="dxa"/>
            <w:vAlign w:val="bottom"/>
            <w:vMerge w:val="continue"/>
          </w:tcPr>
          <w:p>
            <w:pPr>
              <w:spacing w:after="0"/>
              <w:rPr>
                <w:sz w:val="18"/>
                <w:szCs w:val="18"/>
                <w:color w:val="auto"/>
              </w:rPr>
            </w:pPr>
          </w:p>
        </w:tc>
        <w:tc>
          <w:tcPr>
            <w:tcW w:w="5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80" w:type="dxa"/>
            <w:vAlign w:val="bottom"/>
          </w:tcPr>
          <w:p>
            <w:pPr>
              <w:spacing w:after="0"/>
              <w:rPr>
                <w:sz w:val="18"/>
                <w:szCs w:val="18"/>
                <w:color w:val="auto"/>
              </w:rPr>
            </w:pPr>
          </w:p>
        </w:tc>
        <w:tc>
          <w:tcPr>
            <w:tcW w:w="5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6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92"/>
              </w:rPr>
              <w:t>13,303</w:t>
            </w:r>
          </w:p>
        </w:tc>
        <w:tc>
          <w:tcPr>
            <w:tcW w:w="52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10,545</w:t>
            </w:r>
          </w:p>
        </w:tc>
        <w:tc>
          <w:tcPr>
            <w:tcW w:w="100" w:type="dxa"/>
            <w:vAlign w:val="bottom"/>
          </w:tcPr>
          <w:p>
            <w:pPr>
              <w:spacing w:after="0"/>
              <w:rPr>
                <w:sz w:val="24"/>
                <w:szCs w:val="24"/>
                <w:color w:val="auto"/>
              </w:rPr>
            </w:pPr>
          </w:p>
        </w:tc>
        <w:tc>
          <w:tcPr>
            <w:tcW w:w="5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22,270</w:t>
            </w:r>
          </w:p>
        </w:tc>
        <w:tc>
          <w:tcPr>
            <w:tcW w:w="80" w:type="dxa"/>
            <w:vAlign w:val="bottom"/>
          </w:tcPr>
          <w:p>
            <w:pPr>
              <w:spacing w:after="0"/>
              <w:rPr>
                <w:sz w:val="24"/>
                <w:szCs w:val="24"/>
                <w:color w:val="auto"/>
              </w:rPr>
            </w:pPr>
          </w:p>
        </w:tc>
        <w:tc>
          <w:tcPr>
            <w:tcW w:w="54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19,795</w:t>
            </w:r>
          </w:p>
        </w:tc>
        <w:tc>
          <w:tcPr>
            <w:tcW w:w="0" w:type="dxa"/>
            <w:vAlign w:val="bottom"/>
          </w:tcPr>
          <w:p>
            <w:pPr>
              <w:spacing w:after="0"/>
              <w:rPr>
                <w:sz w:val="1"/>
                <w:szCs w:val="1"/>
                <w:color w:val="auto"/>
              </w:rPr>
            </w:pPr>
          </w:p>
        </w:tc>
      </w:tr>
      <w:tr>
        <w:trPr>
          <w:trHeight w:val="409"/>
        </w:trPr>
        <w:tc>
          <w:tcPr>
            <w:tcW w:w="6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-3767455</wp:posOffset>
            </wp:positionH>
            <wp:positionV relativeFrom="paragraph">
              <wp:posOffset>-401320</wp:posOffset>
            </wp:positionV>
            <wp:extent cx="7134860" cy="1428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-3767455</wp:posOffset>
            </wp:positionH>
            <wp:positionV relativeFrom="paragraph">
              <wp:posOffset>-736600</wp:posOffset>
            </wp:positionV>
            <wp:extent cx="7134860" cy="2095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4860" cy="209550"/>
                    </a:xfrm>
                    <a:prstGeom prst="rect">
                      <a:avLst/>
                    </a:prstGeom>
                    <a:noFill/>
                  </pic:spPr>
                </pic:pic>
              </a:graphicData>
            </a:graphic>
          </wp:anchor>
        </w:drawing>
        <w:drawing>
          <wp:anchor simplePos="0" relativeHeight="251657728" behindDoc="1" locked="0" layoutInCell="0" allowOverlap="1">
            <wp:simplePos x="0" y="0"/>
            <wp:positionH relativeFrom="column">
              <wp:posOffset>-3767455</wp:posOffset>
            </wp:positionH>
            <wp:positionV relativeFrom="paragraph">
              <wp:posOffset>-1056005</wp:posOffset>
            </wp:positionV>
            <wp:extent cx="7134860" cy="1765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4860" cy="17653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220" w:space="720"/>
            <w:col w:w="5300"/>
          </w:cols>
          <w:pgMar w:left="320" w:top="124" w:right="339" w:bottom="1440" w:gutter="0" w:footer="0" w:header="0"/>
          <w:type w:val="continuous"/>
        </w:sectPr>
      </w:pPr>
    </w:p>
    <w:tbl>
      <w:tblPr>
        <w:tblLayout w:type="fixed"/>
        <w:tblInd w:w="0" w:type="dxa"/>
        <w:tblCellMar>
          <w:top w:w="0" w:type="dxa"/>
          <w:left w:w="0" w:type="dxa"/>
          <w:bottom w:w="0" w:type="dxa"/>
          <w:right w:w="0" w:type="dxa"/>
        </w:tblCellMar>
      </w:tblPr>
      <w:tr>
        <w:trPr>
          <w:trHeight w:val="245"/>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for diluted earnings per share</w:t>
            </w:r>
          </w:p>
        </w:tc>
        <w:tc>
          <w:tcPr>
            <w:tcW w:w="520" w:type="dxa"/>
            <w:vAlign w:val="bottom"/>
            <w:tcBorders>
              <w:top w:val="single" w:sz="8" w:color="auto"/>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19,795</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Total weighted-average basic shares outstanding</w:t>
            </w: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02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25,167</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24,599</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25,162</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24,443</w:t>
            </w:r>
          </w:p>
        </w:tc>
        <w:tc>
          <w:tcPr>
            <w:tcW w:w="0" w:type="dxa"/>
            <w:vAlign w:val="bottom"/>
          </w:tcPr>
          <w:p>
            <w:pPr>
              <w:spacing w:after="0"/>
              <w:rPr>
                <w:sz w:val="1"/>
                <w:szCs w:val="1"/>
                <w:color w:val="auto"/>
              </w:rPr>
            </w:pPr>
          </w:p>
        </w:tc>
      </w:tr>
      <w:tr>
        <w:trPr>
          <w:trHeight w:val="225"/>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 effect of dilutive restricted stock awards²</w:t>
            </w: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8"/>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weighted-average diluted shares outstanding³</w:t>
            </w: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25,648</w:t>
            </w:r>
          </w:p>
        </w:tc>
        <w:tc>
          <w:tcPr>
            <w:tcW w:w="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24,706</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25,608</w:t>
            </w:r>
          </w:p>
        </w:tc>
        <w:tc>
          <w:tcPr>
            <w:tcW w:w="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24,542</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52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line="158" w:lineRule="exact"/>
              <w:rPr>
                <w:sz w:val="20"/>
                <w:szCs w:val="20"/>
                <w:color w:val="auto"/>
              </w:rPr>
            </w:pPr>
            <w:r>
              <w:rPr>
                <w:rFonts w:ascii="Times New Roman" w:cs="Times New Roman" w:eastAsia="Times New Roman" w:hAnsi="Times New Roman"/>
                <w:sz w:val="18"/>
                <w:szCs w:val="18"/>
                <w:color w:val="auto"/>
              </w:rPr>
              <w:t>Anti-dilutive warrants, restricted stock awards, and Series A</w:t>
            </w: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502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0" w:type="dxa"/>
            <w:vAlign w:val="bottom"/>
          </w:tcPr>
          <w:p>
            <w:pPr>
              <w:spacing w:after="0"/>
              <w:rPr>
                <w:sz w:val="1"/>
                <w:szCs w:val="1"/>
                <w:color w:val="auto"/>
              </w:rPr>
            </w:pPr>
          </w:p>
        </w:tc>
      </w:tr>
      <w:tr>
        <w:trPr>
          <w:trHeight w:val="212"/>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ind w:left="160" w:right="380" w:hanging="154"/>
        <w:spacing w:after="0" w:line="224" w:lineRule="auto"/>
        <w:tabs>
          <w:tab w:leader="none" w:pos="173" w:val="left"/>
        </w:tabs>
        <w:numPr>
          <w:ilvl w:val="0"/>
          <w:numId w:val="3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periods presented, the Series A convertible preferred stock was anti-dilutive and, therefore, the preferred dividends have not been added back to the numerator of Net income, for diluted earnings per share.</w:t>
      </w:r>
    </w:p>
    <w:p>
      <w:pPr>
        <w:ind w:left="180" w:hanging="174"/>
        <w:spacing w:after="0" w:line="192" w:lineRule="auto"/>
        <w:tabs>
          <w:tab w:leader="none" w:pos="180"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Incremental diluted shares from restricted stock awards under the treasury stock method.</w:t>
      </w:r>
    </w:p>
    <w:p>
      <w:pPr>
        <w:spacing w:after="0" w:line="3" w:lineRule="exact"/>
        <w:rPr>
          <w:sz w:val="20"/>
          <w:szCs w:val="20"/>
          <w:color w:val="auto"/>
        </w:rPr>
      </w:pPr>
    </w:p>
    <w:p>
      <w:pPr>
        <w:ind w:left="160" w:right="300" w:hanging="154"/>
        <w:spacing w:after="0" w:line="214" w:lineRule="auto"/>
        <w:tabs>
          <w:tab w:leader="none" w:pos="173" w:val="left"/>
        </w:tabs>
        <w:numPr>
          <w:ilvl w:val="0"/>
          <w:numId w:val="3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three and six months ended June 30, 2025 and June 30, 2024, the warrants were not included in the diluted share count because the results would have been anti-dilutive under the if-converted method.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16—BENEFIT PLANS: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w:t>
      </w:r>
    </w:p>
    <w:p>
      <w:pPr>
        <w:spacing w:after="0" w:line="220"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The Company’s employees participate in a defined contribution 401(k) plan (the “Plan”) adopted in 2004 which covers substantially all employees based on eligibility. The Plan is designed to encourage savings on the part of eligible employees and qualifies under Section 401(k) of the Code. Under the Plan, eligible employees may elect to have a portion of their pay, including overtime and bonuses, reduced each pay period, as pre-tax contributions up to the maximum allowed by law. The Company may elect to make a matching contribution equal to a specified percentage of the participant’s contribution, on their behalf as a pre-tax contribution.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Plans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Awards</w:t>
      </w:r>
    </w:p>
    <w:p>
      <w:pPr>
        <w:spacing w:after="0" w:line="244" w:lineRule="exact"/>
        <w:rPr>
          <w:sz w:val="20"/>
          <w:szCs w:val="20"/>
          <w:color w:val="auto"/>
        </w:rPr>
      </w:pPr>
    </w:p>
    <w:p>
      <w:pPr>
        <w:jc w:val="both"/>
        <w:ind w:right="120"/>
        <w:spacing w:after="0" w:line="280" w:lineRule="auto"/>
        <w:rPr>
          <w:sz w:val="20"/>
          <w:szCs w:val="20"/>
          <w:color w:val="auto"/>
        </w:rPr>
      </w:pPr>
      <w:r>
        <w:rPr>
          <w:rFonts w:ascii="Times New Roman" w:cs="Times New Roman" w:eastAsia="Times New Roman" w:hAnsi="Times New Roman"/>
          <w:sz w:val="17"/>
          <w:szCs w:val="17"/>
          <w:color w:val="auto"/>
        </w:rPr>
        <w:t>The Company accounts for its stock-based compensation plan using the fair value method, as prescribed by ASC 718, Compensation—Stock Compensation. Accordingly, for restricted stock awards, the Company measures the grant date fair value based upon the market price of its Common Stock on the date of the grant and amortizes the fair value of the awards as stock-based compensation expense over the requisite service period, which is generally the vesting term.</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18"/>
          <w:szCs w:val="18"/>
          <w:color w:val="auto"/>
        </w:rPr>
        <w:t>The Compensation, Corporate Governance and Nominating Committee of the Board approves the issuance of awards of restricted stock to employees and directors pursuant to the 2023 Stock Incentive Plan, which was approved by the Board in April 2023 and the Company’s shareholders on June 14, 2023. No new awards may be granted under the 2015 Stock Incentive Plan, which was terminated by the Board in April 2023. The following table summarizes the restricted stock issuances under the 2015 and 2023 Stock Incentive Plans, net of shares forfeited, if any:</w:t>
      </w:r>
    </w:p>
    <w:p>
      <w:pPr>
        <w:spacing w:after="0" w:line="22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6960" w:type="dxa"/>
            <w:vAlign w:val="bottom"/>
          </w:tcPr>
          <w:p>
            <w:pPr>
              <w:spacing w:after="0"/>
              <w:rPr>
                <w:sz w:val="22"/>
                <w:szCs w:val="22"/>
                <w:color w:val="auto"/>
              </w:rPr>
            </w:pPr>
          </w:p>
        </w:tc>
        <w:tc>
          <w:tcPr>
            <w:tcW w:w="212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2023 Plan</w:t>
            </w:r>
            <w:r>
              <w:rPr>
                <w:rFonts w:ascii="Times New Roman" w:cs="Times New Roman" w:eastAsia="Times New Roman" w:hAnsi="Times New Roman"/>
                <w:sz w:val="22"/>
                <w:szCs w:val="22"/>
                <w:b w:val="1"/>
                <w:bCs w:val="1"/>
                <w:color w:val="auto"/>
                <w:vertAlign w:val="superscript"/>
              </w:rPr>
              <w:t>1</w:t>
            </w:r>
          </w:p>
        </w:tc>
        <w:tc>
          <w:tcPr>
            <w:tcW w:w="20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2015 Plan</w:t>
            </w:r>
          </w:p>
        </w:tc>
      </w:tr>
      <w:tr>
        <w:trPr>
          <w:trHeight w:val="218"/>
        </w:trPr>
        <w:tc>
          <w:tcPr>
            <w:tcW w:w="6960" w:type="dxa"/>
            <w:vAlign w:val="bottom"/>
            <w:tcBorders>
              <w:top w:val="single" w:sz="8" w:color="CCEEFF"/>
            </w:tcBorders>
            <w:shd w:val="clear" w:color="auto" w:fill="CCEEFF"/>
          </w:tcPr>
          <w:p>
            <w:pPr>
              <w:spacing w:after="0" w:line="218" w:lineRule="exact"/>
              <w:rPr>
                <w:sz w:val="20"/>
                <w:szCs w:val="20"/>
                <w:color w:val="auto"/>
              </w:rPr>
            </w:pPr>
            <w:r>
              <w:rPr>
                <w:rFonts w:ascii="Times New Roman" w:cs="Times New Roman" w:eastAsia="Times New Roman" w:hAnsi="Times New Roman"/>
                <w:sz w:val="18"/>
                <w:szCs w:val="18"/>
                <w:color w:val="auto"/>
              </w:rPr>
              <w:t>Restricted Stock authorized under the plan</w:t>
            </w:r>
            <w:r>
              <w:rPr>
                <w:rFonts w:ascii="Times New Roman" w:cs="Times New Roman" w:eastAsia="Times New Roman" w:hAnsi="Times New Roman"/>
                <w:sz w:val="22"/>
                <w:szCs w:val="22"/>
                <w:color w:val="auto"/>
                <w:vertAlign w:val="superscript"/>
              </w:rPr>
              <w:t>2</w:t>
            </w:r>
          </w:p>
        </w:tc>
        <w:tc>
          <w:tcPr>
            <w:tcW w:w="202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3.0 million</w:t>
            </w:r>
          </w:p>
        </w:tc>
        <w:tc>
          <w:tcPr>
            <w:tcW w:w="1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1.5 million</w:t>
            </w:r>
          </w:p>
        </w:tc>
      </w:tr>
      <w:tr>
        <w:trPr>
          <w:trHeight w:val="225"/>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Net restricted stock (granted)/forfeited during:</w:t>
            </w: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25"/>
        </w:trPr>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Year ended December 31, 2021 and prior</w:t>
            </w:r>
          </w:p>
        </w:tc>
        <w:tc>
          <w:tcPr>
            <w:tcW w:w="2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(438)</w:t>
            </w:r>
          </w:p>
        </w:tc>
      </w:tr>
      <w:tr>
        <w:trPr>
          <w:trHeight w:val="225"/>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(251)</w:t>
            </w:r>
          </w:p>
        </w:tc>
      </w:tr>
      <w:tr>
        <w:trPr>
          <w:trHeight w:val="225"/>
        </w:trPr>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(82)</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r>
      <w:tr>
        <w:trPr>
          <w:trHeight w:val="225"/>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(497)</w:t>
            </w:r>
          </w:p>
        </w:tc>
        <w:tc>
          <w:tcPr>
            <w:tcW w:w="1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5"/>
        </w:trPr>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Six months ended June 30, 2025</w:t>
            </w:r>
          </w:p>
        </w:tc>
        <w:tc>
          <w:tcPr>
            <w:tcW w:w="2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8"/>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Total net restricted stock (granted)/forfeited</w:t>
            </w: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(588)</w:t>
            </w:r>
          </w:p>
        </w:tc>
        <w:tc>
          <w:tcPr>
            <w:tcW w:w="100" w:type="dxa"/>
            <w:vAlign w:val="bottom"/>
          </w:tcPr>
          <w:p>
            <w:pPr>
              <w:spacing w:after="0"/>
              <w:rPr>
                <w:sz w:val="18"/>
                <w:szCs w:val="18"/>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(661)</w:t>
            </w:r>
          </w:p>
        </w:tc>
      </w:tr>
      <w:tr>
        <w:trPr>
          <w:trHeight w:val="20"/>
        </w:trPr>
        <w:tc>
          <w:tcPr>
            <w:tcW w:w="696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39" w:lineRule="exact"/>
        <w:rPr>
          <w:sz w:val="20"/>
          <w:szCs w:val="20"/>
          <w:color w:val="auto"/>
        </w:rPr>
      </w:pPr>
    </w:p>
    <w:p>
      <w:pPr>
        <w:ind w:left="180" w:hanging="174"/>
        <w:spacing w:after="0"/>
        <w:tabs>
          <w:tab w:leader="none" w:pos="180" w:val="left"/>
        </w:tabs>
        <w:numPr>
          <w:ilvl w:val="0"/>
          <w:numId w:val="4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2023 Stock Incentive Plan provides for an initial share reserve of up to 3.0 million shares of Common Stock.</w:t>
      </w:r>
    </w:p>
    <w:p>
      <w:pPr>
        <w:spacing w:after="0" w:line="2" w:lineRule="exact"/>
        <w:rPr>
          <w:rFonts w:ascii="Times New Roman" w:cs="Times New Roman" w:eastAsia="Times New Roman" w:hAnsi="Times New Roman"/>
          <w:sz w:val="23"/>
          <w:szCs w:val="23"/>
          <w:color w:val="auto"/>
          <w:vertAlign w:val="superscript"/>
        </w:rPr>
      </w:pP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8"/>
          <w:szCs w:val="18"/>
          <w:color w:val="auto"/>
        </w:rPr>
        <w:t xml:space="preserve">  No stock options were granted under the 2015 or 2023 Stock Incentive Plans.</w:t>
      </w:r>
    </w:p>
    <w:p>
      <w:pPr>
        <w:spacing w:after="0" w:line="17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Awards of restricted stock granted under the 2015 and 2023 Stock Incentive Plans generally vest over a one- to three-year periods from the grant date; awards of restricted stock granted under the 2023 Stock Incentive Plan to non-employee directors generally vest over a one-year period. The grant date fair value is expensed over the service period, starting on the grant date.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Company’s outstanding shares related to restricted stock awards as of June 30, 2025 and December 31, 2024 are outlined below:</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140" w:type="dxa"/>
            <w:vAlign w:val="bottom"/>
          </w:tcPr>
          <w:p>
            <w:pPr>
              <w:spacing w:after="0"/>
              <w:rPr>
                <w:sz w:val="20"/>
                <w:szCs w:val="20"/>
                <w:color w:val="auto"/>
              </w:rPr>
            </w:pPr>
          </w:p>
        </w:tc>
        <w:tc>
          <w:tcPr>
            <w:tcW w:w="21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0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8"/>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outstanding related to grants of restricted stock awards</w:t>
            </w:r>
          </w:p>
        </w:tc>
        <w:tc>
          <w:tcPr>
            <w:tcW w:w="2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764</w:t>
            </w:r>
          </w:p>
        </w:tc>
        <w:tc>
          <w:tcPr>
            <w:tcW w:w="10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771</w:t>
            </w:r>
          </w:p>
        </w:tc>
      </w:tr>
      <w:tr>
        <w:trPr>
          <w:trHeight w:val="225"/>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 of awards</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$14.37</w:t>
            </w:r>
          </w:p>
        </w:tc>
        <w:tc>
          <w:tcPr>
            <w:tcW w:w="10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$14.51</w:t>
            </w:r>
          </w:p>
        </w:tc>
      </w:tr>
      <w:tr>
        <w:trPr>
          <w:trHeight w:val="225"/>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shares outstanding related to dividends on awards</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83</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r>
    </w:tbl>
    <w:p>
      <w:pPr>
        <w:spacing w:after="0" w:line="299"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8"/>
          <w:szCs w:val="18"/>
          <w:color w:val="auto"/>
        </w:rPr>
        <w:t>As of June 30, 2025 and December 31, 2024, the Company’s total unrecognized compensation expense related to unvested shares of restricted stock granted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100" w:type="dxa"/>
            <w:vAlign w:val="bottom"/>
          </w:tcPr>
          <w:p>
            <w:pPr>
              <w:spacing w:after="0"/>
              <w:rPr>
                <w:sz w:val="20"/>
                <w:szCs w:val="20"/>
                <w:color w:val="auto"/>
              </w:rPr>
            </w:pP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June 30, 2025</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December 31, 2024</w:t>
            </w:r>
          </w:p>
        </w:tc>
      </w:tr>
      <w:tr>
        <w:trPr>
          <w:trHeight w:val="218"/>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compensation expense on unvested awards</w:t>
            </w: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$3,116</w:t>
            </w:r>
          </w:p>
        </w:tc>
        <w:tc>
          <w:tcPr>
            <w:tcW w:w="1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$5,929</w:t>
            </w: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period of unrecognized compensation expense</w:t>
            </w: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0.9 years</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 year</w:t>
            </w:r>
          </w:p>
        </w:tc>
      </w:tr>
      <w:tr>
        <w:trPr>
          <w:trHeight w:val="510"/>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 (ESPP)</w:t>
            </w: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r>
    </w:tbl>
    <w:p>
      <w:pPr>
        <w:spacing w:after="0" w:line="22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7"/>
          <w:szCs w:val="17"/>
          <w:color w:val="auto"/>
        </w:rPr>
        <w:t>On June 14, 2023, the Company's stockholders approved the ESPP. The initial aggregate number of shares of Common Stock that may be purchased under the ESPP will not exceed 0.2 million shares. Under the terms of the ESPP, employees may authorize the withholding of up to 15% of their eligible compensation to purchase our shares of Common Stock, not to exceed $25 thousand of Common Stock for any calendar year. The purchase price per shares acquired under the ESPP will never be less than 85% of the fair market value of the lesser of our Common Stock on the offering date or purchase date. The Compensation, Corporate Governance and Nominating Committee of our Board of Directors, in its discretion, may terminate the ESPP at any time with respect to any shares for which options have not been granted and has the right to amend the ESPP with stockholder approval within 12 months before or after the adoption of the amendment. The difference between the Common Stock’s fair value and the employee’s discounted purchase price is expensed at the time of purchase.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ESPP activity from inception through June 30, 2025:</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8"/>
        </w:trPr>
        <w:tc>
          <w:tcPr>
            <w:tcW w:w="38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r>
      <w:tr>
        <w:trPr>
          <w:trHeight w:val="166"/>
        </w:trPr>
        <w:tc>
          <w:tcPr>
            <w:tcW w:w="3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20"/>
              <w:spacing w:after="0" w:line="165" w:lineRule="exact"/>
              <w:rPr>
                <w:sz w:val="20"/>
                <w:szCs w:val="20"/>
                <w:color w:val="auto"/>
              </w:rPr>
            </w:pPr>
            <w:r>
              <w:rPr>
                <w:rFonts w:ascii="Times New Roman" w:cs="Times New Roman" w:eastAsia="Times New Roman" w:hAnsi="Times New Roman"/>
                <w:sz w:val="18"/>
                <w:szCs w:val="18"/>
                <w:b w:val="1"/>
                <w:bCs w:val="1"/>
                <w:color w:val="auto"/>
                <w:w w:val="96"/>
              </w:rPr>
              <w:t>Offering</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38"/>
        </w:trPr>
        <w:tc>
          <w:tcPr>
            <w:tcW w:w="3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26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Offering Period</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8"/>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Commencement date</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4/1/2025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10/1/2024</w:t>
            </w:r>
          </w:p>
        </w:tc>
        <w:tc>
          <w:tcPr>
            <w:tcW w:w="3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4/1/2024</w:t>
            </w:r>
          </w:p>
        </w:tc>
        <w:tc>
          <w:tcPr>
            <w:tcW w:w="3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10/1/2023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25"/>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date</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6/15/2025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12/15/2024</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9/15/2024</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3/15/2024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5"/>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purchased</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5"/>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 price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80" w:type="dxa"/>
            <w:vAlign w:val="bottom"/>
          </w:tcPr>
          <w:p>
            <w:pPr>
              <w:spacing w:after="0"/>
              <w:rPr>
                <w:sz w:val="19"/>
                <w:szCs w:val="19"/>
                <w:color w:val="auto"/>
              </w:rPr>
            </w:pP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11.03</w:t>
            </w: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10.21</w:t>
            </w:r>
          </w:p>
        </w:tc>
        <w:tc>
          <w:tcPr>
            <w:tcW w:w="3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r>
      <w:tr>
        <w:trPr>
          <w:trHeight w:val="225"/>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purchased, net of discount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w:t>
            </w: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101</w:t>
            </w:r>
          </w:p>
        </w:tc>
        <w:tc>
          <w:tcPr>
            <w:tcW w:w="3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ESPP share activity is as follows:</w:t>
      </w:r>
    </w:p>
    <w:p>
      <w:pPr>
        <w:sectPr>
          <w:pgSz w:w="11900" w:h="16838" w:orient="portrait"/>
          <w:cols w:equalWidth="0" w:num="1">
            <w:col w:w="11240"/>
          </w:cols>
          <w:pgMar w:left="320" w:top="124" w:right="339" w:bottom="1440" w:gutter="0" w:footer="0" w:header="0"/>
        </w:sectPr>
      </w:pP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ESPP shares authorized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-135890</wp:posOffset>
            </wp:positionV>
            <wp:extent cx="7134860" cy="1511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ESPP shares purchased during:</w:t>
      </w:r>
    </w:p>
    <w:p>
      <w:pPr>
        <w:spacing w:after="0" w:line="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134860" cy="1428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Year ended December 31, 2024</w:t>
      </w:r>
    </w:p>
    <w:p>
      <w:pPr>
        <w:spacing w:after="0" w:line="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Period ended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134860" cy="1428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Available for future purchases, June 30, 2025</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w:t>
      </w:r>
    </w:p>
    <w:p>
      <w:pPr>
        <w:spacing w:after="0" w:line="3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200</w:t>
      </w:r>
    </w:p>
    <w:p>
      <w:pPr>
        <w:spacing w:after="0" w:line="24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(4)</w:t>
      </w:r>
    </w:p>
    <w:p>
      <w:pPr>
        <w:spacing w:after="0" w:line="2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(20)</w:t>
      </w:r>
    </w:p>
    <w:p>
      <w:pPr>
        <w:spacing w:after="0" w:line="1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12065</wp:posOffset>
            </wp:positionV>
            <wp:extent cx="120015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14605</wp:posOffset>
            </wp:positionV>
            <wp:extent cx="120015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00150" cy="8255"/>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40005</wp:posOffset>
            </wp:positionV>
            <wp:extent cx="120015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214" w:lineRule="exact"/>
        <w:rPr>
          <w:sz w:val="20"/>
          <w:szCs w:val="20"/>
          <w:color w:val="auto"/>
        </w:rPr>
      </w:pPr>
    </w:p>
    <w:p>
      <w:pPr>
        <w:sectPr>
          <w:pgSz w:w="11900" w:h="16838" w:orient="portrait"/>
          <w:cols w:equalWidth="0" w:num="2">
            <w:col w:w="9320" w:space="720"/>
            <w:col w:w="1200"/>
          </w:cols>
          <w:pgMar w:left="320" w:top="124" w:right="339" w:bottom="1440" w:gutter="0" w:footer="0" w:header="0"/>
          <w:type w:val="continuous"/>
        </w:sectPr>
      </w:pPr>
    </w:p>
    <w:p>
      <w:pPr>
        <w:spacing w:after="0" w:line="160"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8"/>
          <w:szCs w:val="18"/>
          <w:color w:val="auto"/>
        </w:rPr>
        <w:t>The Company’s total stock-based compensation expense included within Salaries and employee benefits expense in the Consolidated Statements of Income for the three and six months ended June 30, 2025 and 2024 is summarized below:</w:t>
      </w:r>
    </w:p>
    <w:p>
      <w:pPr>
        <w:sectPr>
          <w:pgSz w:w="11900" w:h="16838" w:orient="portrait"/>
          <w:cols w:equalWidth="0" w:num="1">
            <w:col w:w="11240"/>
          </w:cols>
          <w:pgMar w:left="320" w:top="124" w:right="339" w:bottom="1440" w:gutter="0" w:footer="0" w:header="0"/>
          <w:type w:val="continuous"/>
        </w:sectPr>
      </w:pPr>
    </w:p>
    <w:p>
      <w:pPr>
        <w:spacing w:after="0" w:line="233" w:lineRule="exact"/>
        <w:rPr>
          <w:sz w:val="20"/>
          <w:szCs w:val="20"/>
          <w:color w:val="auto"/>
        </w:rPr>
      </w:pPr>
    </w:p>
    <w:p>
      <w:pPr>
        <w:jc w:val="center"/>
        <w:ind w:left="4920"/>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22860</wp:posOffset>
            </wp:positionV>
            <wp:extent cx="19894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989455" cy="8255"/>
                    </a:xfrm>
                    <a:prstGeom prst="rect">
                      <a:avLst/>
                    </a:prstGeom>
                    <a:noFill/>
                  </pic:spPr>
                </pic:pic>
              </a:graphicData>
            </a:graphic>
          </wp:anchor>
        </w:drawing>
      </w:r>
    </w:p>
    <w:p>
      <w:pPr>
        <w:spacing w:after="0" w:line="22" w:lineRule="exact"/>
        <w:rPr>
          <w:sz w:val="20"/>
          <w:szCs w:val="20"/>
          <w:color w:val="auto"/>
        </w:rPr>
      </w:pPr>
    </w:p>
    <w:p>
      <w:pPr>
        <w:ind w:left="5440"/>
        <w:spacing w:after="0"/>
        <w:tabs>
          <w:tab w:leader="none" w:pos="704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22860</wp:posOffset>
            </wp:positionV>
            <wp:extent cx="199771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997710" cy="8255"/>
                    </a:xfrm>
                    <a:prstGeom prst="rect">
                      <a:avLst/>
                    </a:prstGeom>
                    <a:noFill/>
                  </pic:spPr>
                </pic:pic>
              </a:graphicData>
            </a:graphic>
          </wp:anchor>
        </w:drawing>
      </w:r>
    </w:p>
    <w:p>
      <w:pPr>
        <w:spacing w:after="0" w:line="22" w:lineRule="exact"/>
        <w:rPr>
          <w:sz w:val="20"/>
          <w:szCs w:val="20"/>
          <w:color w:val="auto"/>
        </w:rPr>
      </w:pPr>
    </w:p>
    <w:p>
      <w:pPr>
        <w:ind w:left="40"/>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4" w:lineRule="exact"/>
        <w:rPr>
          <w:sz w:val="20"/>
          <w:szCs w:val="20"/>
          <w:color w:val="auto"/>
        </w:rPr>
      </w:pPr>
    </w:p>
    <w:p>
      <w:pPr>
        <w:sectPr>
          <w:pgSz w:w="11900" w:h="16838" w:orient="portrait"/>
          <w:cols w:equalWidth="0" w:num="2">
            <w:col w:w="7920" w:space="720"/>
            <w:col w:w="2600"/>
          </w:cols>
          <w:pgMar w:left="320" w:top="124" w:right="339" w:bottom="1440" w:gutter="0" w:footer="0" w:header="0"/>
          <w:type w:val="continuous"/>
        </w:sectPr>
      </w:pPr>
    </w:p>
    <w:tbl>
      <w:tblPr>
        <w:tblLayout w:type="fixed"/>
        <w:tblInd w:w="0" w:type="dxa"/>
        <w:tblCellMar>
          <w:top w:w="0" w:type="dxa"/>
          <w:left w:w="0" w:type="dxa"/>
          <w:bottom w:w="0" w:type="dxa"/>
          <w:right w:w="0" w:type="dxa"/>
        </w:tblCellMar>
      </w:tblPr>
      <w:tr>
        <w:trPr>
          <w:trHeight w:val="219"/>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awards</w:t>
            </w:r>
          </w:p>
        </w:tc>
        <w:tc>
          <w:tcPr>
            <w:tcW w:w="580" w:type="dxa"/>
            <w:vAlign w:val="bottom"/>
            <w:tcBorders>
              <w:top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0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8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0" w:type="dxa"/>
            <w:vAlign w:val="bottom"/>
          </w:tcPr>
          <w:p>
            <w:pPr>
              <w:spacing w:after="0"/>
              <w:rPr>
                <w:sz w:val="1"/>
                <w:szCs w:val="1"/>
                <w:color w:val="auto"/>
              </w:rPr>
            </w:pPr>
          </w:p>
        </w:tc>
      </w:tr>
      <w:tr>
        <w:trPr>
          <w:trHeight w:val="225"/>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60"/>
        </w:trPr>
        <w:tc>
          <w:tcPr>
            <w:tcW w:w="486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8"/>
                <w:szCs w:val="18"/>
                <w:color w:val="auto"/>
              </w:rPr>
              <w:t>Total compensation cost recognized for stock-based compensation</w:t>
            </w:r>
          </w:p>
        </w:tc>
        <w:tc>
          <w:tcPr>
            <w:tcW w:w="580" w:type="dxa"/>
            <w:vAlign w:val="bottom"/>
            <w:vMerge w:val="restart"/>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0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8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0" w:type="dxa"/>
            <w:vAlign w:val="bottom"/>
          </w:tcPr>
          <w:p>
            <w:pPr>
              <w:spacing w:after="0"/>
              <w:rPr>
                <w:sz w:val="1"/>
                <w:szCs w:val="1"/>
                <w:color w:val="auto"/>
              </w:rPr>
            </w:pPr>
          </w:p>
        </w:tc>
      </w:tr>
      <w:tr>
        <w:trPr>
          <w:trHeight w:val="223"/>
        </w:trPr>
        <w:tc>
          <w:tcPr>
            <w:tcW w:w="4860" w:type="dxa"/>
            <w:vAlign w:val="bottom"/>
            <w:tcBorders>
              <w:bottom w:val="single" w:sz="8" w:color="CCEEFF"/>
            </w:tcBorders>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plans</w:t>
            </w: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17—INCOME TAXES: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Effective Tax Rate</w:t>
      </w:r>
    </w:p>
    <w:p>
      <w:pPr>
        <w:spacing w:after="0" w:line="244"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7"/>
          <w:szCs w:val="17"/>
          <w:color w:val="auto"/>
        </w:rPr>
        <w:t>The effective tax rate was 24.16% and 26.14% for the six months ended June 30, 2025 and June 30, 2024, respectively. The effective tax rate differs from the federal tax rate of 21% for the six months ended June 30, 2025, due primarily to the recognition of the difference in basis in the Company’s investment in NTS and state taxes. The effective tax rate differs from the federal tax rate of 21% for the six months ended June 30, 2024, due primarily due to state taxes.</w:t>
      </w:r>
    </w:p>
    <w:p>
      <w:pPr>
        <w:spacing w:after="0" w:line="18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The effective tax rate was 27.00% and 26.00% for the three months ended June 30, 2025 and June 30, 2024, respectively. The effective tax rate differs from the federal tax rate of 21% for the three months ended June 30, 2025 and June 30, 2024 primarily due to state taxes.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18—SEGMENTS:</w:t>
      </w:r>
    </w:p>
    <w:p>
      <w:pPr>
        <w:spacing w:after="0" w:line="231" w:lineRule="exact"/>
        <w:rPr>
          <w:sz w:val="20"/>
          <w:szCs w:val="20"/>
          <w:color w:val="auto"/>
        </w:rPr>
      </w:pPr>
    </w:p>
    <w:p>
      <w:pPr>
        <w:ind w:right="80"/>
        <w:spacing w:after="0" w:line="225" w:lineRule="auto"/>
        <w:rPr>
          <w:sz w:val="20"/>
          <w:szCs w:val="20"/>
          <w:color w:val="auto"/>
        </w:rPr>
      </w:pPr>
      <w:r>
        <w:rPr>
          <w:rFonts w:ascii="Times New Roman" w:cs="Times New Roman" w:eastAsia="Times New Roman" w:hAnsi="Times New Roman"/>
          <w:sz w:val="18"/>
          <w:szCs w:val="18"/>
          <w:color w:val="auto"/>
        </w:rPr>
        <w:t>The Company's management reporting process measures the performance of its operating segments based on internal operating structure, which is subject to change from time to time. The Company's segment reporting process begins with the assignment of all loans directly to the segments where these products are originated and/or serviced. All deposit accounts are allocated to the Banking segment as our wholly owned FDIC insured depository is included within the Banking segment. Equity capital is assigned to each segment based on the risk profile of their assets and liabilities. With the exception of goodwill, which is assigned a 100% weighting, equity capital allocations ranged from 0% to 25% during the year. Any excess or deficient equity not allocated to segments based on risk is assigned to the Corporate &amp; Other segment.</w:t>
      </w:r>
    </w:p>
    <w:p>
      <w:pPr>
        <w:spacing w:after="0" w:line="211" w:lineRule="exact"/>
        <w:rPr>
          <w:sz w:val="20"/>
          <w:szCs w:val="20"/>
          <w:color w:val="auto"/>
        </w:rPr>
      </w:pPr>
    </w:p>
    <w:p>
      <w:pPr>
        <w:ind w:right="220"/>
        <w:spacing w:after="0" w:line="227" w:lineRule="auto"/>
        <w:rPr>
          <w:sz w:val="20"/>
          <w:szCs w:val="20"/>
          <w:color w:val="auto"/>
        </w:rPr>
      </w:pPr>
      <w:r>
        <w:rPr>
          <w:rFonts w:ascii="Times New Roman" w:cs="Times New Roman" w:eastAsia="Times New Roman" w:hAnsi="Times New Roman"/>
          <w:sz w:val="18"/>
          <w:szCs w:val="18"/>
          <w:color w:val="auto"/>
        </w:rPr>
        <w:t>Net interest income, provision for credit losses, and non-interest expense amounts are recorded in their respective segments to the extent the amounts are directly attributable to those segments. The net income amount for each reportable segment is further derived by the use of expense allocations. Certain expenses not directly attributable to a specific segment are allocated across all segments based on key metrics, such as number of employees. These types of expenses include information technology, operations, human resources, finance, risk management, credit administration, legal, and marketing.</w:t>
      </w:r>
    </w:p>
    <w:p>
      <w:pPr>
        <w:spacing w:after="0" w:line="222" w:lineRule="exact"/>
        <w:rPr>
          <w:sz w:val="20"/>
          <w:szCs w:val="20"/>
          <w:color w:val="auto"/>
        </w:rPr>
      </w:pPr>
    </w:p>
    <w:p>
      <w:pPr>
        <w:ind w:right="480"/>
        <w:spacing w:after="0" w:line="270" w:lineRule="auto"/>
        <w:rPr>
          <w:sz w:val="20"/>
          <w:szCs w:val="20"/>
          <w:color w:val="auto"/>
        </w:rPr>
      </w:pPr>
      <w:r>
        <w:rPr>
          <w:rFonts w:ascii="Times New Roman" w:cs="Times New Roman" w:eastAsia="Times New Roman" w:hAnsi="Times New Roman"/>
          <w:sz w:val="18"/>
          <w:szCs w:val="18"/>
          <w:color w:val="auto"/>
        </w:rPr>
        <w:t>The assignment and allocation methodologies used in the segment reporting process discussed above change from time to time as systems are enhanced, methods for evaluating segment performance or product lines change or as business segments are realigned.</w:t>
      </w:r>
    </w:p>
    <w:p>
      <w:pPr>
        <w:spacing w:after="0" w:line="182"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17"/>
          <w:szCs w:val="17"/>
          <w:color w:val="auto"/>
        </w:rPr>
        <w:t>The Company operates four reportable segments for management reporting purposes with their operating and financial results reviewed by the chief operating decision maker (“CODM”), which is the Chief Executive Officer of the Company. The CODM assesses overall segment performance based on pre-tax income and uses this metric to allocate resources for each segment, focusing on budgeting and forecasting. The Company has four segments, as discussed below: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Banking</w:t>
      </w:r>
    </w:p>
    <w:p>
      <w:pPr>
        <w:spacing w:after="0" w:line="233" w:lineRule="exact"/>
        <w:rPr>
          <w:sz w:val="20"/>
          <w:szCs w:val="20"/>
          <w:color w:val="auto"/>
        </w:rPr>
      </w:pPr>
    </w:p>
    <w:p>
      <w:pPr>
        <w:ind w:right="640"/>
        <w:spacing w:after="0" w:line="255" w:lineRule="auto"/>
        <w:rPr>
          <w:sz w:val="20"/>
          <w:szCs w:val="20"/>
          <w:color w:val="auto"/>
        </w:rPr>
      </w:pPr>
      <w:r>
        <w:rPr>
          <w:rFonts w:ascii="Times New Roman" w:cs="Times New Roman" w:eastAsia="Times New Roman" w:hAnsi="Times New Roman"/>
          <w:sz w:val="18"/>
          <w:szCs w:val="18"/>
          <w:color w:val="auto"/>
        </w:rPr>
        <w:t>Newtek Bank originates, services and sells SBA 7(a) loans in a similar manner to NSBF’s historic business model (see Non-Bank Lending below) and originates and services SBA 504 loans, C&amp;I loans, CRE loans and ABL loans. In addition, Newtek Bank offers depository services.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Alternative Lending</w:t>
      </w:r>
    </w:p>
    <w:p>
      <w:pPr>
        <w:spacing w:after="0" w:line="233"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8"/>
          <w:szCs w:val="18"/>
          <w:color w:val="auto"/>
        </w:rPr>
        <w:t>Alternative Lending includes NALH (Newtek ALP Holdings) and its subsidiaries. The Company has originated loans under its Alternative Lending Program (ALP) since 2019. Prior to July 1, 2024, the Company originated ALP loans with the intent to sell to a JV. While the Company continues to source JV partners to participate in the ALP, the Company’s subsidiary Newtek ALP Holdings (NALH) also originates ALP loans designated as HFI. The Company does not expect any significant changes to the underwriting or terms of loans in its ALP.</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NSBF</w:t>
      </w:r>
    </w:p>
    <w:p>
      <w:pPr>
        <w:spacing w:after="0" w:line="233" w:lineRule="exact"/>
        <w:rPr>
          <w:sz w:val="20"/>
          <w:szCs w:val="20"/>
          <w:color w:val="auto"/>
        </w:rPr>
      </w:pPr>
    </w:p>
    <w:p>
      <w:pPr>
        <w:ind w:right="360"/>
        <w:spacing w:after="0" w:line="255" w:lineRule="auto"/>
        <w:rPr>
          <w:sz w:val="20"/>
          <w:szCs w:val="20"/>
          <w:color w:val="auto"/>
        </w:rPr>
      </w:pPr>
      <w:r>
        <w:rPr>
          <w:rFonts w:ascii="Times New Roman" w:cs="Times New Roman" w:eastAsia="Times New Roman" w:hAnsi="Times New Roman"/>
          <w:sz w:val="18"/>
          <w:szCs w:val="18"/>
          <w:color w:val="auto"/>
        </w:rPr>
        <w:t>NSBF relates to NSBF’s legacy portfolio of SBA 7(a) loans held outside Newtek Bank; no new loan origination activity takes place. A material portion of NSBF’s legacy portfolio of SBA 7(a) loans reside in securitization trusts.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Payments</w:t>
      </w:r>
    </w:p>
    <w:p>
      <w:pPr>
        <w:spacing w:after="0" w:line="23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Payments includes NMS, POS and Mobil Money. NMS markets credit and debit card processing services, check approval services, processing equipment, and software and:</w:t>
      </w:r>
    </w:p>
    <w:p>
      <w:pPr>
        <w:spacing w:after="0" w:line="2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Assist merchants with initial installation of equipment and on-going service, as well as any other special processing needs that they may have.</w:t>
      </w:r>
    </w:p>
    <w:p>
      <w:pPr>
        <w:spacing w:after="0" w:line="11" w:lineRule="exact"/>
        <w:rPr>
          <w:sz w:val="20"/>
          <w:szCs w:val="20"/>
          <w:color w:val="auto"/>
        </w:rPr>
      </w:pPr>
    </w:p>
    <w:p>
      <w:pPr>
        <w:ind w:left="320"/>
        <w:spacing w:after="0" w:line="229" w:lineRule="auto"/>
        <w:rPr>
          <w:sz w:val="20"/>
          <w:szCs w:val="20"/>
          <w:color w:val="auto"/>
        </w:rPr>
      </w:pPr>
      <w:r>
        <w:rPr>
          <w:rFonts w:ascii="Times New Roman" w:cs="Times New Roman" w:eastAsia="Times New Roman" w:hAnsi="Times New Roman"/>
          <w:sz w:val="18"/>
          <w:szCs w:val="18"/>
          <w:color w:val="auto"/>
        </w:rPr>
        <w:t>–   Handles payment processing for Mobil Money’s merchant portfolio of taxi cabs and related licensed payment processing software.</w:t>
      </w:r>
    </w:p>
    <w:p>
      <w:pPr>
        <w:ind w:left="640" w:right="300" w:hanging="317"/>
        <w:spacing w:after="0" w:line="239" w:lineRule="auto"/>
        <w:rPr>
          <w:sz w:val="20"/>
          <w:szCs w:val="20"/>
          <w:color w:val="auto"/>
        </w:rPr>
      </w:pPr>
      <w:r>
        <w:rPr>
          <w:rFonts w:ascii="Times New Roman" w:cs="Times New Roman" w:eastAsia="Times New Roman" w:hAnsi="Times New Roman"/>
          <w:sz w:val="18"/>
          <w:szCs w:val="18"/>
          <w:color w:val="auto"/>
        </w:rPr>
        <w:t>– POS is a provider of a cloud based Point of Sale (POS) system for a variety of restaurant, retail, assisted living, parks and golf course businesses, which provides not only payments and purchase technology solutions, but also inventory, customer management, reporting, employee time clock, table and menu layouts, and ecommerce solutions as the central operating system for an SMB.</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p>
      <w:pPr>
        <w:spacing w:after="0" w:line="233"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The information provided under the caption “Corporate and Other” represents operations not considered to be reportable segments and/or general operating expenses of the Company, and includes the parent company, other non-bank subsidiaries including NIA and PMT, and elimination adjustments to reconcile the results of the operating segments to the condensed consolidated financial statements prepared in conformity with GAAP.</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8"/>
          <w:szCs w:val="18"/>
          <w:b w:val="1"/>
          <w:bCs w:val="1"/>
          <w:color w:val="auto"/>
        </w:rPr>
        <w:t>ormer Reportable Segment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w:t>
      </w:r>
    </w:p>
    <w:p>
      <w:pPr>
        <w:spacing w:after="0" w:line="233"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18"/>
          <w:szCs w:val="18"/>
          <w:color w:val="auto"/>
        </w:rPr>
        <w:t>NTS provided website hosting, web design and development, dedicated server hosting, cloud hosting, internet marketing, ecommerce, data storage, backup and disaster recovery, and other related services including consulting and implementing technology solutions for enterprise and commercial clients across the U.S. As a result of commitments made to the Federal Reserve in connection with the Acquisition, the Company divested of NTS on January 2, 2025. As a result of the Company’s completion of the NTS Sale, Technology will no longer be reported as a reportable segment. See NOTE 4—INVESTMENTS: Intelligent Protection Management Corp</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financial information for the Company's segments: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80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As of and for the six months ended June 30, 2025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4"/>
          </w:tcPr>
          <w:p>
            <w:pPr>
              <w:ind w:left="400"/>
              <w:spacing w:after="0"/>
              <w:rPr>
                <w:sz w:val="20"/>
                <w:szCs w:val="20"/>
                <w:color w:val="auto"/>
              </w:rPr>
            </w:pPr>
            <w:r>
              <w:rPr>
                <w:rFonts w:ascii="Times New Roman" w:cs="Times New Roman" w:eastAsia="Times New Roman" w:hAnsi="Times New Roman"/>
                <w:sz w:val="18"/>
                <w:szCs w:val="18"/>
                <w:color w:val="auto"/>
              </w:rPr>
              <w:t>Banking</w:t>
            </w:r>
          </w:p>
        </w:tc>
        <w:tc>
          <w:tcPr>
            <w:tcW w:w="15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Alternative Lending</w:t>
            </w:r>
          </w:p>
        </w:tc>
        <w:tc>
          <w:tcPr>
            <w:tcW w:w="100" w:type="dxa"/>
            <w:vAlign w:val="bottom"/>
          </w:tcPr>
          <w:p>
            <w:pPr>
              <w:spacing w:after="0"/>
              <w:rPr>
                <w:sz w:val="19"/>
                <w:szCs w:val="19"/>
                <w:color w:val="auto"/>
              </w:rPr>
            </w:pPr>
          </w:p>
        </w:tc>
        <w:tc>
          <w:tcPr>
            <w:tcW w:w="146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NSBF</w:t>
            </w:r>
          </w:p>
        </w:tc>
        <w:tc>
          <w:tcPr>
            <w:tcW w:w="120" w:type="dxa"/>
            <w:vAlign w:val="bottom"/>
          </w:tcPr>
          <w:p>
            <w:pPr>
              <w:spacing w:after="0"/>
              <w:rPr>
                <w:sz w:val="19"/>
                <w:szCs w:val="19"/>
                <w:color w:val="auto"/>
              </w:rPr>
            </w:pPr>
          </w:p>
        </w:tc>
        <w:tc>
          <w:tcPr>
            <w:tcW w:w="14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Payments</w:t>
            </w:r>
          </w:p>
        </w:tc>
        <w:tc>
          <w:tcPr>
            <w:tcW w:w="100" w:type="dxa"/>
            <w:vAlign w:val="bottom"/>
          </w:tcPr>
          <w:p>
            <w:pPr>
              <w:spacing w:after="0"/>
              <w:rPr>
                <w:sz w:val="19"/>
                <w:szCs w:val="19"/>
                <w:color w:val="auto"/>
              </w:rPr>
            </w:pPr>
          </w:p>
        </w:tc>
        <w:tc>
          <w:tcPr>
            <w:tcW w:w="15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Corporate &amp; Other</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8"/>
              </w:rPr>
              <w:t>Consolidated</w:t>
            </w:r>
          </w:p>
        </w:tc>
        <w:tc>
          <w:tcPr>
            <w:tcW w:w="0" w:type="dxa"/>
            <w:vAlign w:val="bottom"/>
          </w:tcPr>
          <w:p>
            <w:pPr>
              <w:spacing w:after="0"/>
              <w:rPr>
                <w:sz w:val="1"/>
                <w:szCs w:val="1"/>
                <w:color w:val="auto"/>
              </w:rPr>
            </w:pPr>
          </w:p>
        </w:tc>
      </w:tr>
      <w:tr>
        <w:trPr>
          <w:trHeight w:val="218"/>
        </w:trPr>
        <w:tc>
          <w:tcPr>
            <w:tcW w:w="2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98"/>
              </w:rPr>
              <w:t>Segment</w:t>
            </w: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Elim</w:t>
            </w:r>
          </w:p>
        </w:tc>
        <w:tc>
          <w:tcPr>
            <w:tcW w:w="8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Segment</w:t>
            </w: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Elim</w:t>
            </w:r>
          </w:p>
        </w:tc>
        <w:tc>
          <w:tcPr>
            <w:tcW w:w="8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Segment</w:t>
            </w: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Elim</w:t>
            </w:r>
          </w:p>
        </w:tc>
        <w:tc>
          <w:tcPr>
            <w:tcW w:w="8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w w:val="98"/>
              </w:rPr>
              <w:t>Segment</w:t>
            </w: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Elim</w:t>
            </w:r>
          </w:p>
        </w:tc>
        <w:tc>
          <w:tcPr>
            <w:tcW w:w="8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Segment</w:t>
            </w: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Elim</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82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47,091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74,408</w:t>
            </w:r>
          </w:p>
        </w:tc>
        <w:tc>
          <w:tcPr>
            <w:tcW w:w="0" w:type="dxa"/>
            <w:vAlign w:val="bottom"/>
          </w:tcPr>
          <w:p>
            <w:pPr>
              <w:spacing w:after="0"/>
              <w:rPr>
                <w:sz w:val="1"/>
                <w:szCs w:val="1"/>
                <w:color w:val="auto"/>
              </w:rPr>
            </w:pPr>
          </w:p>
        </w:tc>
      </w:tr>
      <w:tr>
        <w:trPr>
          <w:trHeight w:val="225"/>
        </w:trPr>
        <w:tc>
          <w:tcPr>
            <w:tcW w:w="2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19,789</w:t>
            </w: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4,031</w:t>
            </w: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6,547</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16,822</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46,552</w:t>
            </w:r>
          </w:p>
        </w:tc>
        <w:tc>
          <w:tcPr>
            <w:tcW w:w="0" w:type="dxa"/>
            <w:vAlign w:val="bottom"/>
          </w:tcPr>
          <w:p>
            <w:pPr>
              <w:spacing w:after="0"/>
              <w:rPr>
                <w:sz w:val="1"/>
                <w:szCs w:val="1"/>
                <w:color w:val="auto"/>
              </w:rPr>
            </w:pPr>
          </w:p>
        </w:tc>
      </w:tr>
      <w:tr>
        <w:trPr>
          <w:trHeight w:val="218"/>
        </w:trPr>
        <w:tc>
          <w:tcPr>
            <w:tcW w:w="2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interest income/(loss)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27,302</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10,006</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6,803</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(16,108)</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27,856</w:t>
            </w:r>
          </w:p>
        </w:tc>
        <w:tc>
          <w:tcPr>
            <w:tcW w:w="0" w:type="dxa"/>
            <w:vAlign w:val="bottom"/>
          </w:tcPr>
          <w:p>
            <w:pPr>
              <w:spacing w:after="0"/>
              <w:rPr>
                <w:sz w:val="1"/>
                <w:szCs w:val="1"/>
                <w:color w:val="auto"/>
              </w:rPr>
            </w:pPr>
          </w:p>
        </w:tc>
      </w:tr>
      <w:tr>
        <w:trPr>
          <w:trHeight w:val="180"/>
        </w:trPr>
        <w:tc>
          <w:tcPr>
            <w:tcW w:w="210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color w:val="auto"/>
              </w:rPr>
              <w:t>Provision for loan credit</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22,622</w:t>
            </w:r>
          </w:p>
        </w:tc>
        <w:tc>
          <w:tcPr>
            <w:tcW w:w="12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22,622</w:t>
            </w:r>
          </w:p>
        </w:tc>
        <w:tc>
          <w:tcPr>
            <w:tcW w:w="0" w:type="dxa"/>
            <w:vAlign w:val="bottom"/>
          </w:tcPr>
          <w:p>
            <w:pPr>
              <w:spacing w:after="0"/>
              <w:rPr>
                <w:sz w:val="1"/>
                <w:szCs w:val="1"/>
                <w:color w:val="auto"/>
              </w:rPr>
            </w:pPr>
          </w:p>
        </w:tc>
      </w:tr>
      <w:tr>
        <w:trPr>
          <w:trHeight w:val="160"/>
        </w:trPr>
        <w:tc>
          <w:tcPr>
            <w:tcW w:w="2100" w:type="dxa"/>
            <w:vAlign w:val="bottom"/>
            <w:tcBorders>
              <w:top w:val="single" w:sz="8" w:color="CCEEFF"/>
            </w:tcBorders>
            <w:shd w:val="clear" w:color="auto" w:fill="CCEEFF"/>
          </w:tcPr>
          <w:p>
            <w:pPr>
              <w:ind w:left="20"/>
              <w:spacing w:after="0" w:line="160" w:lineRule="exact"/>
              <w:rPr>
                <w:sz w:val="20"/>
                <w:szCs w:val="20"/>
                <w:color w:val="auto"/>
              </w:rPr>
            </w:pPr>
            <w:r>
              <w:rPr>
                <w:rFonts w:ascii="Times New Roman" w:cs="Times New Roman" w:eastAsia="Times New Roman" w:hAnsi="Times New Roman"/>
                <w:sz w:val="18"/>
                <w:szCs w:val="18"/>
                <w:color w:val="auto"/>
              </w:rPr>
              <w:t>Net interest income after</w:t>
            </w:r>
          </w:p>
        </w:tc>
        <w:tc>
          <w:tcPr>
            <w:tcW w:w="1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10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provision for loan credit</w:t>
            </w:r>
          </w:p>
        </w:tc>
        <w:tc>
          <w:tcPr>
            <w:tcW w:w="1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1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10,006</w:t>
            </w:r>
          </w:p>
        </w:tc>
        <w:tc>
          <w:tcPr>
            <w:tcW w:w="1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6,803</w:t>
            </w:r>
          </w:p>
        </w:tc>
        <w:tc>
          <w:tcPr>
            <w:tcW w:w="1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(16,108)</w:t>
            </w:r>
          </w:p>
        </w:tc>
        <w:tc>
          <w:tcPr>
            <w:tcW w:w="12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5,234</w:t>
            </w:r>
          </w:p>
        </w:tc>
        <w:tc>
          <w:tcPr>
            <w:tcW w:w="0" w:type="dxa"/>
            <w:vAlign w:val="bottom"/>
          </w:tcPr>
          <w:p>
            <w:pPr>
              <w:spacing w:after="0"/>
              <w:rPr>
                <w:sz w:val="1"/>
                <w:szCs w:val="1"/>
                <w:color w:val="auto"/>
              </w:rPr>
            </w:pPr>
          </w:p>
        </w:tc>
      </w:tr>
      <w:tr>
        <w:trPr>
          <w:trHeight w:val="225"/>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w:t>
            </w:r>
          </w:p>
        </w:tc>
        <w:tc>
          <w:tcPr>
            <w:tcW w:w="10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 income</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70,491</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(14,310)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33,458</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(5,283)</w:t>
            </w:r>
          </w:p>
        </w:tc>
        <w:tc>
          <w:tcPr>
            <w:tcW w:w="12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24,028</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46,442</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(44,879)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108,673</w:t>
            </w:r>
          </w:p>
        </w:tc>
        <w:tc>
          <w:tcPr>
            <w:tcW w:w="0" w:type="dxa"/>
            <w:vAlign w:val="bottom"/>
          </w:tcPr>
          <w:p>
            <w:pPr>
              <w:spacing w:after="0"/>
              <w:rPr>
                <w:sz w:val="1"/>
                <w:szCs w:val="1"/>
                <w:color w:val="auto"/>
              </w:rPr>
            </w:pPr>
          </w:p>
        </w:tc>
      </w:tr>
      <w:tr>
        <w:trPr>
          <w:trHeight w:val="180"/>
        </w:trPr>
        <w:tc>
          <w:tcPr>
            <w:tcW w:w="210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Electronic payment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processing expense</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9,566</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8,875</w:t>
            </w:r>
          </w:p>
        </w:tc>
        <w:tc>
          <w:tcPr>
            <w:tcW w:w="0" w:type="dxa"/>
            <w:vAlign w:val="bottom"/>
          </w:tcPr>
          <w:p>
            <w:pPr>
              <w:spacing w:after="0"/>
              <w:rPr>
                <w:sz w:val="1"/>
                <w:szCs w:val="1"/>
                <w:color w:val="auto"/>
              </w:rPr>
            </w:pPr>
          </w:p>
        </w:tc>
      </w:tr>
      <w:tr>
        <w:trPr>
          <w:trHeight w:val="180"/>
        </w:trPr>
        <w:tc>
          <w:tcPr>
            <w:tcW w:w="210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color w:val="auto"/>
              </w:rPr>
              <w:t>Salaries and employee</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benefits expense</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29,199</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9,854</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44,451</w:t>
            </w:r>
          </w:p>
        </w:tc>
        <w:tc>
          <w:tcPr>
            <w:tcW w:w="0" w:type="dxa"/>
            <w:vAlign w:val="bottom"/>
          </w:tcPr>
          <w:p>
            <w:pPr>
              <w:spacing w:after="0"/>
              <w:rPr>
                <w:sz w:val="1"/>
                <w:szCs w:val="1"/>
                <w:color w:val="auto"/>
              </w:rPr>
            </w:pPr>
          </w:p>
        </w:tc>
      </w:tr>
      <w:tr>
        <w:trPr>
          <w:trHeight w:val="180"/>
        </w:trPr>
        <w:tc>
          <w:tcPr>
            <w:tcW w:w="21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Professional services</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7,739</w:t>
            </w:r>
          </w:p>
        </w:tc>
        <w:tc>
          <w:tcPr>
            <w:tcW w:w="0" w:type="dxa"/>
            <w:vAlign w:val="bottom"/>
          </w:tcPr>
          <w:p>
            <w:pPr>
              <w:spacing w:after="0"/>
              <w:rPr>
                <w:sz w:val="1"/>
                <w:szCs w:val="1"/>
                <w:color w:val="auto"/>
              </w:rPr>
            </w:pPr>
          </w:p>
        </w:tc>
      </w:tr>
      <w:tr>
        <w:trPr>
          <w:trHeight w:val="180"/>
        </w:trPr>
        <w:tc>
          <w:tcPr>
            <w:tcW w:w="210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color w:val="auto"/>
              </w:rPr>
              <w:t>Other loan origination and</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maintenance expense</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12,104</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6,725</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7,704</w:t>
            </w:r>
          </w:p>
        </w:tc>
        <w:tc>
          <w:tcPr>
            <w:tcW w:w="0" w:type="dxa"/>
            <w:vAlign w:val="bottom"/>
          </w:tcPr>
          <w:p>
            <w:pPr>
              <w:spacing w:after="0"/>
              <w:rPr>
                <w:sz w:val="1"/>
                <w:szCs w:val="1"/>
                <w:color w:val="auto"/>
              </w:rPr>
            </w:pPr>
          </w:p>
        </w:tc>
      </w:tr>
      <w:tr>
        <w:trPr>
          <w:trHeight w:val="180"/>
        </w:trPr>
        <w:tc>
          <w:tcPr>
            <w:tcW w:w="21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Depreciation and</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180"/>
        </w:trPr>
        <w:tc>
          <w:tcPr>
            <w:tcW w:w="210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color w:val="auto"/>
              </w:rPr>
              <w:t>Other general and</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administrative costs</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7,278</w:t>
            </w: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14,297</w:t>
            </w:r>
          </w:p>
        </w:tc>
        <w:tc>
          <w:tcPr>
            <w:tcW w:w="0" w:type="dxa"/>
            <w:vAlign w:val="bottom"/>
          </w:tcPr>
          <w:p>
            <w:pPr>
              <w:spacing w:after="0"/>
              <w:rPr>
                <w:sz w:val="1"/>
                <w:szCs w:val="1"/>
                <w:color w:val="auto"/>
              </w:rPr>
            </w:pPr>
          </w:p>
        </w:tc>
      </w:tr>
      <w:tr>
        <w:trPr>
          <w:trHeight w:val="218"/>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23,937</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38,127</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(8,728)</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8,341</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13,379</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(46,995)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30,421</w:t>
            </w:r>
          </w:p>
        </w:tc>
        <w:tc>
          <w:tcPr>
            <w:tcW w:w="0" w:type="dxa"/>
            <w:vAlign w:val="bottom"/>
          </w:tcPr>
          <w:p>
            <w:pPr>
              <w:spacing w:after="0"/>
              <w:rPr>
                <w:sz w:val="1"/>
                <w:szCs w:val="1"/>
                <w:color w:val="auto"/>
              </w:rPr>
            </w:pPr>
          </w:p>
        </w:tc>
      </w:tr>
      <w:tr>
        <w:trPr>
          <w:trHeight w:val="225"/>
        </w:trPr>
        <w:tc>
          <w:tcPr>
            <w:tcW w:w="2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w w:val="98"/>
              </w:rPr>
              <w:t>Income tax expense (benefit)</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5,645</w:t>
            </w: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(5,645)</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5,645</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7,351</w:t>
            </w:r>
          </w:p>
        </w:tc>
        <w:tc>
          <w:tcPr>
            <w:tcW w:w="0" w:type="dxa"/>
            <w:vAlign w:val="bottom"/>
          </w:tcPr>
          <w:p>
            <w:pPr>
              <w:spacing w:after="0"/>
              <w:rPr>
                <w:sz w:val="1"/>
                <w:szCs w:val="1"/>
                <w:color w:val="auto"/>
              </w:rPr>
            </w:pPr>
          </w:p>
        </w:tc>
      </w:tr>
      <w:tr>
        <w:trPr>
          <w:trHeight w:val="243"/>
        </w:trPr>
        <w:tc>
          <w:tcPr>
            <w:tcW w:w="2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(52,640)</w:t>
            </w:r>
          </w:p>
        </w:tc>
        <w:tc>
          <w:tcPr>
            <w:tcW w:w="8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23,070</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1,372,995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(38,485)</w:t>
            </w:r>
          </w:p>
        </w:tc>
        <w:tc>
          <w:tcPr>
            <w:tcW w:w="8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413,702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(69,549)</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438,939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(61,517)</w:t>
            </w:r>
          </w:p>
        </w:tc>
        <w:tc>
          <w:tcPr>
            <w:tcW w:w="8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72,685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(45,364)</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654,543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(611,732)</w:t>
            </w:r>
          </w:p>
        </w:tc>
        <w:tc>
          <w:tcPr>
            <w:tcW w:w="8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2,126,217</w:t>
            </w:r>
          </w:p>
        </w:tc>
        <w:tc>
          <w:tcPr>
            <w:tcW w:w="0" w:type="dxa"/>
            <w:vAlign w:val="bottom"/>
          </w:tcPr>
          <w:p>
            <w:pPr>
              <w:spacing w:after="0"/>
              <w:rPr>
                <w:sz w:val="1"/>
                <w:szCs w:val="1"/>
                <w:color w:val="auto"/>
              </w:rPr>
            </w:pPr>
          </w:p>
        </w:tc>
      </w:tr>
      <w:tr>
        <w:trPr>
          <w:trHeight w:val="225"/>
        </w:trPr>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6"/>
              </w:rPr>
              <w:t>Goodwill &amp; intangible assets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13,814</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14,672</w:t>
            </w:r>
          </w:p>
        </w:tc>
        <w:tc>
          <w:tcPr>
            <w:tcW w:w="0" w:type="dxa"/>
            <w:vAlign w:val="bottom"/>
          </w:tcPr>
          <w:p>
            <w:pPr>
              <w:spacing w:after="0"/>
              <w:rPr>
                <w:sz w:val="1"/>
                <w:szCs w:val="1"/>
                <w:color w:val="auto"/>
              </w:rPr>
            </w:pPr>
          </w:p>
        </w:tc>
      </w:tr>
      <w:tr>
        <w:trPr>
          <w:trHeight w:val="180"/>
        </w:trPr>
        <w:tc>
          <w:tcPr>
            <w:tcW w:w="210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color w:val="auto"/>
              </w:rPr>
              <w:t>Amortization of intangible</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80"/>
          </w:cols>
          <w:pgMar w:left="320" w:top="124" w:right="4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280" w:type="dxa"/>
            <w:vAlign w:val="bottom"/>
            <w:gridSpan w:val="11"/>
          </w:tcPr>
          <w:p>
            <w:pPr>
              <w:ind w:left="20"/>
              <w:spacing w:after="0"/>
              <w:rPr>
                <w:sz w:val="20"/>
                <w:szCs w:val="20"/>
                <w:color w:val="auto"/>
              </w:rPr>
            </w:pPr>
            <w:r>
              <w:rPr>
                <w:rFonts w:ascii="Times New Roman" w:cs="Times New Roman" w:eastAsia="Times New Roman" w:hAnsi="Times New Roman"/>
                <w:sz w:val="18"/>
                <w:szCs w:val="18"/>
                <w:b w:val="1"/>
                <w:bCs w:val="1"/>
                <w:color w:val="auto"/>
              </w:rPr>
              <w:t>As of and for the six months ended June 30, 2024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Banking</w:t>
            </w:r>
          </w:p>
        </w:tc>
        <w:tc>
          <w:tcPr>
            <w:tcW w:w="15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Alternative Lending</w:t>
            </w:r>
          </w:p>
        </w:tc>
        <w:tc>
          <w:tcPr>
            <w:tcW w:w="100" w:type="dxa"/>
            <w:vAlign w:val="bottom"/>
          </w:tcPr>
          <w:p>
            <w:pPr>
              <w:spacing w:after="0"/>
              <w:rPr>
                <w:sz w:val="19"/>
                <w:szCs w:val="19"/>
                <w:color w:val="auto"/>
              </w:rPr>
            </w:pPr>
          </w:p>
        </w:tc>
        <w:tc>
          <w:tcPr>
            <w:tcW w:w="12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120" w:type="dxa"/>
            <w:vAlign w:val="bottom"/>
          </w:tcPr>
          <w:p>
            <w:pPr>
              <w:spacing w:after="0"/>
              <w:rPr>
                <w:sz w:val="19"/>
                <w:szCs w:val="19"/>
                <w:color w:val="auto"/>
              </w:rPr>
            </w:pPr>
          </w:p>
        </w:tc>
        <w:tc>
          <w:tcPr>
            <w:tcW w:w="146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NSBF</w:t>
            </w:r>
          </w:p>
        </w:tc>
        <w:tc>
          <w:tcPr>
            <w:tcW w:w="100" w:type="dxa"/>
            <w:vAlign w:val="bottom"/>
          </w:tcPr>
          <w:p>
            <w:pPr>
              <w:spacing w:after="0"/>
              <w:rPr>
                <w:sz w:val="19"/>
                <w:szCs w:val="19"/>
                <w:color w:val="auto"/>
              </w:rPr>
            </w:pPr>
          </w:p>
        </w:tc>
        <w:tc>
          <w:tcPr>
            <w:tcW w:w="138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color w:val="auto"/>
                <w:w w:val="97"/>
              </w:rPr>
              <w:t>Payments</w:t>
            </w:r>
          </w:p>
        </w:tc>
        <w:tc>
          <w:tcPr>
            <w:tcW w:w="100" w:type="dxa"/>
            <w:vAlign w:val="bottom"/>
          </w:tcPr>
          <w:p>
            <w:pPr>
              <w:spacing w:after="0"/>
              <w:rPr>
                <w:sz w:val="19"/>
                <w:szCs w:val="19"/>
                <w:color w:val="auto"/>
              </w:rPr>
            </w:pPr>
          </w:p>
        </w:tc>
        <w:tc>
          <w:tcPr>
            <w:tcW w:w="156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color w:val="auto"/>
                <w:w w:val="98"/>
              </w:rPr>
              <w:t>Corporate &amp; Other</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6"/>
              </w:rPr>
              <w:t>Consolidated</w:t>
            </w:r>
          </w:p>
        </w:tc>
        <w:tc>
          <w:tcPr>
            <w:tcW w:w="0" w:type="dxa"/>
            <w:vAlign w:val="bottom"/>
          </w:tcPr>
          <w:p>
            <w:pPr>
              <w:spacing w:after="0"/>
              <w:rPr>
                <w:sz w:val="1"/>
                <w:szCs w:val="1"/>
                <w:color w:val="auto"/>
              </w:rPr>
            </w:pPr>
          </w:p>
        </w:tc>
      </w:tr>
      <w:tr>
        <w:trPr>
          <w:trHeight w:val="218"/>
        </w:trPr>
        <w:tc>
          <w:tcPr>
            <w:tcW w:w="112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Segment</w:t>
            </w: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Elim</w:t>
            </w:r>
          </w:p>
        </w:tc>
        <w:tc>
          <w:tcPr>
            <w:tcW w:w="8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Segment</w:t>
            </w: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Elim</w:t>
            </w:r>
          </w:p>
        </w:tc>
        <w:tc>
          <w:tcPr>
            <w:tcW w:w="8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w w:val="98"/>
              </w:rPr>
              <w:t>Segment</w:t>
            </w:r>
          </w:p>
        </w:tc>
        <w:tc>
          <w:tcPr>
            <w:tcW w:w="1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Elim</w:t>
            </w:r>
          </w:p>
        </w:tc>
        <w:tc>
          <w:tcPr>
            <w:tcW w:w="8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Segment</w:t>
            </w: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Elim</w:t>
            </w:r>
          </w:p>
        </w:tc>
        <w:tc>
          <w:tcPr>
            <w:tcW w:w="8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w w:val="98"/>
              </w:rPr>
              <w:t>Segment</w:t>
            </w: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Elim</w:t>
            </w:r>
          </w:p>
        </w:tc>
        <w:tc>
          <w:tcPr>
            <w:tcW w:w="8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Segment</w:t>
            </w: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Elim</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8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1120" w:type="dxa"/>
            <w:vAlign w:val="bottom"/>
            <w:shd w:val="clear" w:color="auto" w:fill="CCEEFF"/>
          </w:tcPr>
          <w:p>
            <w:pPr>
              <w:ind w:left="20"/>
              <w:spacing w:after="0" w:line="152" w:lineRule="exact"/>
              <w:rPr>
                <w:sz w:val="20"/>
                <w:szCs w:val="20"/>
                <w:color w:val="auto"/>
              </w:rPr>
            </w:pPr>
            <w:r>
              <w:rPr>
                <w:rFonts w:ascii="Times New Roman" w:cs="Times New Roman" w:eastAsia="Times New Roman" w:hAnsi="Times New Roman"/>
                <w:sz w:val="17"/>
                <w:szCs w:val="17"/>
                <w:color w:val="auto"/>
              </w:rPr>
              <w:t>Interest</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56,420</w:t>
            </w:r>
          </w:p>
        </w:tc>
        <w:tc>
          <w:tcPr>
            <w:tcW w:w="0" w:type="dxa"/>
            <w:vAlign w:val="bottom"/>
          </w:tcPr>
          <w:p>
            <w:pPr>
              <w:spacing w:after="0"/>
              <w:rPr>
                <w:sz w:val="1"/>
                <w:szCs w:val="1"/>
                <w:color w:val="auto"/>
              </w:rPr>
            </w:pPr>
          </w:p>
        </w:tc>
      </w:tr>
      <w:tr>
        <w:trPr>
          <w:trHeight w:val="172"/>
        </w:trPr>
        <w:tc>
          <w:tcPr>
            <w:tcW w:w="112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Interest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13,032</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12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11,654</w:t>
            </w:r>
          </w:p>
        </w:tc>
        <w:tc>
          <w:tcPr>
            <w:tcW w:w="10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12,273</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38,388</w:t>
            </w:r>
          </w:p>
        </w:tc>
        <w:tc>
          <w:tcPr>
            <w:tcW w:w="0" w:type="dxa"/>
            <w:vAlign w:val="bottom"/>
          </w:tcPr>
          <w:p>
            <w:pPr>
              <w:spacing w:after="0"/>
              <w:rPr>
                <w:sz w:val="1"/>
                <w:szCs w:val="1"/>
                <w:color w:val="auto"/>
              </w:rPr>
            </w:pPr>
          </w:p>
        </w:tc>
      </w:tr>
      <w:tr>
        <w:trPr>
          <w:trHeight w:val="152"/>
        </w:trPr>
        <w:tc>
          <w:tcPr>
            <w:tcW w:w="1120" w:type="dxa"/>
            <w:vAlign w:val="bottom"/>
            <w:tcBorders>
              <w:top w:val="single" w:sz="8" w:color="CCEEFF"/>
            </w:tcBorders>
            <w:shd w:val="clear" w:color="auto" w:fill="CCEEFF"/>
          </w:tcPr>
          <w:p>
            <w:pPr>
              <w:ind w:left="120"/>
              <w:spacing w:after="0" w:line="152" w:lineRule="exact"/>
              <w:rPr>
                <w:sz w:val="20"/>
                <w:szCs w:val="20"/>
                <w:color w:val="auto"/>
              </w:rPr>
            </w:pPr>
            <w:r>
              <w:rPr>
                <w:rFonts w:ascii="Times New Roman" w:cs="Times New Roman" w:eastAsia="Times New Roman" w:hAnsi="Times New Roman"/>
                <w:sz w:val="17"/>
                <w:szCs w:val="17"/>
                <w:color w:val="auto"/>
              </w:rPr>
              <w:t>Net interest</w:t>
            </w:r>
          </w:p>
        </w:tc>
        <w:tc>
          <w:tcPr>
            <w:tcW w:w="12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1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income/(loss)</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17,032</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4,075</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8,369</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(11,050)</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18,032</w:t>
            </w:r>
          </w:p>
        </w:tc>
        <w:tc>
          <w:tcPr>
            <w:tcW w:w="0" w:type="dxa"/>
            <w:vAlign w:val="bottom"/>
          </w:tcPr>
          <w:p>
            <w:pPr>
              <w:spacing w:after="0"/>
              <w:rPr>
                <w:sz w:val="1"/>
                <w:szCs w:val="1"/>
                <w:color w:val="auto"/>
              </w:rPr>
            </w:pPr>
          </w:p>
        </w:tc>
      </w:tr>
      <w:tr>
        <w:trPr>
          <w:trHeight w:val="172"/>
        </w:trPr>
        <w:tc>
          <w:tcPr>
            <w:tcW w:w="112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Provision for</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12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color w:val="auto"/>
              </w:rPr>
              <w:t>loan credit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9,814</w:t>
            </w:r>
          </w:p>
        </w:tc>
        <w:tc>
          <w:tcPr>
            <w:tcW w:w="14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9,814</w:t>
            </w:r>
          </w:p>
        </w:tc>
        <w:tc>
          <w:tcPr>
            <w:tcW w:w="0" w:type="dxa"/>
            <w:vAlign w:val="bottom"/>
          </w:tcPr>
          <w:p>
            <w:pPr>
              <w:spacing w:after="0"/>
              <w:rPr>
                <w:sz w:val="1"/>
                <w:szCs w:val="1"/>
                <w:color w:val="auto"/>
              </w:rPr>
            </w:pPr>
          </w:p>
        </w:tc>
      </w:tr>
      <w:tr>
        <w:trPr>
          <w:trHeight w:val="152"/>
        </w:trPr>
        <w:tc>
          <w:tcPr>
            <w:tcW w:w="1120" w:type="dxa"/>
            <w:vAlign w:val="bottom"/>
            <w:tcBorders>
              <w:top w:val="single" w:sz="8" w:color="CCEEFF"/>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7"/>
                <w:szCs w:val="17"/>
                <w:color w:val="auto"/>
              </w:rPr>
              <w:t>Net interest</w:t>
            </w:r>
          </w:p>
        </w:tc>
        <w:tc>
          <w:tcPr>
            <w:tcW w:w="12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12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income after</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2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provision for</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12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loan credit</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7,218</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4,075</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8,369</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(11,050)</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8,218</w:t>
            </w:r>
          </w:p>
        </w:tc>
        <w:tc>
          <w:tcPr>
            <w:tcW w:w="0" w:type="dxa"/>
            <w:vAlign w:val="bottom"/>
          </w:tcPr>
          <w:p>
            <w:pPr>
              <w:spacing w:after="0"/>
              <w:rPr>
                <w:sz w:val="1"/>
                <w:szCs w:val="1"/>
                <w:color w:val="auto"/>
              </w:rPr>
            </w:pPr>
          </w:p>
        </w:tc>
      </w:tr>
      <w:tr>
        <w:trPr>
          <w:trHeight w:val="172"/>
        </w:trPr>
        <w:tc>
          <w:tcPr>
            <w:tcW w:w="112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Noninterest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64,903</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(13,353)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16,319</w:t>
            </w:r>
          </w:p>
        </w:tc>
        <w:tc>
          <w:tcPr>
            <w:tcW w:w="12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14,207</w:t>
            </w: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(3,224)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(6,630)</w:t>
            </w:r>
          </w:p>
        </w:tc>
        <w:tc>
          <w:tcPr>
            <w:tcW w:w="10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26,371</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23,791</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101,387</w:t>
            </w:r>
          </w:p>
        </w:tc>
        <w:tc>
          <w:tcPr>
            <w:tcW w:w="0" w:type="dxa"/>
            <w:vAlign w:val="bottom"/>
          </w:tcPr>
          <w:p>
            <w:pPr>
              <w:spacing w:after="0"/>
              <w:rPr>
                <w:sz w:val="1"/>
                <w:szCs w:val="1"/>
                <w:color w:val="auto"/>
              </w:rPr>
            </w:pPr>
          </w:p>
        </w:tc>
      </w:tr>
      <w:tr>
        <w:trPr>
          <w:trHeight w:val="172"/>
        </w:trPr>
        <w:tc>
          <w:tcPr>
            <w:tcW w:w="112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Technology</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12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services</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6,828</w:t>
            </w:r>
          </w:p>
        </w:tc>
        <w:tc>
          <w:tcPr>
            <w:tcW w:w="0" w:type="dxa"/>
            <w:vAlign w:val="bottom"/>
          </w:tcPr>
          <w:p>
            <w:pPr>
              <w:spacing w:after="0"/>
              <w:rPr>
                <w:sz w:val="1"/>
                <w:szCs w:val="1"/>
                <w:color w:val="auto"/>
              </w:rPr>
            </w:pPr>
          </w:p>
        </w:tc>
      </w:tr>
      <w:tr>
        <w:trPr>
          <w:trHeight w:val="172"/>
        </w:trPr>
        <w:tc>
          <w:tcPr>
            <w:tcW w:w="112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Electronic</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12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color w:val="auto"/>
              </w:rPr>
              <w:t>payment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2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processing</w:t>
            </w:r>
          </w:p>
        </w:tc>
        <w:tc>
          <w:tcPr>
            <w:tcW w:w="12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6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2"/>
              </w:rPr>
              <w:t>11,159</w:t>
            </w:r>
          </w:p>
        </w:tc>
        <w:tc>
          <w:tcPr>
            <w:tcW w:w="1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10,539</w:t>
            </w:r>
          </w:p>
        </w:tc>
        <w:tc>
          <w:tcPr>
            <w:tcW w:w="0" w:type="dxa"/>
            <w:vAlign w:val="bottom"/>
          </w:tcPr>
          <w:p>
            <w:pPr>
              <w:spacing w:after="0"/>
              <w:rPr>
                <w:sz w:val="1"/>
                <w:szCs w:val="1"/>
                <w:color w:val="auto"/>
              </w:rPr>
            </w:pPr>
          </w:p>
        </w:tc>
      </w:tr>
      <w:tr>
        <w:trPr>
          <w:trHeight w:val="225"/>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12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112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Salaries and</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12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employee</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2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benefits</w:t>
            </w:r>
          </w:p>
        </w:tc>
        <w:tc>
          <w:tcPr>
            <w:tcW w:w="1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23,797</w:t>
            </w:r>
          </w:p>
        </w:tc>
        <w:tc>
          <w:tcPr>
            <w:tcW w:w="1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w:t>
            </w:r>
          </w:p>
        </w:tc>
        <w:tc>
          <w:tcPr>
            <w:tcW w:w="100" w:type="dxa"/>
            <w:vAlign w:val="bottom"/>
            <w:shd w:val="clear" w:color="auto" w:fill="CCEEFF"/>
          </w:tcPr>
          <w:p>
            <w:pPr>
              <w:spacing w:after="0"/>
              <w:rPr>
                <w:sz w:val="15"/>
                <w:szCs w:val="15"/>
                <w:color w:val="auto"/>
              </w:rPr>
            </w:pPr>
          </w:p>
        </w:tc>
        <w:tc>
          <w:tcPr>
            <w:tcW w:w="62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3,994</w:t>
            </w:r>
          </w:p>
        </w:tc>
        <w:tc>
          <w:tcPr>
            <w:tcW w:w="1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8,727</w:t>
            </w:r>
          </w:p>
        </w:tc>
        <w:tc>
          <w:tcPr>
            <w:tcW w:w="1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41,296</w:t>
            </w:r>
          </w:p>
        </w:tc>
        <w:tc>
          <w:tcPr>
            <w:tcW w:w="0" w:type="dxa"/>
            <w:vAlign w:val="bottom"/>
          </w:tcPr>
          <w:p>
            <w:pPr>
              <w:spacing w:after="0"/>
              <w:rPr>
                <w:sz w:val="1"/>
                <w:szCs w:val="1"/>
                <w:color w:val="auto"/>
              </w:rPr>
            </w:pPr>
          </w:p>
        </w:tc>
      </w:tr>
      <w:tr>
        <w:trPr>
          <w:trHeight w:val="225"/>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12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112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Professional</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12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color w:val="auto"/>
              </w:rPr>
              <w:t>services</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14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19"/>
                <w:szCs w:val="19"/>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12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7,308</w:t>
            </w:r>
          </w:p>
        </w:tc>
        <w:tc>
          <w:tcPr>
            <w:tcW w:w="0" w:type="dxa"/>
            <w:vAlign w:val="bottom"/>
          </w:tcPr>
          <w:p>
            <w:pPr>
              <w:spacing w:after="0"/>
              <w:rPr>
                <w:sz w:val="1"/>
                <w:szCs w:val="1"/>
                <w:color w:val="auto"/>
              </w:rPr>
            </w:pPr>
          </w:p>
        </w:tc>
      </w:tr>
      <w:tr>
        <w:trPr>
          <w:trHeight w:val="172"/>
        </w:trPr>
        <w:tc>
          <w:tcPr>
            <w:tcW w:w="112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Other loan</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12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w w:val="98"/>
              </w:rPr>
              <w:t>origination and</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2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maintenance</w:t>
            </w:r>
          </w:p>
        </w:tc>
        <w:tc>
          <w:tcPr>
            <w:tcW w:w="1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8,870</w:t>
            </w:r>
          </w:p>
        </w:tc>
        <w:tc>
          <w:tcPr>
            <w:tcW w:w="1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1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5"/>
                <w:szCs w:val="15"/>
                <w:color w:val="auto"/>
              </w:rPr>
            </w:pPr>
          </w:p>
        </w:tc>
        <w:tc>
          <w:tcPr>
            <w:tcW w:w="62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7,556</w:t>
            </w:r>
          </w:p>
        </w:tc>
        <w:tc>
          <w:tcPr>
            <w:tcW w:w="1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0" w:type="dxa"/>
            <w:vAlign w:val="bottom"/>
          </w:tcPr>
          <w:p>
            <w:pPr>
              <w:spacing w:after="0"/>
              <w:rPr>
                <w:sz w:val="1"/>
                <w:szCs w:val="1"/>
                <w:color w:val="auto"/>
              </w:rPr>
            </w:pPr>
          </w:p>
        </w:tc>
      </w:tr>
      <w:tr>
        <w:trPr>
          <w:trHeight w:val="225"/>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12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112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Depreciation</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12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color w:val="auto"/>
              </w:rPr>
              <w:t>and</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19"/>
                <w:szCs w:val="19"/>
                <w:color w:val="auto"/>
              </w:rPr>
            </w:pP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9"/>
                <w:szCs w:val="19"/>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0" w:type="dxa"/>
            <w:vAlign w:val="bottom"/>
          </w:tcPr>
          <w:p>
            <w:pPr>
              <w:spacing w:after="0"/>
              <w:rPr>
                <w:sz w:val="1"/>
                <w:szCs w:val="1"/>
                <w:color w:val="auto"/>
              </w:rPr>
            </w:pPr>
          </w:p>
        </w:tc>
      </w:tr>
      <w:tr>
        <w:trPr>
          <w:trHeight w:val="172"/>
        </w:trPr>
        <w:tc>
          <w:tcPr>
            <w:tcW w:w="112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Other general</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12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and</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2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administrative</w:t>
            </w:r>
          </w:p>
        </w:tc>
        <w:tc>
          <w:tcPr>
            <w:tcW w:w="1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6,214</w:t>
            </w:r>
          </w:p>
        </w:tc>
        <w:tc>
          <w:tcPr>
            <w:tcW w:w="1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10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1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9,440</w:t>
            </w:r>
          </w:p>
        </w:tc>
        <w:tc>
          <w:tcPr>
            <w:tcW w:w="0" w:type="dxa"/>
            <w:vAlign w:val="bottom"/>
          </w:tcPr>
          <w:p>
            <w:pPr>
              <w:spacing w:after="0"/>
              <w:rPr>
                <w:sz w:val="1"/>
                <w:szCs w:val="1"/>
                <w:color w:val="auto"/>
              </w:rPr>
            </w:pPr>
          </w:p>
        </w:tc>
      </w:tr>
      <w:tr>
        <w:trPr>
          <w:trHeight w:val="225"/>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w:t>
            </w:r>
          </w:p>
        </w:tc>
        <w:tc>
          <w:tcPr>
            <w:tcW w:w="12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1120" w:type="dxa"/>
            <w:vAlign w:val="bottom"/>
          </w:tcPr>
          <w:p>
            <w:pPr>
              <w:ind w:left="20"/>
              <w:spacing w:after="0" w:line="152" w:lineRule="exact"/>
              <w:rPr>
                <w:sz w:val="20"/>
                <w:szCs w:val="20"/>
                <w:color w:val="auto"/>
              </w:rPr>
            </w:pPr>
            <w:r>
              <w:rPr>
                <w:rFonts w:ascii="Times New Roman" w:cs="Times New Roman" w:eastAsia="Times New Roman" w:hAnsi="Times New Roman"/>
                <w:sz w:val="17"/>
                <w:szCs w:val="17"/>
                <w:color w:val="auto"/>
              </w:rPr>
              <w:t>Income before</w:t>
            </w: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31,230</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17,770</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(2,906)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(7,170)</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8,868</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27,882</w:t>
            </w:r>
          </w:p>
        </w:tc>
        <w:tc>
          <w:tcPr>
            <w:tcW w:w="0" w:type="dxa"/>
            <w:vAlign w:val="bottom"/>
          </w:tcPr>
          <w:p>
            <w:pPr>
              <w:spacing w:after="0"/>
              <w:rPr>
                <w:sz w:val="1"/>
                <w:szCs w:val="1"/>
                <w:color w:val="auto"/>
              </w:rPr>
            </w:pPr>
          </w:p>
        </w:tc>
      </w:tr>
      <w:tr>
        <w:trPr>
          <w:trHeight w:val="172"/>
        </w:trPr>
        <w:tc>
          <w:tcPr>
            <w:tcW w:w="112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Income tax</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12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expense</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9,376</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7,287</w:t>
            </w:r>
          </w:p>
        </w:tc>
        <w:tc>
          <w:tcPr>
            <w:tcW w:w="0" w:type="dxa"/>
            <w:vAlign w:val="bottom"/>
          </w:tcPr>
          <w:p>
            <w:pPr>
              <w:spacing w:after="0"/>
              <w:rPr>
                <w:sz w:val="1"/>
                <w:szCs w:val="1"/>
                <w:color w:val="auto"/>
              </w:rPr>
            </w:pPr>
          </w:p>
        </w:tc>
      </w:tr>
      <w:tr>
        <w:trPr>
          <w:trHeight w:val="218"/>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21,854</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17,770</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(2,906)</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(7,170)</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5,354</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8,868</w:t>
            </w:r>
          </w:p>
        </w:tc>
        <w:tc>
          <w:tcPr>
            <w:tcW w:w="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(21,379)</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20,595</w:t>
            </w:r>
          </w:p>
        </w:tc>
        <w:tc>
          <w:tcPr>
            <w:tcW w:w="0" w:type="dxa"/>
            <w:vAlign w:val="bottom"/>
          </w:tcPr>
          <w:p>
            <w:pPr>
              <w:spacing w:after="0"/>
              <w:rPr>
                <w:sz w:val="1"/>
                <w:szCs w:val="1"/>
                <w:color w:val="auto"/>
              </w:rPr>
            </w:pPr>
          </w:p>
        </w:tc>
      </w:tr>
      <w:tr>
        <w:trPr>
          <w:trHeight w:val="20"/>
        </w:trPr>
        <w:tc>
          <w:tcPr>
            <w:tcW w:w="1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7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Other Segment Disclosures: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840,749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(23,588)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289,715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(82,359)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21,848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567,783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(84,192)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58,316</w:t>
            </w: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(34,344)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905,718</w:t>
            </w: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(841,754)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1,617,004</w:t>
            </w:r>
          </w:p>
        </w:tc>
        <w:tc>
          <w:tcPr>
            <w:tcW w:w="0" w:type="dxa"/>
            <w:vAlign w:val="bottom"/>
          </w:tcPr>
          <w:p>
            <w:pPr>
              <w:spacing w:after="0"/>
              <w:rPr>
                <w:sz w:val="1"/>
                <w:szCs w:val="1"/>
                <w:color w:val="auto"/>
              </w:rPr>
            </w:pPr>
          </w:p>
        </w:tc>
      </w:tr>
      <w:tr>
        <w:trPr>
          <w:trHeight w:val="172"/>
        </w:trPr>
        <w:tc>
          <w:tcPr>
            <w:tcW w:w="112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Goodwill &amp;</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12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color w:val="auto"/>
              </w:rPr>
              <w:t>intangible</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14,945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13,814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29,783</w:t>
            </w:r>
          </w:p>
        </w:tc>
        <w:tc>
          <w:tcPr>
            <w:tcW w:w="0" w:type="dxa"/>
            <w:vAlign w:val="bottom"/>
          </w:tcPr>
          <w:p>
            <w:pPr>
              <w:spacing w:after="0"/>
              <w:rPr>
                <w:sz w:val="1"/>
                <w:szCs w:val="1"/>
                <w:color w:val="auto"/>
              </w:rPr>
            </w:pPr>
          </w:p>
        </w:tc>
      </w:tr>
      <w:tr>
        <w:trPr>
          <w:trHeight w:val="172"/>
        </w:trPr>
        <w:tc>
          <w:tcPr>
            <w:tcW w:w="112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Amortization</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12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of intangible</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320" w:top="12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76200</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4" w:right="2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financial information for the Company's segments: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90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As of and for the three months ended June 30, 2025</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4"/>
          </w:tcPr>
          <w:p>
            <w:pPr>
              <w:ind w:left="400"/>
              <w:spacing w:after="0"/>
              <w:rPr>
                <w:sz w:val="20"/>
                <w:szCs w:val="20"/>
                <w:color w:val="auto"/>
              </w:rPr>
            </w:pPr>
            <w:r>
              <w:rPr>
                <w:rFonts w:ascii="Times New Roman" w:cs="Times New Roman" w:eastAsia="Times New Roman" w:hAnsi="Times New Roman"/>
                <w:sz w:val="18"/>
                <w:szCs w:val="18"/>
                <w:color w:val="auto"/>
              </w:rPr>
              <w:t>Banking</w:t>
            </w:r>
          </w:p>
        </w:tc>
        <w:tc>
          <w:tcPr>
            <w:tcW w:w="15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Alternative Lending</w:t>
            </w:r>
          </w:p>
        </w:tc>
        <w:tc>
          <w:tcPr>
            <w:tcW w:w="100" w:type="dxa"/>
            <w:vAlign w:val="bottom"/>
          </w:tcPr>
          <w:p>
            <w:pPr>
              <w:spacing w:after="0"/>
              <w:rPr>
                <w:sz w:val="19"/>
                <w:szCs w:val="19"/>
                <w:color w:val="auto"/>
              </w:rPr>
            </w:pPr>
          </w:p>
        </w:tc>
        <w:tc>
          <w:tcPr>
            <w:tcW w:w="146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NSBF</w:t>
            </w:r>
          </w:p>
        </w:tc>
        <w:tc>
          <w:tcPr>
            <w:tcW w:w="120" w:type="dxa"/>
            <w:vAlign w:val="bottom"/>
          </w:tcPr>
          <w:p>
            <w:pPr>
              <w:spacing w:after="0"/>
              <w:rPr>
                <w:sz w:val="19"/>
                <w:szCs w:val="19"/>
                <w:color w:val="auto"/>
              </w:rPr>
            </w:pPr>
          </w:p>
        </w:tc>
        <w:tc>
          <w:tcPr>
            <w:tcW w:w="14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Payments</w:t>
            </w:r>
          </w:p>
        </w:tc>
        <w:tc>
          <w:tcPr>
            <w:tcW w:w="100" w:type="dxa"/>
            <w:vAlign w:val="bottom"/>
          </w:tcPr>
          <w:p>
            <w:pPr>
              <w:spacing w:after="0"/>
              <w:rPr>
                <w:sz w:val="19"/>
                <w:szCs w:val="19"/>
                <w:color w:val="auto"/>
              </w:rPr>
            </w:pPr>
          </w:p>
        </w:tc>
        <w:tc>
          <w:tcPr>
            <w:tcW w:w="15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Corporate &amp; Other</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8"/>
              </w:rPr>
              <w:t>Consolidated</w:t>
            </w:r>
          </w:p>
        </w:tc>
        <w:tc>
          <w:tcPr>
            <w:tcW w:w="0" w:type="dxa"/>
            <w:vAlign w:val="bottom"/>
          </w:tcPr>
          <w:p>
            <w:pPr>
              <w:spacing w:after="0"/>
              <w:rPr>
                <w:sz w:val="1"/>
                <w:szCs w:val="1"/>
                <w:color w:val="auto"/>
              </w:rPr>
            </w:pPr>
          </w:p>
        </w:tc>
      </w:tr>
      <w:tr>
        <w:trPr>
          <w:trHeight w:val="218"/>
        </w:trPr>
        <w:tc>
          <w:tcPr>
            <w:tcW w:w="2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98"/>
              </w:rPr>
              <w:t>Segment</w:t>
            </w: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Elim</w:t>
            </w:r>
          </w:p>
        </w:tc>
        <w:tc>
          <w:tcPr>
            <w:tcW w:w="8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Segment</w:t>
            </w: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Elim</w:t>
            </w:r>
          </w:p>
        </w:tc>
        <w:tc>
          <w:tcPr>
            <w:tcW w:w="8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Segment</w:t>
            </w: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Elim</w:t>
            </w:r>
          </w:p>
        </w:tc>
        <w:tc>
          <w:tcPr>
            <w:tcW w:w="8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w w:val="98"/>
              </w:rPr>
              <w:t>Segment</w:t>
            </w: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Elim</w:t>
            </w:r>
          </w:p>
        </w:tc>
        <w:tc>
          <w:tcPr>
            <w:tcW w:w="8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Segment</w:t>
            </w: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Elim</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82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36,518</w:t>
            </w:r>
          </w:p>
        </w:tc>
        <w:tc>
          <w:tcPr>
            <w:tcW w:w="0" w:type="dxa"/>
            <w:vAlign w:val="bottom"/>
          </w:tcPr>
          <w:p>
            <w:pPr>
              <w:spacing w:after="0"/>
              <w:rPr>
                <w:sz w:val="1"/>
                <w:szCs w:val="1"/>
                <w:color w:val="auto"/>
              </w:rPr>
            </w:pPr>
          </w:p>
        </w:tc>
      </w:tr>
      <w:tr>
        <w:trPr>
          <w:trHeight w:val="225"/>
        </w:trPr>
        <w:tc>
          <w:tcPr>
            <w:tcW w:w="2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9,651</w:t>
            </w: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8,316</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22,595</w:t>
            </w:r>
          </w:p>
        </w:tc>
        <w:tc>
          <w:tcPr>
            <w:tcW w:w="0" w:type="dxa"/>
            <w:vAlign w:val="bottom"/>
          </w:tcPr>
          <w:p>
            <w:pPr>
              <w:spacing w:after="0"/>
              <w:rPr>
                <w:sz w:val="1"/>
                <w:szCs w:val="1"/>
                <w:color w:val="auto"/>
              </w:rPr>
            </w:pPr>
          </w:p>
        </w:tc>
      </w:tr>
      <w:tr>
        <w:trPr>
          <w:trHeight w:val="218"/>
        </w:trPr>
        <w:tc>
          <w:tcPr>
            <w:tcW w:w="2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interest income/(loss)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14,562</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3"/>
              </w:rPr>
              <w:t>(84)</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(8,113)</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13,923</w:t>
            </w:r>
          </w:p>
        </w:tc>
        <w:tc>
          <w:tcPr>
            <w:tcW w:w="0" w:type="dxa"/>
            <w:vAlign w:val="bottom"/>
          </w:tcPr>
          <w:p>
            <w:pPr>
              <w:spacing w:after="0"/>
              <w:rPr>
                <w:sz w:val="1"/>
                <w:szCs w:val="1"/>
                <w:color w:val="auto"/>
              </w:rPr>
            </w:pPr>
          </w:p>
        </w:tc>
      </w:tr>
      <w:tr>
        <w:trPr>
          <w:trHeight w:val="180"/>
        </w:trPr>
        <w:tc>
          <w:tcPr>
            <w:tcW w:w="210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color w:val="auto"/>
              </w:rPr>
              <w:t>Provision for loan credit</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9,117</w:t>
            </w:r>
          </w:p>
        </w:tc>
        <w:tc>
          <w:tcPr>
            <w:tcW w:w="12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9,117</w:t>
            </w:r>
          </w:p>
        </w:tc>
        <w:tc>
          <w:tcPr>
            <w:tcW w:w="0" w:type="dxa"/>
            <w:vAlign w:val="bottom"/>
          </w:tcPr>
          <w:p>
            <w:pPr>
              <w:spacing w:after="0"/>
              <w:rPr>
                <w:sz w:val="1"/>
                <w:szCs w:val="1"/>
                <w:color w:val="auto"/>
              </w:rPr>
            </w:pPr>
          </w:p>
        </w:tc>
      </w:tr>
      <w:tr>
        <w:trPr>
          <w:trHeight w:val="160"/>
        </w:trPr>
        <w:tc>
          <w:tcPr>
            <w:tcW w:w="2100" w:type="dxa"/>
            <w:vAlign w:val="bottom"/>
            <w:tcBorders>
              <w:top w:val="single" w:sz="8" w:color="CCEEFF"/>
            </w:tcBorders>
            <w:shd w:val="clear" w:color="auto" w:fill="CCEEFF"/>
          </w:tcPr>
          <w:p>
            <w:pPr>
              <w:ind w:left="20"/>
              <w:spacing w:after="0" w:line="160" w:lineRule="exact"/>
              <w:rPr>
                <w:sz w:val="20"/>
                <w:szCs w:val="20"/>
                <w:color w:val="auto"/>
              </w:rPr>
            </w:pPr>
            <w:r>
              <w:rPr>
                <w:rFonts w:ascii="Times New Roman" w:cs="Times New Roman" w:eastAsia="Times New Roman" w:hAnsi="Times New Roman"/>
                <w:sz w:val="18"/>
                <w:szCs w:val="18"/>
                <w:color w:val="auto"/>
              </w:rPr>
              <w:t>Net interest income after</w:t>
            </w:r>
          </w:p>
        </w:tc>
        <w:tc>
          <w:tcPr>
            <w:tcW w:w="1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10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provision for loan credit</w:t>
            </w:r>
          </w:p>
        </w:tc>
        <w:tc>
          <w:tcPr>
            <w:tcW w:w="1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5,445</w:t>
            </w:r>
          </w:p>
        </w:tc>
        <w:tc>
          <w:tcPr>
            <w:tcW w:w="1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1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1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3"/>
              </w:rPr>
              <w:t>(84)</w:t>
            </w:r>
          </w:p>
        </w:tc>
        <w:tc>
          <w:tcPr>
            <w:tcW w:w="1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(8,113)</w:t>
            </w:r>
          </w:p>
        </w:tc>
        <w:tc>
          <w:tcPr>
            <w:tcW w:w="12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w:t>
            </w:r>
          </w:p>
        </w:tc>
        <w:tc>
          <w:tcPr>
            <w:tcW w:w="0" w:type="dxa"/>
            <w:vAlign w:val="bottom"/>
          </w:tcPr>
          <w:p>
            <w:pPr>
              <w:spacing w:after="0"/>
              <w:rPr>
                <w:sz w:val="1"/>
                <w:szCs w:val="1"/>
                <w:color w:val="auto"/>
              </w:rPr>
            </w:pPr>
          </w:p>
        </w:tc>
      </w:tr>
      <w:tr>
        <w:trPr>
          <w:trHeight w:val="225"/>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w:t>
            </w:r>
          </w:p>
        </w:tc>
        <w:tc>
          <w:tcPr>
            <w:tcW w:w="10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 income</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37,685</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13,147</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12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12,616</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23,497</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56,275</w:t>
            </w:r>
          </w:p>
        </w:tc>
        <w:tc>
          <w:tcPr>
            <w:tcW w:w="0" w:type="dxa"/>
            <w:vAlign w:val="bottom"/>
          </w:tcPr>
          <w:p>
            <w:pPr>
              <w:spacing w:after="0"/>
              <w:rPr>
                <w:sz w:val="1"/>
                <w:szCs w:val="1"/>
                <w:color w:val="auto"/>
              </w:rPr>
            </w:pPr>
          </w:p>
        </w:tc>
      </w:tr>
      <w:tr>
        <w:trPr>
          <w:trHeight w:val="180"/>
        </w:trPr>
        <w:tc>
          <w:tcPr>
            <w:tcW w:w="210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Electronic payment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processing expense</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4,765</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4,428</w:t>
            </w:r>
          </w:p>
        </w:tc>
        <w:tc>
          <w:tcPr>
            <w:tcW w:w="0" w:type="dxa"/>
            <w:vAlign w:val="bottom"/>
          </w:tcPr>
          <w:p>
            <w:pPr>
              <w:spacing w:after="0"/>
              <w:rPr>
                <w:sz w:val="1"/>
                <w:szCs w:val="1"/>
                <w:color w:val="auto"/>
              </w:rPr>
            </w:pPr>
          </w:p>
        </w:tc>
      </w:tr>
      <w:tr>
        <w:trPr>
          <w:trHeight w:val="180"/>
        </w:trPr>
        <w:tc>
          <w:tcPr>
            <w:tcW w:w="210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color w:val="auto"/>
              </w:rPr>
              <w:t>Salaries and employee</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benefits expense</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16,350</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23,135</w:t>
            </w:r>
          </w:p>
        </w:tc>
        <w:tc>
          <w:tcPr>
            <w:tcW w:w="0" w:type="dxa"/>
            <w:vAlign w:val="bottom"/>
          </w:tcPr>
          <w:p>
            <w:pPr>
              <w:spacing w:after="0"/>
              <w:rPr>
                <w:sz w:val="1"/>
                <w:szCs w:val="1"/>
                <w:color w:val="auto"/>
              </w:rPr>
            </w:pPr>
          </w:p>
        </w:tc>
      </w:tr>
      <w:tr>
        <w:trPr>
          <w:trHeight w:val="180"/>
        </w:trPr>
        <w:tc>
          <w:tcPr>
            <w:tcW w:w="21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Professional services</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w:t>
            </w:r>
          </w:p>
        </w:tc>
        <w:tc>
          <w:tcPr>
            <w:tcW w:w="0" w:type="dxa"/>
            <w:vAlign w:val="bottom"/>
          </w:tcPr>
          <w:p>
            <w:pPr>
              <w:spacing w:after="0"/>
              <w:rPr>
                <w:sz w:val="1"/>
                <w:szCs w:val="1"/>
                <w:color w:val="auto"/>
              </w:rPr>
            </w:pPr>
          </w:p>
        </w:tc>
      </w:tr>
      <w:tr>
        <w:trPr>
          <w:trHeight w:val="180"/>
        </w:trPr>
        <w:tc>
          <w:tcPr>
            <w:tcW w:w="210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color w:val="auto"/>
              </w:rPr>
              <w:t>Other loan origination and</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maintenance expense</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5,520</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3,287</w:t>
            </w:r>
          </w:p>
        </w:tc>
        <w:tc>
          <w:tcPr>
            <w:tcW w:w="0" w:type="dxa"/>
            <w:vAlign w:val="bottom"/>
          </w:tcPr>
          <w:p>
            <w:pPr>
              <w:spacing w:after="0"/>
              <w:rPr>
                <w:sz w:val="1"/>
                <w:szCs w:val="1"/>
                <w:color w:val="auto"/>
              </w:rPr>
            </w:pPr>
          </w:p>
        </w:tc>
      </w:tr>
      <w:tr>
        <w:trPr>
          <w:trHeight w:val="180"/>
        </w:trPr>
        <w:tc>
          <w:tcPr>
            <w:tcW w:w="21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Depreciation and</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180"/>
        </w:trPr>
        <w:tc>
          <w:tcPr>
            <w:tcW w:w="210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color w:val="auto"/>
              </w:rPr>
              <w:t>Other general and</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administrative costs</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3,577</w:t>
            </w: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6,881</w:t>
            </w:r>
          </w:p>
        </w:tc>
        <w:tc>
          <w:tcPr>
            <w:tcW w:w="0" w:type="dxa"/>
            <w:vAlign w:val="bottom"/>
          </w:tcPr>
          <w:p>
            <w:pPr>
              <w:spacing w:after="0"/>
              <w:rPr>
                <w:sz w:val="1"/>
                <w:szCs w:val="1"/>
                <w:color w:val="auto"/>
              </w:rPr>
            </w:pPr>
          </w:p>
        </w:tc>
      </w:tr>
      <w:tr>
        <w:trPr>
          <w:trHeight w:val="218"/>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15,816</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14,998</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8,414</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18,772</w:t>
            </w:r>
          </w:p>
        </w:tc>
        <w:tc>
          <w:tcPr>
            <w:tcW w:w="0" w:type="dxa"/>
            <w:vAlign w:val="bottom"/>
          </w:tcPr>
          <w:p>
            <w:pPr>
              <w:spacing w:after="0"/>
              <w:rPr>
                <w:sz w:val="1"/>
                <w:szCs w:val="1"/>
                <w:color w:val="auto"/>
              </w:rPr>
            </w:pPr>
          </w:p>
        </w:tc>
      </w:tr>
      <w:tr>
        <w:trPr>
          <w:trHeight w:val="225"/>
        </w:trPr>
        <w:tc>
          <w:tcPr>
            <w:tcW w:w="2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w w:val="98"/>
              </w:rPr>
              <w:t>Income tax expense (benefit)</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3,551</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5,069</w:t>
            </w:r>
          </w:p>
        </w:tc>
        <w:tc>
          <w:tcPr>
            <w:tcW w:w="0" w:type="dxa"/>
            <w:vAlign w:val="bottom"/>
          </w:tcPr>
          <w:p>
            <w:pPr>
              <w:spacing w:after="0"/>
              <w:rPr>
                <w:sz w:val="1"/>
                <w:szCs w:val="1"/>
                <w:color w:val="auto"/>
              </w:rPr>
            </w:pPr>
          </w:p>
        </w:tc>
      </w:tr>
      <w:tr>
        <w:trPr>
          <w:trHeight w:val="243"/>
        </w:trPr>
        <w:tc>
          <w:tcPr>
            <w:tcW w:w="2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(22,718)</w:t>
            </w:r>
          </w:p>
        </w:tc>
        <w:tc>
          <w:tcPr>
            <w:tcW w:w="8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13,703</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1,372,995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(38,485)</w:t>
            </w:r>
          </w:p>
        </w:tc>
        <w:tc>
          <w:tcPr>
            <w:tcW w:w="8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413,702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(69,549)</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438,939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(61,517)</w:t>
            </w:r>
          </w:p>
        </w:tc>
        <w:tc>
          <w:tcPr>
            <w:tcW w:w="8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72,685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(45,364)</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654,543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(611,732)</w:t>
            </w:r>
          </w:p>
        </w:tc>
        <w:tc>
          <w:tcPr>
            <w:tcW w:w="8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2,126,217</w:t>
            </w:r>
          </w:p>
        </w:tc>
        <w:tc>
          <w:tcPr>
            <w:tcW w:w="0" w:type="dxa"/>
            <w:vAlign w:val="bottom"/>
          </w:tcPr>
          <w:p>
            <w:pPr>
              <w:spacing w:after="0"/>
              <w:rPr>
                <w:sz w:val="1"/>
                <w:szCs w:val="1"/>
                <w:color w:val="auto"/>
              </w:rPr>
            </w:pPr>
          </w:p>
        </w:tc>
      </w:tr>
      <w:tr>
        <w:trPr>
          <w:trHeight w:val="225"/>
        </w:trPr>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6"/>
              </w:rPr>
              <w:t>Goodwill &amp; intangible assets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13,814</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14,672</w:t>
            </w:r>
          </w:p>
        </w:tc>
        <w:tc>
          <w:tcPr>
            <w:tcW w:w="0" w:type="dxa"/>
            <w:vAlign w:val="bottom"/>
          </w:tcPr>
          <w:p>
            <w:pPr>
              <w:spacing w:after="0"/>
              <w:rPr>
                <w:sz w:val="1"/>
                <w:szCs w:val="1"/>
                <w:color w:val="auto"/>
              </w:rPr>
            </w:pPr>
          </w:p>
        </w:tc>
      </w:tr>
      <w:tr>
        <w:trPr>
          <w:trHeight w:val="180"/>
        </w:trPr>
        <w:tc>
          <w:tcPr>
            <w:tcW w:w="210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color w:val="auto"/>
              </w:rPr>
              <w:t>Amortization of intangible</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80"/>
          </w:cols>
          <w:pgMar w:left="320" w:top="124" w:right="4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280" w:type="dxa"/>
            <w:vAlign w:val="bottom"/>
            <w:gridSpan w:val="11"/>
          </w:tcPr>
          <w:p>
            <w:pPr>
              <w:ind w:left="20"/>
              <w:spacing w:after="0"/>
              <w:rPr>
                <w:sz w:val="20"/>
                <w:szCs w:val="20"/>
                <w:color w:val="auto"/>
              </w:rPr>
            </w:pPr>
            <w:r>
              <w:rPr>
                <w:rFonts w:ascii="Times New Roman" w:cs="Times New Roman" w:eastAsia="Times New Roman" w:hAnsi="Times New Roman"/>
                <w:sz w:val="18"/>
                <w:szCs w:val="18"/>
                <w:b w:val="1"/>
                <w:bCs w:val="1"/>
                <w:color w:val="auto"/>
              </w:rPr>
              <w:t>As of and for the three months ended June 30, 2024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Banking</w:t>
            </w:r>
          </w:p>
        </w:tc>
        <w:tc>
          <w:tcPr>
            <w:tcW w:w="15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Alternative Lending</w:t>
            </w:r>
          </w:p>
        </w:tc>
        <w:tc>
          <w:tcPr>
            <w:tcW w:w="100" w:type="dxa"/>
            <w:vAlign w:val="bottom"/>
          </w:tcPr>
          <w:p>
            <w:pPr>
              <w:spacing w:after="0"/>
              <w:rPr>
                <w:sz w:val="19"/>
                <w:szCs w:val="19"/>
                <w:color w:val="auto"/>
              </w:rPr>
            </w:pPr>
          </w:p>
        </w:tc>
        <w:tc>
          <w:tcPr>
            <w:tcW w:w="12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120" w:type="dxa"/>
            <w:vAlign w:val="bottom"/>
          </w:tcPr>
          <w:p>
            <w:pPr>
              <w:spacing w:after="0"/>
              <w:rPr>
                <w:sz w:val="19"/>
                <w:szCs w:val="19"/>
                <w:color w:val="auto"/>
              </w:rPr>
            </w:pPr>
          </w:p>
        </w:tc>
        <w:tc>
          <w:tcPr>
            <w:tcW w:w="146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NSBF</w:t>
            </w:r>
          </w:p>
        </w:tc>
        <w:tc>
          <w:tcPr>
            <w:tcW w:w="100" w:type="dxa"/>
            <w:vAlign w:val="bottom"/>
          </w:tcPr>
          <w:p>
            <w:pPr>
              <w:spacing w:after="0"/>
              <w:rPr>
                <w:sz w:val="19"/>
                <w:szCs w:val="19"/>
                <w:color w:val="auto"/>
              </w:rPr>
            </w:pPr>
          </w:p>
        </w:tc>
        <w:tc>
          <w:tcPr>
            <w:tcW w:w="138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color w:val="auto"/>
                <w:w w:val="97"/>
              </w:rPr>
              <w:t>Payments</w:t>
            </w:r>
          </w:p>
        </w:tc>
        <w:tc>
          <w:tcPr>
            <w:tcW w:w="100" w:type="dxa"/>
            <w:vAlign w:val="bottom"/>
          </w:tcPr>
          <w:p>
            <w:pPr>
              <w:spacing w:after="0"/>
              <w:rPr>
                <w:sz w:val="19"/>
                <w:szCs w:val="19"/>
                <w:color w:val="auto"/>
              </w:rPr>
            </w:pPr>
          </w:p>
        </w:tc>
        <w:tc>
          <w:tcPr>
            <w:tcW w:w="156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color w:val="auto"/>
                <w:w w:val="98"/>
              </w:rPr>
              <w:t>Corporate &amp; Other</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6"/>
              </w:rPr>
              <w:t>Consolidated</w:t>
            </w:r>
          </w:p>
        </w:tc>
        <w:tc>
          <w:tcPr>
            <w:tcW w:w="0" w:type="dxa"/>
            <w:vAlign w:val="bottom"/>
          </w:tcPr>
          <w:p>
            <w:pPr>
              <w:spacing w:after="0"/>
              <w:rPr>
                <w:sz w:val="1"/>
                <w:szCs w:val="1"/>
                <w:color w:val="auto"/>
              </w:rPr>
            </w:pPr>
          </w:p>
        </w:tc>
      </w:tr>
      <w:tr>
        <w:trPr>
          <w:trHeight w:val="218"/>
        </w:trPr>
        <w:tc>
          <w:tcPr>
            <w:tcW w:w="112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Segment</w:t>
            </w: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Elim</w:t>
            </w:r>
          </w:p>
        </w:tc>
        <w:tc>
          <w:tcPr>
            <w:tcW w:w="8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Segment</w:t>
            </w: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Elim</w:t>
            </w:r>
          </w:p>
        </w:tc>
        <w:tc>
          <w:tcPr>
            <w:tcW w:w="8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w w:val="98"/>
              </w:rPr>
              <w:t>Segment</w:t>
            </w:r>
          </w:p>
        </w:tc>
        <w:tc>
          <w:tcPr>
            <w:tcW w:w="1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Elim</w:t>
            </w:r>
          </w:p>
        </w:tc>
        <w:tc>
          <w:tcPr>
            <w:tcW w:w="8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Segment</w:t>
            </w: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Elim</w:t>
            </w:r>
          </w:p>
        </w:tc>
        <w:tc>
          <w:tcPr>
            <w:tcW w:w="8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w w:val="98"/>
              </w:rPr>
              <w:t>Segment</w:t>
            </w: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Elim</w:t>
            </w:r>
          </w:p>
        </w:tc>
        <w:tc>
          <w:tcPr>
            <w:tcW w:w="8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Segment</w:t>
            </w: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Elim</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8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1120" w:type="dxa"/>
            <w:vAlign w:val="bottom"/>
            <w:shd w:val="clear" w:color="auto" w:fill="CCEEFF"/>
          </w:tcPr>
          <w:p>
            <w:pPr>
              <w:ind w:left="20"/>
              <w:spacing w:after="0" w:line="152" w:lineRule="exact"/>
              <w:rPr>
                <w:sz w:val="20"/>
                <w:szCs w:val="20"/>
                <w:color w:val="auto"/>
              </w:rPr>
            </w:pPr>
            <w:r>
              <w:rPr>
                <w:rFonts w:ascii="Times New Roman" w:cs="Times New Roman" w:eastAsia="Times New Roman" w:hAnsi="Times New Roman"/>
                <w:sz w:val="17"/>
                <w:szCs w:val="17"/>
                <w:color w:val="auto"/>
              </w:rPr>
              <w:t>Interest</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29,353</w:t>
            </w:r>
          </w:p>
        </w:tc>
        <w:tc>
          <w:tcPr>
            <w:tcW w:w="0" w:type="dxa"/>
            <w:vAlign w:val="bottom"/>
          </w:tcPr>
          <w:p>
            <w:pPr>
              <w:spacing w:after="0"/>
              <w:rPr>
                <w:sz w:val="1"/>
                <w:szCs w:val="1"/>
                <w:color w:val="auto"/>
              </w:rPr>
            </w:pPr>
          </w:p>
        </w:tc>
      </w:tr>
      <w:tr>
        <w:trPr>
          <w:trHeight w:val="172"/>
        </w:trPr>
        <w:tc>
          <w:tcPr>
            <w:tcW w:w="112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Interest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7,179</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2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5,688</w:t>
            </w:r>
          </w:p>
        </w:tc>
        <w:tc>
          <w:tcPr>
            <w:tcW w:w="10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6,454</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20,227</w:t>
            </w:r>
          </w:p>
        </w:tc>
        <w:tc>
          <w:tcPr>
            <w:tcW w:w="0" w:type="dxa"/>
            <w:vAlign w:val="bottom"/>
          </w:tcPr>
          <w:p>
            <w:pPr>
              <w:spacing w:after="0"/>
              <w:rPr>
                <w:sz w:val="1"/>
                <w:szCs w:val="1"/>
                <w:color w:val="auto"/>
              </w:rPr>
            </w:pPr>
          </w:p>
        </w:tc>
      </w:tr>
      <w:tr>
        <w:trPr>
          <w:trHeight w:val="152"/>
        </w:trPr>
        <w:tc>
          <w:tcPr>
            <w:tcW w:w="1120" w:type="dxa"/>
            <w:vAlign w:val="bottom"/>
            <w:tcBorders>
              <w:top w:val="single" w:sz="8" w:color="CCEEFF"/>
            </w:tcBorders>
            <w:shd w:val="clear" w:color="auto" w:fill="CCEEFF"/>
          </w:tcPr>
          <w:p>
            <w:pPr>
              <w:ind w:left="120"/>
              <w:spacing w:after="0" w:line="152" w:lineRule="exact"/>
              <w:rPr>
                <w:sz w:val="20"/>
                <w:szCs w:val="20"/>
                <w:color w:val="auto"/>
              </w:rPr>
            </w:pPr>
            <w:r>
              <w:rPr>
                <w:rFonts w:ascii="Times New Roman" w:cs="Times New Roman" w:eastAsia="Times New Roman" w:hAnsi="Times New Roman"/>
                <w:sz w:val="17"/>
                <w:szCs w:val="17"/>
                <w:color w:val="auto"/>
              </w:rPr>
              <w:t>Net interest</w:t>
            </w:r>
          </w:p>
        </w:tc>
        <w:tc>
          <w:tcPr>
            <w:tcW w:w="12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1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income/(loss)</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9,314</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(5,833)</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9,126</w:t>
            </w:r>
          </w:p>
        </w:tc>
        <w:tc>
          <w:tcPr>
            <w:tcW w:w="0" w:type="dxa"/>
            <w:vAlign w:val="bottom"/>
          </w:tcPr>
          <w:p>
            <w:pPr>
              <w:spacing w:after="0"/>
              <w:rPr>
                <w:sz w:val="1"/>
                <w:szCs w:val="1"/>
                <w:color w:val="auto"/>
              </w:rPr>
            </w:pPr>
          </w:p>
        </w:tc>
      </w:tr>
      <w:tr>
        <w:trPr>
          <w:trHeight w:val="172"/>
        </w:trPr>
        <w:tc>
          <w:tcPr>
            <w:tcW w:w="112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Provision for</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12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color w:val="auto"/>
              </w:rPr>
              <w:t>loan credit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5,799</w:t>
            </w:r>
          </w:p>
        </w:tc>
        <w:tc>
          <w:tcPr>
            <w:tcW w:w="14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5,799</w:t>
            </w:r>
          </w:p>
        </w:tc>
        <w:tc>
          <w:tcPr>
            <w:tcW w:w="0" w:type="dxa"/>
            <w:vAlign w:val="bottom"/>
          </w:tcPr>
          <w:p>
            <w:pPr>
              <w:spacing w:after="0"/>
              <w:rPr>
                <w:sz w:val="1"/>
                <w:szCs w:val="1"/>
                <w:color w:val="auto"/>
              </w:rPr>
            </w:pPr>
          </w:p>
        </w:tc>
      </w:tr>
      <w:tr>
        <w:trPr>
          <w:trHeight w:val="152"/>
        </w:trPr>
        <w:tc>
          <w:tcPr>
            <w:tcW w:w="1120" w:type="dxa"/>
            <w:vAlign w:val="bottom"/>
            <w:tcBorders>
              <w:top w:val="single" w:sz="8" w:color="CCEEFF"/>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7"/>
                <w:szCs w:val="17"/>
                <w:color w:val="auto"/>
              </w:rPr>
              <w:t>Net interest</w:t>
            </w:r>
          </w:p>
        </w:tc>
        <w:tc>
          <w:tcPr>
            <w:tcW w:w="12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12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income after</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2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provision for</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12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loan credit</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(5,833)</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0" w:type="dxa"/>
            <w:vAlign w:val="bottom"/>
          </w:tcPr>
          <w:p>
            <w:pPr>
              <w:spacing w:after="0"/>
              <w:rPr>
                <w:sz w:val="1"/>
                <w:szCs w:val="1"/>
                <w:color w:val="auto"/>
              </w:rPr>
            </w:pPr>
          </w:p>
        </w:tc>
      </w:tr>
      <w:tr>
        <w:trPr>
          <w:trHeight w:val="172"/>
        </w:trPr>
        <w:tc>
          <w:tcPr>
            <w:tcW w:w="112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Noninterest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34,921</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7,889</w:t>
            </w:r>
          </w:p>
        </w:tc>
        <w:tc>
          <w:tcPr>
            <w:tcW w:w="12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6,889</w:t>
            </w: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(1,680)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(5,418)</w:t>
            </w:r>
          </w:p>
        </w:tc>
        <w:tc>
          <w:tcPr>
            <w:tcW w:w="10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14,622</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14,450</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52,020</w:t>
            </w:r>
          </w:p>
        </w:tc>
        <w:tc>
          <w:tcPr>
            <w:tcW w:w="0" w:type="dxa"/>
            <w:vAlign w:val="bottom"/>
          </w:tcPr>
          <w:p>
            <w:pPr>
              <w:spacing w:after="0"/>
              <w:rPr>
                <w:sz w:val="1"/>
                <w:szCs w:val="1"/>
                <w:color w:val="auto"/>
              </w:rPr>
            </w:pPr>
          </w:p>
        </w:tc>
      </w:tr>
      <w:tr>
        <w:trPr>
          <w:trHeight w:val="172"/>
        </w:trPr>
        <w:tc>
          <w:tcPr>
            <w:tcW w:w="112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Electronic</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12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payment</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2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processing</w:t>
            </w:r>
          </w:p>
        </w:tc>
        <w:tc>
          <w:tcPr>
            <w:tcW w:w="1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6,020</w:t>
            </w:r>
          </w:p>
        </w:tc>
        <w:tc>
          <w:tcPr>
            <w:tcW w:w="1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5,693</w:t>
            </w:r>
          </w:p>
        </w:tc>
        <w:tc>
          <w:tcPr>
            <w:tcW w:w="0" w:type="dxa"/>
            <w:vAlign w:val="bottom"/>
          </w:tcPr>
          <w:p>
            <w:pPr>
              <w:spacing w:after="0"/>
              <w:rPr>
                <w:sz w:val="1"/>
                <w:szCs w:val="1"/>
                <w:color w:val="auto"/>
              </w:rPr>
            </w:pPr>
          </w:p>
        </w:tc>
      </w:tr>
      <w:tr>
        <w:trPr>
          <w:trHeight w:val="225"/>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12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112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Salaries and</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12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color w:val="auto"/>
              </w:rPr>
              <w:t>employee</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2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benefits</w:t>
            </w:r>
          </w:p>
        </w:tc>
        <w:tc>
          <w:tcPr>
            <w:tcW w:w="12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12,138</w:t>
            </w:r>
          </w:p>
        </w:tc>
        <w:tc>
          <w:tcPr>
            <w:tcW w:w="1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100" w:type="dxa"/>
            <w:vAlign w:val="bottom"/>
          </w:tcPr>
          <w:p>
            <w:pPr>
              <w:spacing w:after="0"/>
              <w:rPr>
                <w:sz w:val="15"/>
                <w:szCs w:val="15"/>
                <w:color w:val="auto"/>
              </w:rPr>
            </w:pPr>
          </w:p>
        </w:tc>
        <w:tc>
          <w:tcPr>
            <w:tcW w:w="6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100" w:type="dxa"/>
            <w:vAlign w:val="bottom"/>
          </w:tcPr>
          <w:p>
            <w:pPr>
              <w:spacing w:after="0"/>
              <w:rPr>
                <w:sz w:val="15"/>
                <w:szCs w:val="15"/>
                <w:color w:val="auto"/>
              </w:rPr>
            </w:pPr>
          </w:p>
        </w:tc>
        <w:tc>
          <w:tcPr>
            <w:tcW w:w="64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20,790</w:t>
            </w:r>
          </w:p>
        </w:tc>
        <w:tc>
          <w:tcPr>
            <w:tcW w:w="0" w:type="dxa"/>
            <w:vAlign w:val="bottom"/>
          </w:tcPr>
          <w:p>
            <w:pPr>
              <w:spacing w:after="0"/>
              <w:rPr>
                <w:sz w:val="1"/>
                <w:szCs w:val="1"/>
                <w:color w:val="auto"/>
              </w:rPr>
            </w:pPr>
          </w:p>
        </w:tc>
      </w:tr>
      <w:tr>
        <w:trPr>
          <w:trHeight w:val="225"/>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12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112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Technology</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12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services</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0" w:type="dxa"/>
            <w:vAlign w:val="bottom"/>
          </w:tcPr>
          <w:p>
            <w:pPr>
              <w:spacing w:after="0"/>
              <w:rPr>
                <w:sz w:val="1"/>
                <w:szCs w:val="1"/>
                <w:color w:val="auto"/>
              </w:rPr>
            </w:pPr>
          </w:p>
        </w:tc>
      </w:tr>
      <w:tr>
        <w:trPr>
          <w:trHeight w:val="172"/>
        </w:trPr>
        <w:tc>
          <w:tcPr>
            <w:tcW w:w="112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Professional</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12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color w:val="auto"/>
              </w:rPr>
              <w:t>services</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4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19"/>
                <w:szCs w:val="19"/>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2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0" w:type="dxa"/>
            <w:vAlign w:val="bottom"/>
          </w:tcPr>
          <w:p>
            <w:pPr>
              <w:spacing w:after="0"/>
              <w:rPr>
                <w:sz w:val="1"/>
                <w:szCs w:val="1"/>
                <w:color w:val="auto"/>
              </w:rPr>
            </w:pPr>
          </w:p>
        </w:tc>
      </w:tr>
      <w:tr>
        <w:trPr>
          <w:trHeight w:val="172"/>
        </w:trPr>
        <w:tc>
          <w:tcPr>
            <w:tcW w:w="112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Other loan</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12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w w:val="98"/>
              </w:rPr>
              <w:t>origination and</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2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maintenance</w:t>
            </w:r>
          </w:p>
        </w:tc>
        <w:tc>
          <w:tcPr>
            <w:tcW w:w="1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4,859</w:t>
            </w:r>
          </w:p>
        </w:tc>
        <w:tc>
          <w:tcPr>
            <w:tcW w:w="1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5"/>
                <w:szCs w:val="15"/>
                <w:color w:val="auto"/>
              </w:rPr>
            </w:pPr>
          </w:p>
        </w:tc>
        <w:tc>
          <w:tcPr>
            <w:tcW w:w="62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3,809</w:t>
            </w:r>
          </w:p>
        </w:tc>
        <w:tc>
          <w:tcPr>
            <w:tcW w:w="1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0" w:type="dxa"/>
            <w:vAlign w:val="bottom"/>
          </w:tcPr>
          <w:p>
            <w:pPr>
              <w:spacing w:after="0"/>
              <w:rPr>
                <w:sz w:val="1"/>
                <w:szCs w:val="1"/>
                <w:color w:val="auto"/>
              </w:rPr>
            </w:pPr>
          </w:p>
        </w:tc>
      </w:tr>
      <w:tr>
        <w:trPr>
          <w:trHeight w:val="225"/>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12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112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Depreciation</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12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color w:val="auto"/>
              </w:rPr>
              <w:t>and</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2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19"/>
                <w:szCs w:val="19"/>
                <w:color w:val="auto"/>
              </w:rPr>
            </w:pP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2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0" w:type="dxa"/>
            <w:vAlign w:val="bottom"/>
          </w:tcPr>
          <w:p>
            <w:pPr>
              <w:spacing w:after="0"/>
              <w:rPr>
                <w:sz w:val="1"/>
                <w:szCs w:val="1"/>
                <w:color w:val="auto"/>
              </w:rPr>
            </w:pPr>
          </w:p>
        </w:tc>
      </w:tr>
      <w:tr>
        <w:trPr>
          <w:trHeight w:val="172"/>
        </w:trPr>
        <w:tc>
          <w:tcPr>
            <w:tcW w:w="112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Other general</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12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and</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2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administrative</w:t>
            </w:r>
          </w:p>
        </w:tc>
        <w:tc>
          <w:tcPr>
            <w:tcW w:w="1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1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w:t>
            </w:r>
          </w:p>
        </w:tc>
        <w:tc>
          <w:tcPr>
            <w:tcW w:w="0" w:type="dxa"/>
            <w:vAlign w:val="bottom"/>
          </w:tcPr>
          <w:p>
            <w:pPr>
              <w:spacing w:after="0"/>
              <w:rPr>
                <w:sz w:val="1"/>
                <w:szCs w:val="1"/>
                <w:color w:val="auto"/>
              </w:rPr>
            </w:pPr>
          </w:p>
        </w:tc>
      </w:tr>
      <w:tr>
        <w:trPr>
          <w:trHeight w:val="225"/>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w:t>
            </w:r>
          </w:p>
        </w:tc>
        <w:tc>
          <w:tcPr>
            <w:tcW w:w="12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1120" w:type="dxa"/>
            <w:vAlign w:val="bottom"/>
          </w:tcPr>
          <w:p>
            <w:pPr>
              <w:ind w:left="20"/>
              <w:spacing w:after="0" w:line="152" w:lineRule="exact"/>
              <w:rPr>
                <w:sz w:val="20"/>
                <w:szCs w:val="20"/>
                <w:color w:val="auto"/>
              </w:rPr>
            </w:pPr>
            <w:r>
              <w:rPr>
                <w:rFonts w:ascii="Times New Roman" w:cs="Times New Roman" w:eastAsia="Times New Roman" w:hAnsi="Times New Roman"/>
                <w:sz w:val="17"/>
                <w:szCs w:val="17"/>
                <w:color w:val="auto"/>
              </w:rPr>
              <w:t>Income before</w:t>
            </w: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17,794</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8,708</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(1,422)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5,472</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14,783</w:t>
            </w:r>
          </w:p>
        </w:tc>
        <w:tc>
          <w:tcPr>
            <w:tcW w:w="0" w:type="dxa"/>
            <w:vAlign w:val="bottom"/>
          </w:tcPr>
          <w:p>
            <w:pPr>
              <w:spacing w:after="0"/>
              <w:rPr>
                <w:sz w:val="1"/>
                <w:szCs w:val="1"/>
                <w:color w:val="auto"/>
              </w:rPr>
            </w:pPr>
          </w:p>
        </w:tc>
      </w:tr>
      <w:tr>
        <w:trPr>
          <w:trHeight w:val="172"/>
        </w:trPr>
        <w:tc>
          <w:tcPr>
            <w:tcW w:w="112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Income tax</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12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expense</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5,341</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0" w:type="dxa"/>
            <w:vAlign w:val="bottom"/>
          </w:tcPr>
          <w:p>
            <w:pPr>
              <w:spacing w:after="0"/>
              <w:rPr>
                <w:sz w:val="1"/>
                <w:szCs w:val="1"/>
                <w:color w:val="auto"/>
              </w:rPr>
            </w:pPr>
          </w:p>
        </w:tc>
      </w:tr>
      <w:tr>
        <w:trPr>
          <w:trHeight w:val="218"/>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12,453</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8,708</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(1,422)</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5,472</w:t>
            </w:r>
          </w:p>
        </w:tc>
        <w:tc>
          <w:tcPr>
            <w:tcW w:w="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(10,745)</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10,945</w:t>
            </w:r>
          </w:p>
        </w:tc>
        <w:tc>
          <w:tcPr>
            <w:tcW w:w="0" w:type="dxa"/>
            <w:vAlign w:val="bottom"/>
          </w:tcPr>
          <w:p>
            <w:pPr>
              <w:spacing w:after="0"/>
              <w:rPr>
                <w:sz w:val="1"/>
                <w:szCs w:val="1"/>
                <w:color w:val="auto"/>
              </w:rPr>
            </w:pPr>
          </w:p>
        </w:tc>
      </w:tr>
      <w:tr>
        <w:trPr>
          <w:trHeight w:val="20"/>
        </w:trPr>
        <w:tc>
          <w:tcPr>
            <w:tcW w:w="1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7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Other Segment Disclosures: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840,749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(23,588)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289,715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(82,359)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21,848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567,783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(84,192)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58,316</w:t>
            </w: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(34,344)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905,718</w:t>
            </w: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(841,754)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1,617,004</w:t>
            </w:r>
          </w:p>
        </w:tc>
        <w:tc>
          <w:tcPr>
            <w:tcW w:w="0" w:type="dxa"/>
            <w:vAlign w:val="bottom"/>
          </w:tcPr>
          <w:p>
            <w:pPr>
              <w:spacing w:after="0"/>
              <w:rPr>
                <w:sz w:val="1"/>
                <w:szCs w:val="1"/>
                <w:color w:val="auto"/>
              </w:rPr>
            </w:pPr>
          </w:p>
        </w:tc>
      </w:tr>
      <w:tr>
        <w:trPr>
          <w:trHeight w:val="172"/>
        </w:trPr>
        <w:tc>
          <w:tcPr>
            <w:tcW w:w="112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Goodwill &amp;</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12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color w:val="auto"/>
              </w:rPr>
              <w:t>intangible</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14,945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13,814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29,783</w:t>
            </w:r>
          </w:p>
        </w:tc>
        <w:tc>
          <w:tcPr>
            <w:tcW w:w="0" w:type="dxa"/>
            <w:vAlign w:val="bottom"/>
          </w:tcPr>
          <w:p>
            <w:pPr>
              <w:spacing w:after="0"/>
              <w:rPr>
                <w:sz w:val="1"/>
                <w:szCs w:val="1"/>
                <w:color w:val="auto"/>
              </w:rPr>
            </w:pPr>
          </w:p>
        </w:tc>
      </w:tr>
      <w:tr>
        <w:trPr>
          <w:trHeight w:val="172"/>
        </w:trPr>
        <w:tc>
          <w:tcPr>
            <w:tcW w:w="112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Amortization</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12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of intangible</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320" w:top="12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76200</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3" w:right="2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19—SUBSEQUENT EVENTS: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SPV I Facility</w:t>
      </w:r>
    </w:p>
    <w:p>
      <w:pPr>
        <w:spacing w:after="0" w:line="21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Newtek ALP Holdings’ subsidiary (our indirect subsidiary) SPV I maintains a credit facility with Capital One which, as of June 30, 2025 had maximum borrowings of $60.0 million. and on July 28, 2025 was upsized to maximum borrowings of $100.0 million. Capital One’s commitments to fund new amounts terminate in July 2027, with all amounts due under the Facility maturing in July 2028.</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H.R. 1 - One Big Beautiful Bill Act</w:t>
      </w:r>
    </w:p>
    <w:p>
      <w:pPr>
        <w:spacing w:after="0" w:line="21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On July 4, 2025, federal legislation generally referred to as H.R. 1 - One Big Beautiful Bill Act (the “Act”) was signed into law. The Act includes a variety of tax provisions including permanently extending and modifying certain key aspects of existing federal tax law. U.S. GAAP requires the effects of changes in tax laws and rates to be recognized in its financial statements in the period in which legislation is enacted. The Company is currently evaluating the impact of the Act on its consolidated financial statements; however, the Company does not anticipate a material impact resulting from the Act.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NCL JV</w:t>
      </w:r>
    </w:p>
    <w:p>
      <w:pPr>
        <w:spacing w:after="0" w:line="218"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8"/>
          <w:szCs w:val="18"/>
          <w:color w:val="auto"/>
        </w:rPr>
        <w:t>In July 2025, NCL JV notified the trustee of the NCL Business Loan Trust 2022-1 that the NCL Business Loan Trust 2022-1 would be terminated in August 2025 as a result of the Class A Noteholders being re-paid in full.</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20"/>
          </w:cols>
          <w:pgMar w:left="320" w:top="124"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33" w:lineRule="exact"/>
        <w:rPr>
          <w:sz w:val="20"/>
          <w:szCs w:val="20"/>
          <w:color w:val="auto"/>
        </w:rPr>
      </w:pPr>
    </w:p>
    <w:p>
      <w:pPr>
        <w:ind w:right="160"/>
        <w:spacing w:after="0" w:line="231" w:lineRule="auto"/>
        <w:rPr>
          <w:sz w:val="20"/>
          <w:szCs w:val="20"/>
          <w:color w:val="auto"/>
        </w:rPr>
      </w:pPr>
      <w:r>
        <w:rPr>
          <w:rFonts w:ascii="Times New Roman" w:cs="Times New Roman" w:eastAsia="Times New Roman" w:hAnsi="Times New Roman"/>
          <w:sz w:val="18"/>
          <w:szCs w:val="18"/>
          <w:color w:val="auto"/>
        </w:rPr>
        <w:t>The matters discussed in this report, as well as in future oral and written statements by Company management that are forward-looking statements, are based on current management expectations that involve substantial risks and uncertainties which could cause actual results to differ materially from the results expressed in, or implied by, these forward-looking statements. These forward-looking statements are not historical facts, but rather are based on current expectations, estimates and projections about us, our industry, our beliefs, and our assumptions. Words such as “may,” “will,” “should,” “expects,” “plans,” “anticipates,” “could,” “intends,” “target,” “projects,” “contemplates,” “believes,” “estimates,” “predicts,” “potential” or “continue” or the negative of these terms or variations of these words and similar expressions are intended to identify forward-looking statements. Important assumptions include our ability to originate new investments, achieve certain margins and levels of profitability, the availability of additional capital, and the ability to maintain certain debt to asset ratios. In light of these and other uncertainties, including recent economic and market events and unrelated bank failures and declines in depositor confidence in certain types of depository institutions, the inclusion of a projection or forward-looking statement in this report should not be regarded as a representation by us that our plans or objectives will be achieved. The forward-looking statements contained in this report, including the documents we incorporate by reference, involve risks and uncertainties, including statements as to:</w:t>
      </w:r>
    </w:p>
    <w:p>
      <w:pPr>
        <w:spacing w:after="0" w:line="7" w:lineRule="exact"/>
        <w:rPr>
          <w:sz w:val="20"/>
          <w:szCs w:val="20"/>
          <w:color w:val="auto"/>
        </w:rPr>
      </w:pPr>
    </w:p>
    <w:p>
      <w:pPr>
        <w:ind w:left="640" w:hanging="317"/>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w:t>
      </w:r>
    </w:p>
    <w:p>
      <w:pPr>
        <w:spacing w:after="0" w:line="4"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prospects and the prospects of our subsidiaries;</w:t>
      </w:r>
    </w:p>
    <w:p>
      <w:pPr>
        <w:spacing w:after="0" w:line="4"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contractual arrangements and relationships with third parties;</w:t>
      </w:r>
    </w:p>
    <w:p>
      <w:pPr>
        <w:spacing w:after="0" w:line="4"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2"/>
        </w:numPr>
        <w:rPr>
          <w:rFonts w:ascii="Arial" w:cs="Arial" w:eastAsia="Arial" w:hAnsi="Arial"/>
          <w:sz w:val="18"/>
          <w:szCs w:val="18"/>
          <w:color w:val="auto"/>
        </w:rPr>
      </w:pPr>
      <w:r>
        <w:rPr>
          <w:rFonts w:ascii="Times New Roman" w:cs="Times New Roman" w:eastAsia="Times New Roman" w:hAnsi="Times New Roman"/>
          <w:sz w:val="18"/>
          <w:szCs w:val="18"/>
          <w:color w:val="auto"/>
        </w:rPr>
        <w:t>the dependence of our future success on the general economy and its impact on the industries in which we and our borrowers operate;</w:t>
      </w:r>
    </w:p>
    <w:p>
      <w:pPr>
        <w:spacing w:after="0" w:line="6" w:lineRule="exact"/>
        <w:rPr>
          <w:rFonts w:ascii="Arial" w:cs="Arial" w:eastAsia="Arial" w:hAnsi="Arial"/>
          <w:sz w:val="18"/>
          <w:szCs w:val="18"/>
          <w:color w:val="auto"/>
        </w:rPr>
      </w:pPr>
    </w:p>
    <w:p>
      <w:pPr>
        <w:ind w:left="640" w:hanging="317"/>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business to achieve its objectives;</w:t>
      </w:r>
    </w:p>
    <w:p>
      <w:pPr>
        <w:spacing w:after="0" w:line="2"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protracted decline in the liquidity of credit markets on our business;</w:t>
      </w:r>
    </w:p>
    <w:p>
      <w:pPr>
        <w:spacing w:after="0" w:line="4"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cash resources and working capital;</w:t>
      </w:r>
    </w:p>
    <w:p>
      <w:pPr>
        <w:spacing w:after="0" w:line="4" w:lineRule="exact"/>
        <w:rPr>
          <w:rFonts w:ascii="Times New Roman" w:cs="Times New Roman" w:eastAsia="Times New Roman" w:hAnsi="Times New Roman"/>
          <w:sz w:val="18"/>
          <w:szCs w:val="18"/>
          <w:color w:val="auto"/>
        </w:rPr>
      </w:pPr>
    </w:p>
    <w:p>
      <w:pPr>
        <w:ind w:left="640" w:right="40" w:hanging="317"/>
        <w:spacing w:after="0" w:line="245" w:lineRule="auto"/>
        <w:tabs>
          <w:tab w:leader="none" w:pos="63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as a financial holding company and our ability to operate our subsidiary Newtek Bank, a national bank regulated and supervised by the OCC, and the increased compliance and other costs associated with such operations;</w:t>
      </w:r>
    </w:p>
    <w:p>
      <w:pPr>
        <w:ind w:left="640" w:hanging="317"/>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manage liquidity, deposits, capital levels and interest rate risk;</w:t>
      </w:r>
    </w:p>
    <w:p>
      <w:pPr>
        <w:spacing w:after="0" w:line="4"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cash flows, if any, from the operations of our subsidiaries;</w:t>
      </w:r>
    </w:p>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any and all of the forward-looking statements, including without limitation:</w:t>
      </w:r>
    </w:p>
    <w:p>
      <w:pPr>
        <w:spacing w:after="0" w:line="205" w:lineRule="exact"/>
        <w:rPr>
          <w:sz w:val="20"/>
          <w:szCs w:val="20"/>
          <w:color w:val="auto"/>
        </w:rPr>
      </w:pPr>
    </w:p>
    <w:p>
      <w:pPr>
        <w:ind w:left="640" w:hanging="317"/>
        <w:spacing w:after="0" w:line="255" w:lineRule="auto"/>
        <w:tabs>
          <w:tab w:leader="none" w:pos="63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which could impair our subsidiaries’ ability to continue to operate or repay their borrowings, which could adversely affect our results;</w:t>
      </w:r>
    </w:p>
    <w:p>
      <w:pPr>
        <w:ind w:left="640" w:hanging="317"/>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contraction of available credit and/or an inability to access the equity markets could impair our lending and business activities;</w:t>
      </w:r>
    </w:p>
    <w:p>
      <w:pPr>
        <w:spacing w:after="0" w:line="4"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to financial markets and the global macroeconomic and geopolitical environment, including higher inflation, tariffs and their impacts;</w:t>
      </w:r>
    </w:p>
    <w:p>
      <w:pPr>
        <w:spacing w:after="0" w:line="4" w:lineRule="exact"/>
        <w:rPr>
          <w:rFonts w:ascii="Times New Roman" w:cs="Times New Roman" w:eastAsia="Times New Roman" w:hAnsi="Times New Roman"/>
          <w:sz w:val="18"/>
          <w:szCs w:val="18"/>
          <w:color w:val="auto"/>
        </w:rPr>
      </w:pPr>
    </w:p>
    <w:p>
      <w:pPr>
        <w:ind w:left="640" w:hanging="317"/>
        <w:spacing w:after="0" w:line="232" w:lineRule="auto"/>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interest rates and the impacts on macroeconomic conditions and our funding costs;</w:t>
      </w:r>
    </w:p>
    <w:p>
      <w:pPr>
        <w:ind w:left="640" w:hanging="317"/>
        <w:spacing w:after="0" w:line="229" w:lineRule="auto"/>
        <w:tabs>
          <w:tab w:leader="none" w:pos="640" w:val="left"/>
        </w:tabs>
        <w:numPr>
          <w:ilvl w:val="0"/>
          <w:numId w:val="43"/>
        </w:numPr>
        <w:rPr>
          <w:rFonts w:ascii="Arial" w:cs="Arial" w:eastAsia="Arial" w:hAnsi="Arial"/>
          <w:sz w:val="18"/>
          <w:szCs w:val="18"/>
          <w:color w:val="auto"/>
        </w:rPr>
      </w:pPr>
      <w:r>
        <w:rPr>
          <w:rFonts w:ascii="Times New Roman" w:cs="Times New Roman" w:eastAsia="Times New Roman" w:hAnsi="Times New Roman"/>
          <w:sz w:val="18"/>
          <w:szCs w:val="18"/>
          <w:color w:val="auto"/>
        </w:rPr>
        <w:t>changes to the SBA 7(a) loan program, including recent revisions to SBA Standard Operating Procedure (“SOP”); and</w:t>
      </w:r>
    </w:p>
    <w:p>
      <w:pPr>
        <w:ind w:left="640" w:right="420" w:hanging="317"/>
        <w:spacing w:after="0" w:line="236" w:lineRule="auto"/>
        <w:tabs>
          <w:tab w:leader="none" w:pos="63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uncertainties and other factors we identify in “Risk Factors” and elsewhere in this report and in our filings with the SEC, including the documents we incorporate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ind w:right="80"/>
        <w:spacing w:after="0" w:line="231"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consolidated financial statements and related notes and other financial information appearing elsewhere in this report. In addition to historical information, the following discussion and other parts of this report contain forward-looking information that involves risks and uncertainties. 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the ability of Newtek Bank to originate loans under the SBA 7(a) program, maintain PLP status, sell SBA guaranteed portions of SBA 7(a) loans at premiums and grow deposits; our ability to originate new loans; our subsidiaries’ ability to generate revenue and obtain and maintain certain margins and levels of profitability; and the availability of additional capital. In light of these and other uncertainties, the inclusion of a projection or forward-looking statement in this report, including the documents that we incorporate by reference herein, should not be regarded as a representation by us that our plans and objectives will be achieved. Our actual results could differ materially from those anticipated by such forward-looking information due to the factors discussed under Part II “Item 1A. Risk Factors” of this quarterly report on Form 10-Q and “Item 1A. Risk Factors” of our 2024 Form 10-K, and in any subsequent filings we have made with the SEC that are incorporated by reference into this report.</w:t>
      </w:r>
    </w:p>
    <w:p>
      <w:pPr>
        <w:spacing w:after="0" w:line="214"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which apply only as of the date of this report. And while we believe such information forms, or will form,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on these statements. Any forward-looking statements made by or on behalf of the Company speak only as to the date they are made, and the Company does not undertake to update forward-looking statements to reflect the impact of circumstances or events that arise after the date the forward-looking statements were made, except as required by applicable law.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244"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17"/>
          <w:szCs w:val="17"/>
          <w:color w:val="auto"/>
        </w:rPr>
        <w:t>We are a financial holding company owning a branchless OCC nationally chartered bank. In 2023, we converted to a financial holding company from a BDC and a non-bank lender (see below). Our target market is owners and prospective owners of SMBs and our services are offered online and in some cases delivered and fulfilled by our staff via video and voice calls. We offer lending products, FDIC insured deposit products and services, payments processing, payroll services and insurance brokerage services. We source our business through our alliance partner network and our marketing database, which is facilitated through our patented NewTracker® platform. Our loan products include SBA 7(a), ALP, SBA 504, and traditional C&amp;I and CRE bank loans. Our deposit products primarily include consumer high yield savings accounts, high yield certificates of deposit, zero-fee business checking, and business money market accounts. We offer business and financial solutions under the Newtek</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and NewtekOne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brands to the independent business owner (SMB) market.</w:t>
      </w:r>
    </w:p>
    <w:p>
      <w:pPr>
        <w:spacing w:after="0" w:line="133"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8"/>
          <w:szCs w:val="18"/>
          <w:color w:val="auto"/>
        </w:rPr>
        <w:t>Our process to extend credit to borrowers begins with technology but finishes with credit committee approval. We record CECL reserves on loans held for investment at amortized cost, which for unguaranteed SBA 7(a) loans exceeds 6%. For SBA7(a) loans, we hold the unguaranteed portion and sell the portion guaranteed by the SBA, typically within thirty to forty-five days of origination (or we may hold the guaranteed portions for longer periods), for premiums that have historically generally exceeded 10%, depending on loan characteristics and market conditions. Unlike traditional financial and bank holding companies, the majority of our income is driven and influenced by noninterest income, specifically gains on sales and market value adjustments on loans. We sell certain loans servicing retained, in which case we record a servicing asset that increases our gain on sale and provides a stream of future income to the extent the loan balance continues to be outstanding.</w:t>
      </w:r>
    </w:p>
    <w:p>
      <w:pPr>
        <w:spacing w:after="0" w:line="21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We fund our activities at Newtek Bank primarily through the aforementioned deposit products. We also offer loans outside of our bank (primarily ALP loans that have been funded by our JVs and our non-bank subsidiary Newtek ALP Holdings) that are initially funded with capital and lines of credit and hedged until a sufficient volume is attained at which time the loans are securitized. We are required by law to hold risk retention in securitization transactions, and the majority of our interests in securitizations are designed to absorb first loss on the loans held in the securitization trusts. Historically, we have participated in joint ventures as additional sources of funding and risk diversification for our ALP loans, and these joint ventures have also securitized their loans. We have also continued to actively issue bonds in the public and private capital markets.</w:t>
      </w:r>
    </w:p>
    <w:p>
      <w:pPr>
        <w:spacing w:after="0" w:line="200" w:lineRule="exact"/>
        <w:rPr>
          <w:sz w:val="20"/>
          <w:szCs w:val="20"/>
          <w:color w:val="auto"/>
        </w:rPr>
      </w:pPr>
    </w:p>
    <w:p>
      <w:pPr>
        <w:jc w:val="both"/>
        <w:ind w:right="100"/>
        <w:spacing w:after="0" w:line="242" w:lineRule="auto"/>
        <w:rPr>
          <w:sz w:val="20"/>
          <w:szCs w:val="20"/>
          <w:color w:val="auto"/>
        </w:rPr>
      </w:pPr>
      <w:r>
        <w:rPr>
          <w:rFonts w:ascii="Times New Roman" w:cs="Times New Roman" w:eastAsia="Times New Roman" w:hAnsi="Times New Roman"/>
          <w:sz w:val="18"/>
          <w:szCs w:val="18"/>
          <w:color w:val="auto"/>
        </w:rPr>
        <w:t>We are subject to the regulation and supervision of the Federal Reserve and the Federal Reserve Bank of Atlanta. In addition Newtek Bank is regulated by the OCC and we are required to follow SBA rules and guidelines in the origination, servicing and sale of our SBA loans. Complying with this level of regulation requires investments in technology and process and personnel costs.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 to a Financial Holding Company</w:t>
      </w:r>
    </w:p>
    <w:p>
      <w:pPr>
        <w:spacing w:after="0" w:line="231" w:lineRule="exact"/>
        <w:rPr>
          <w:sz w:val="20"/>
          <w:szCs w:val="20"/>
          <w:color w:val="auto"/>
        </w:rPr>
      </w:pPr>
    </w:p>
    <w:p>
      <w:pPr>
        <w:ind w:right="40"/>
        <w:spacing w:after="0" w:line="227" w:lineRule="auto"/>
        <w:rPr>
          <w:sz w:val="20"/>
          <w:szCs w:val="20"/>
          <w:color w:val="auto"/>
        </w:rPr>
      </w:pPr>
      <w:r>
        <w:rPr>
          <w:rFonts w:ascii="Times New Roman" w:cs="Times New Roman" w:eastAsia="Times New Roman" w:hAnsi="Times New Roman"/>
          <w:sz w:val="18"/>
          <w:szCs w:val="18"/>
          <w:color w:val="auto"/>
        </w:rPr>
        <w:t>As of January 6, 2023, we became a financial holding company that, together with our consolidated subsidiaries, provide a wide range of business and financial solutions under the Newtek</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and NewtekOne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brands to the independent business owner (SMB) market. Effective January 6, 2023, following authorization by our shareholders, we withdrew our previous election to be regulated as a BDC under the 1940 Act. Contemporaneously with withdrawing our election to be regulated as a BDC, on January 6, 2023, we completed the Acquisition of NBNYC, a national bank regulated and supervised by the OCC, pursuant to which we acquired from NBNYC’s shareholders all of the issued and outstanding stock of NBNYC. NBNYC was renamed Newtek Bank and became our wholly owned bank subsidiary. As a result of the Acquisition, we became a financial holding company subject to the regulation and supervision of the Federal Reserve and the Federal Reserve Bank of Atlanta. We no longer qualified as a RIC under Subchapter M of the Code for federal income tax purposes and no longer qualified for accounting treatment as an investment company. As a result, in addition to Newtek Bank and its consolidated subsidiary SBL, the following former portfolio companies and subsidiaries are consolidated non-bank subsidiaries in our financial statements: NSBF; NMS; Mobil Money; NBC; PMT; NIA; TAM; NALH; and POS. In addition, as a result of commitments made to the Federal Reserve, we divested of NTS on January 2, 2025. Refer to NOTE 4—INVESTMENTS: Intelligent Protection Management Corp.</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January 13, 2023, we filed Articles of Amendment amending our Charter to change the name of the Company to “NewtekOne, Inc.”</w:t>
      </w:r>
    </w:p>
    <w:p>
      <w:pPr>
        <w:spacing w:after="0" w:line="242"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7"/>
          <w:szCs w:val="17"/>
          <w:color w:val="auto"/>
        </w:rPr>
        <w:t>On April 13, 2023, the Company, NSBF and the SBA entered into the Wind-down Agreement, pursuant to which NSBF is winding-down its operations and NSBF’s SBA 7(a) pipeline of new loans was transitioned to Newtek Bank. During this wind-down process, NSBF continues to own the SBA 7(a) loans and</w:t>
      </w:r>
    </w:p>
    <w:p>
      <w:pPr>
        <w:spacing w:after="0" w:line="1" w:lineRule="exact"/>
        <w:rPr>
          <w:sz w:val="20"/>
          <w:szCs w:val="20"/>
          <w:color w:val="auto"/>
        </w:rPr>
      </w:pPr>
    </w:p>
    <w:p>
      <w:pPr>
        <w:ind w:firstLine="6"/>
        <w:spacing w:after="0" w:line="263" w:lineRule="auto"/>
        <w:tabs>
          <w:tab w:leader="none" w:pos="338"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Loans currently in its SBA loan portfolio to maturity, liquidation, charge-off or (subject to SBA’s prior written approval) sale or transfer. SBL is servicing and liquidating NSBF’s SBA loan portfolio pursuant to an SBA approved lender service provider agreement. In addition, during the wind-down process, NSBF is subject to minimum capital requirements established by the SBA, required to continue to maintain certain amounts of restricted cash available to meet any obligations to the SBA, has restrictions on its ability to make dividends and distributions to the Company, and remains liable to the SBA for post-purchase denials and repairs on the guaranteed portions of SBA 7(a) loans originated and sold by NSBF, from the proceeds generated by NSBF’s SBA loan portfolio. The Company has guaranteed certain of NSBF’s obligations to the SBA and has funded a $10.0 million account to secure these potential obligations.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Historical Business Regulation and Taxation</w:t>
      </w:r>
    </w:p>
    <w:p>
      <w:pPr>
        <w:spacing w:after="0" w:line="244"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Prior to January 6, 2023, we operated as an internally managed non-diversified closed-end management investment company that elected to be regulated as a BDC under the 1940 Act. As a BDC under the 1940 Act we were not permitted to acquire any asset other than assets of the type listed in Section 55(a) of the 1940 Act, which are referred to as qualifying assets, unless, at the time the acquisition is made, qualifying assets represent at least 70% of the company’s total assets, and we were not permitted to issue senior securities unless the ratio of our total assets (less total liabilities other than indebtedness represented by senior securities) to our total indebtedness represented by senior securities plus preferred stock, if any, was at least 150%. As of December 31 2022, our asset coverage was 169%. Although we are no longer regulated as a BDC, certain covenants in our outstanding 2026 Notes require us to maintain an asset coverage of at least 150% as long as the 2026 Notes are outstanding. See 2024 Form 10-K, “ITEM 1A. RISK FACTORS – Risks Related to our Outstanding Indebtedness – We are subject to 150% asset coverage requirements due to covenants contained in certain of our outstanding debt.”</w:t>
      </w:r>
    </w:p>
    <w:p>
      <w:pPr>
        <w:spacing w:after="0" w:line="219"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7"/>
          <w:szCs w:val="17"/>
          <w:color w:val="auto"/>
        </w:rPr>
        <w:t>Additionally, prior to January 6, 2023, due to our status as a BDC, we elected to be treated as a RIC for U.S. federal income tax purposes, beginning with our 2015 tax year. As an entity electing to be treated as a RIC, we generally did not have to pay U.S. federal income taxes at corporate rates on any ordinary</w:t>
      </w:r>
    </w:p>
    <w:p>
      <w:pPr>
        <w:ind w:right="20"/>
        <w:spacing w:after="0" w:line="251" w:lineRule="auto"/>
        <w:rPr>
          <w:sz w:val="20"/>
          <w:szCs w:val="20"/>
          <w:color w:val="auto"/>
        </w:rPr>
      </w:pPr>
      <w:r>
        <w:rPr>
          <w:rFonts w:ascii="Times New Roman" w:cs="Times New Roman" w:eastAsia="Times New Roman" w:hAnsi="Times New Roman"/>
          <w:sz w:val="18"/>
          <w:szCs w:val="18"/>
          <w:color w:val="auto"/>
        </w:rPr>
        <w:t>income or capital gains that we distributed to our shareholders as dividends. To maintain our qualification as a RIC for U.S. federal income tax purposes, we were required to, among other things, meet certain source-of-income and asset diversification requirements (as described below). In addition, in order to obtain tax benefits applicable to an entity treated as a RIC for U.S. federal income tax purposes, we were required to distribute to our shareholders, for each taxable year, at least 90% of our “investment company taxable income,” which is generally our ordinary income plus the excess of realized net short-term capital gains over realized net long-term capital losses.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7"/>
          <w:szCs w:val="17"/>
          <w:color w:val="auto"/>
        </w:rPr>
        <w:t>The Company and its subsidiaries no longer qualify as a RIC for U.S. federal income tax purposes and filed a consolidated U.S. federal income tax return beginning with the 2023 fiscal year. Financial holding companies are subject to federal and state income taxes in essentially the same manner as other corporations. Taxable income is generally calculated under applicable sections of the Internal Revenue Code of 1986, as amended (the “Code”), including Sections 581 through 597 that apply specifically to financial institutions. Some modifications are required by state law and the 2017 tax legislation commonly referred to as the Tax Cuts and Jobs Act (the "Tax Act"). Among other things, the Tax Act (i) established a new, flat corporate federal statutory income tax rate of 21%, (ii) eliminates the corporate alternative minimum tax and allowed the use of any such carryforwards to offset regular tax liability for any taxable year,</w:t>
      </w:r>
    </w:p>
    <w:p>
      <w:pPr>
        <w:spacing w:after="0" w:line="1" w:lineRule="exact"/>
        <w:rPr>
          <w:sz w:val="20"/>
          <w:szCs w:val="20"/>
          <w:color w:val="auto"/>
        </w:rPr>
      </w:pPr>
    </w:p>
    <w:p>
      <w:pPr>
        <w:ind w:right="80" w:firstLine="6"/>
        <w:spacing w:after="0" w:line="246" w:lineRule="auto"/>
        <w:tabs>
          <w:tab w:leader="none" w:pos="30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the deduction for net interest expense incurred by U.S. corporations, (iv) allowed businesses to immediately expense, for tax purposes, the cost of new investments in certain qualified depreciable assets, (v) eliminated or reduced certain deductions related to meals and entertainment expenses, (vi) modified the limitation on excessive employee remuneration to eliminate the exception for performance-based compensation and clarified the definition of a covered employee and (vii) limited the deductibility of deposit insurance premiums. There can be no assurance as to the actual effective rate because it will be dependent upon the nature and amount of future income and expenses as well as actual investments generating investment tax credits and transactions with discrete tax effects.</w:t>
      </w:r>
    </w:p>
    <w:p>
      <w:pPr>
        <w:spacing w:after="0" w:line="217"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From 2012 through December 31, 2022, NSBF was consistently the largest non-bank SBA 7(a) lender in the U.S. based on dollar volume of loan approvals, and, as of December 31, 2022, was the third largest SBA 7(a) lender in the United States. Currently, Newtek Bank is ranked as the second largest SBA 7(a) lender based on dollar volume of loans approved. Historically, NSBF structured its loans so that it could both sell the government guaranteed portions of SBA 7(a) loans and securitize the unguaranteed portions. This structure generally allowed NSBF to recover its capital and earn excess capital on each loan, typically within a year. Pursuant to the Wind-down Agreement described above, in April 2023 NSBF transitioned its SBA 7(a) loan originations to Newtek Bank and is in the process of winding down its operations and will continue to own the 7(a) Loans and PPP Loans in its SBA loan portfolio to maturity, liquidation, charge-off or (subject to SBA’s prior written approval) sale or transfer.</w:t>
      </w:r>
    </w:p>
    <w:p>
      <w:pPr>
        <w:spacing w:after="0" w:line="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Additionally, we and our subsidiaries provide a wide range of business and financial solutions to independent business owner relationships, including Business Lending, which includes SBA 7(a) loans, SBA 504 loans, ALP loans, C&amp;I loans, CRE loans and ABL loans; Electronic Payment Processing, personal and commercial lines Insurance Services, and Payroll and Benefits Solutions to independent business owner relationships nationwide across all industries. With the divestiture of NTS, we no longer provide Managed Technology Solutions to our clients, however, we are currently referring our clients to IPM for its offering of Managed Technology Solutions and earning a finder’s fee pursuant to a referral promotion agreement. We support the operations of our subsidiaries by providing access to our proprietary and patented technology platform, including NewTracker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our patented prospect management software. We have historically defined independent business owners (SMBs) as companies having revenues of $1 million to $100 million, and we have generally estimated the SMB market to be over 34 million businesses in the United States. We make loans and provide business and financial solutions to the SMB market through our bank and non-bank subsidiaries. In addition, we now offer the Newtek Advantage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the One Dashboard for All of Your Business Needs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which provides independent business owners with instant access to a team of NewtekOne business and financial solutions experts in the areas of Business Lending, Electronic Payment Processing, personal and commercial lines Insurance Services and Payroll and Benefits Solutions. Moreover, the Newtek Advantage provides our independent business owner clients with analytics on their businesses, as well as transactional capabilities, including free unlimited document storage, free real-time updated traffic analytics, free real-time credit card processing and chargeback batch information for merchant solutions clients and the ability for PMT clients to make payroll directly from the Newtek Advantage business portal.</w:t>
      </w:r>
    </w:p>
    <w:p>
      <w:pPr>
        <w:spacing w:after="0" w:line="222"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The Company has originated loans under its ALP since 2019. These loans have terms between 10 and 25 years, bear fixed interest rates that reset every five years, and have prepayment penalties. The criteria evaluated in underwriting ALP loans and the terms of these loans have been generally consistent over the ALP’s existence. Prior to July 1, 2024, the Company originated ALP loans with the intent to sell the loans to a JV. While the Company continues to source JV partners to participate in this program, during the third quarter of 2024, we made the decision to originate with the intent to securitize ALP loans with our subsidiary Newtek ALP Holdings as the originator and sponsor. For example, during the second quarter of 2025, Newtek ALP Holdings closed a securitization backed by $216,564,700 of ALP loans. The Company could also originate ALP loans designated as HFI. The Company does not expect any significant changes to the underwriting or terms of loans in its ALP.</w:t>
      </w:r>
    </w:p>
    <w:p>
      <w:pPr>
        <w:spacing w:after="0" w:line="215"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Following the Acquisition, there can be no assurance regarding our continued lending prospects or operations as a financial holding company. See 2024 Form 10-K, “ITEM 1A. RISK FACTORS – Risks Related to Operation as a Financial Holding Company – We are subject to extensive regulation and supervision as a financial holding company, which may adversely affect our business.”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shares are currently listed on the Nasdaq Global Market under the symbol “NEWT”.</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Newtek Bank is a national bank and nationally licensed SBA lender under the SBA 7(a) Program, and originates, sells and services SBA 7(a) loans. Newtek Bank has been granted PLP status and is authorized to place SBA guarantees on loans without seeking prior SBA review and approval. Being a national lender with PLP status allows Newtek Bank to expedite the origination of loans since Newtek Bank is not required to present applications to the SBA for concurrent review and approval. The loss of PLP status would adversely impact our marketing efforts and ultimately our loan origination volume, which would negatively impact our results of operations. See 2024 Form 10-K, “ITEM 1A. RISK FACTORS - Risks Related to SBA Lending - There can be no guarantee that Newtek Bank will be able to maintain its SBA 7(a) lending license and PLP status.” and “ITEM 1A. RISK FACTORS - Risks Related to SBA Lending - A governmental failure to fund the SBA could adversely affect Newtek Bank’s SBA 7(a) loan originations and our results of operations.”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Economic Developments</w:t>
      </w:r>
    </w:p>
    <w:p>
      <w:pPr>
        <w:spacing w:after="0" w:line="244"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18"/>
          <w:szCs w:val="18"/>
          <w:color w:val="auto"/>
        </w:rPr>
        <w:t>We have observed and continue to observe commodity inflation, rising interest rates, unrelated bank failures and declines in depositor confidence in certain types of depository institutions. In addition, the conflicts in the Middle East and the war between Russia and Ukraine, and resulting market volatility, could adversely affect our business, financial condition or results of operations. The ongoing conflicts have negatively affected the global economy and business activity and could have a material adverse effect on our business, financial condition, cash flows and results of operations. The severity and duration of conflicts and their impact on global economic and market conditions are impossible to predict. In 2024, numerous elections were held globally, including the recent U.S. presidential election. The outcomes of the elections are expected to result in changes in policy, which could also have adverse effects on us or the business environment in which we operate more generally. For example, the new U.S. presidential administration has imposed or increased tariffs, including on imports from China, and proposed imposing or increasing tariffs on U.S. trading partners, which could adversely affect markets, the business environment and our business. On July 4, 2025, federal legislation generally referred to as H.R. 1 - One Big Beautiful Bill Act (the “Act”) was signed into law. The Act includes a variety of tax provisions including permanently extending and modifying certain key aspects of existing federal tax law. U.S. GAAP requires the effects of changes in tax laws and rates to be recognized in its financial statements in the period in which legislation is enacted. Any of the above factors, including sanctions, export controls, tariffs, trade wars and other governmental actions, could have a material adverse effect on our business, financial condition, cash flows and results of operations and could cause the market value of our common shares and/or debt securities to decline. We monitor developments and seek to manage our investments in a manner consistent with achieving our investment objective, but there can be no assurance that we will be successful in doing so.</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w:t>
      </w:r>
    </w:p>
    <w:p>
      <w:pPr>
        <w:spacing w:after="0" w:line="246"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For the quarterly period ended June 30, 2025, we generated income in the form of interest, net gains on the sales of loans originated (which primarily include sales of SBA 7(a) and ALP loans) and related servicing assets on such sales, dividends, electronic payment processing income, technology and IT support income, servicing income, and other fee income generated by loan originations and by our subsidiaries. We originated loans that typically have terms of 10 to 25 years and bear interest at prime plus a margin. In some instances, we received payments on our loans based on scheduled amortization of the outstanding balances. In addition, we received repayments of some of our loans prior to their scheduled maturity date. The frequency or volume of these repayments fluctuated significantly from period to period. Our portfolio activity for the quarterly period ended June 30, 2025, also reflects the proceeds of sales of guaranteed portions of SBA 7(a) loans we originated. In addition, we received servicing income related to the guaranteed portions of SBA 7(a) loans which we originated and sold into the secondary market as well as on the portfolios of ALP loans owned and then securitized by NCL JV, TSO JV and Newtek ALP Holdings. These recurring fees are outlined in servicing agreements and were recorded when earned. In addition, we generated revenue in the form of loan origination fees (packaging and legal fees) as well as loan prepayment and late fees. We recorded such fees related to loans held for sale as other income. Distributions of earnings from our joint ventures were evaluated to determine if the distribution was income, return of capital or realized gain.</w:t>
      </w:r>
    </w:p>
    <w:p>
      <w:pPr>
        <w:spacing w:after="0" w:line="20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recognized realized gains or losses on loans based on the difference between (1) the net proceeds from the disposition and any servicing assets recognized and (2) the cost basis of the loan without regard to unrealized gains or losses previously recognized. We recorded current period changes in fair value of loans and assets that were measured at fair value as a component of the net change in unrealized appreciation (depreciation) on the loans or servicing assets, as appropriate, as well as amortization and impairment, if any, of LCM servicing rights in the consolidated statements of operations.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33" w:lineRule="exact"/>
        <w:rPr>
          <w:sz w:val="20"/>
          <w:szCs w:val="20"/>
          <w:color w:val="auto"/>
        </w:rPr>
      </w:pPr>
    </w:p>
    <w:p>
      <w:pPr>
        <w:ind w:right="500"/>
        <w:spacing w:after="0" w:line="236" w:lineRule="auto"/>
        <w:rPr>
          <w:sz w:val="20"/>
          <w:szCs w:val="20"/>
          <w:color w:val="auto"/>
        </w:rPr>
      </w:pPr>
      <w:r>
        <w:rPr>
          <w:rFonts w:ascii="Times New Roman" w:cs="Times New Roman" w:eastAsia="Times New Roman" w:hAnsi="Times New Roman"/>
          <w:sz w:val="18"/>
          <w:szCs w:val="18"/>
          <w:color w:val="auto"/>
        </w:rPr>
        <w:t>For the quarterly period ended June 30, 2025, our primary operating expenses were salaries and benefits, interest expense including interest on deposits, electronic payment processing expense, loan origination and servicing expenses, and other general and administrative costs, such as professional fees, marketing, referral fees, servicing costs and rent.</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and Analysis of Financial Condition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June 30, 2025 vs. December 31, 2024</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244" w:lineRule="exact"/>
        <w:rPr>
          <w:sz w:val="20"/>
          <w:szCs w:val="20"/>
          <w:color w:val="auto"/>
        </w:rPr>
      </w:pPr>
    </w:p>
    <w:p>
      <w:pPr>
        <w:jc w:val="both"/>
        <w:ind w:right="360"/>
        <w:spacing w:after="0" w:line="258" w:lineRule="auto"/>
        <w:rPr>
          <w:sz w:val="20"/>
          <w:szCs w:val="20"/>
          <w:color w:val="auto"/>
        </w:rPr>
      </w:pPr>
      <w:r>
        <w:rPr>
          <w:rFonts w:ascii="Times New Roman" w:cs="Times New Roman" w:eastAsia="Times New Roman" w:hAnsi="Times New Roman"/>
          <w:sz w:val="18"/>
          <w:szCs w:val="18"/>
          <w:color w:val="auto"/>
        </w:rPr>
        <w:t>Total assets at June 30, 2025 were $2.1 billion, an increase of $66.3 million, or 3.2%, compared to total assets of $2.1 billion at December 31, 2024. As of December 31, 2024, the Company held the assets and liabilities of NTS for sale. Refer to NOTE 4—INVESTMENTS: Intelligent Protection Management Corp</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Loans</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199"/>
        </w:trPr>
        <w:tc>
          <w:tcPr>
            <w:tcW w:w="7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ind w:left="20"/>
              <w:spacing w:after="0" w:line="19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8"/>
        </w:trPr>
        <w:tc>
          <w:tcPr>
            <w:tcW w:w="7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40" w:type="dxa"/>
            <w:vAlign w:val="bottom"/>
          </w:tcPr>
          <w:p>
            <w:pPr>
              <w:spacing w:after="0"/>
              <w:rPr>
                <w:sz w:val="20"/>
                <w:szCs w:val="20"/>
                <w:color w:val="auto"/>
              </w:rPr>
            </w:pPr>
          </w:p>
        </w:tc>
        <w:tc>
          <w:tcPr>
            <w:tcW w:w="118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8"/>
        </w:trPr>
        <w:tc>
          <w:tcPr>
            <w:tcW w:w="7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 for sale, at fair value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514,609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372,286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142,323</w:t>
            </w:r>
          </w:p>
        </w:tc>
      </w:tr>
      <w:tr>
        <w:trPr>
          <w:trHeight w:val="225"/>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held for sale, at LCM</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7"/>
              </w:rPr>
              <w:t>(26,512)</w:t>
            </w:r>
          </w:p>
        </w:tc>
      </w:tr>
      <w:tr>
        <w:trPr>
          <w:trHeight w:val="225"/>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 for investment, at fair value</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7"/>
              </w:rPr>
              <w:t>(43,633)</w:t>
            </w:r>
          </w:p>
        </w:tc>
      </w:tr>
      <w:tr>
        <w:trPr>
          <w:trHeight w:val="225"/>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held for investment, at amortized cost, net of deferred fees and costs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767,827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621,651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146,176</w:t>
            </w:r>
          </w:p>
        </w:tc>
      </w:tr>
      <w:tr>
        <w:trPr>
          <w:trHeight w:val="225"/>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7"/>
              </w:rPr>
              <w:t>(12,392)</w:t>
            </w:r>
          </w:p>
        </w:tc>
      </w:tr>
      <w:tr>
        <w:trPr>
          <w:trHeight w:val="218"/>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Loans held for investment, at amortized cost, net</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725,202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591,418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133,784</w:t>
            </w:r>
          </w:p>
        </w:tc>
      </w:tr>
      <w:tr>
        <w:trPr>
          <w:trHeight w:val="243"/>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Loans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1,598,215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1,392,253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205,962</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 held for sale</w:t>
      </w:r>
    </w:p>
    <w:p>
      <w:pPr>
        <w:spacing w:after="0" w:line="24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Loans HFS, at fair value increased $142.3 million during the six months ended June 30, 2025. The overall increase was primarily the result of holding guaranteed portions of SBA 7(a) loans for longer periods of time as well as new loan originations during 2025, in the amount of $216.8 million in SBA loans, partially offset by a decrease of $74.5 million for ALP loans.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8"/>
        </w:trPr>
        <w:tc>
          <w:tcPr>
            <w:tcW w:w="70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40" w:type="dxa"/>
            <w:vAlign w:val="bottom"/>
          </w:tcPr>
          <w:p>
            <w:pPr>
              <w:spacing w:after="0"/>
              <w:rPr>
                <w:sz w:val="20"/>
                <w:szCs w:val="20"/>
                <w:color w:val="auto"/>
              </w:rPr>
            </w:pPr>
          </w:p>
        </w:tc>
        <w:tc>
          <w:tcPr>
            <w:tcW w:w="118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8"/>
        </w:trPr>
        <w:tc>
          <w:tcPr>
            <w:tcW w:w="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SBA 504</w:t>
            </w:r>
          </w:p>
        </w:tc>
        <w:tc>
          <w:tcPr>
            <w:tcW w:w="6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Lien</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143,658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128,255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15,403</w:t>
            </w:r>
          </w:p>
        </w:tc>
      </w:tr>
      <w:tr>
        <w:trPr>
          <w:trHeight w:val="225"/>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SBA 504</w:t>
            </w: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Lien</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w:t>
            </w:r>
          </w:p>
        </w:tc>
      </w:tr>
      <w:tr>
        <w:trPr>
          <w:trHeight w:val="225"/>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 7(a)</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184,480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179,625</w:t>
            </w:r>
          </w:p>
        </w:tc>
      </w:tr>
      <w:tr>
        <w:trPr>
          <w:trHeight w:val="225"/>
        </w:trPr>
        <w:tc>
          <w:tcPr>
            <w:tcW w:w="7100" w:type="dxa"/>
            <w:vAlign w:val="bottom"/>
            <w:gridSpan w:val="2"/>
          </w:tcPr>
          <w:p>
            <w:pPr>
              <w:ind w:left="20"/>
              <w:spacing w:after="0" w:line="225" w:lineRule="exact"/>
              <w:rPr>
                <w:sz w:val="20"/>
                <w:szCs w:val="20"/>
                <w:color w:val="auto"/>
              </w:rPr>
            </w:pPr>
            <w:r>
              <w:rPr>
                <w:rFonts w:ascii="Times New Roman" w:cs="Times New Roman" w:eastAsia="Times New Roman" w:hAnsi="Times New Roman"/>
                <w:sz w:val="18"/>
                <w:szCs w:val="18"/>
                <w:color w:val="auto"/>
              </w:rPr>
              <w:t>SBA 7(a) Partials</w:t>
            </w:r>
            <w:r>
              <w:rPr>
                <w:rFonts w:ascii="Times New Roman" w:cs="Times New Roman" w:eastAsia="Times New Roman" w:hAnsi="Times New Roman"/>
                <w:sz w:val="22"/>
                <w:szCs w:val="22"/>
                <w:color w:val="auto"/>
                <w:vertAlign w:val="superscript"/>
              </w:rPr>
              <w:t>1</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19,106</w:t>
            </w:r>
          </w:p>
        </w:tc>
      </w:tr>
      <w:tr>
        <w:trPr>
          <w:trHeight w:val="218"/>
        </w:trPr>
        <w:tc>
          <w:tcPr>
            <w:tcW w:w="71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SBA loans</w:t>
            </w: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376,588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159,788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216,800</w:t>
            </w:r>
          </w:p>
        </w:tc>
      </w:tr>
      <w:tr>
        <w:trPr>
          <w:trHeight w:val="225"/>
        </w:trPr>
        <w:tc>
          <w:tcPr>
            <w:tcW w:w="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ALP</w:t>
            </w:r>
          </w:p>
        </w:tc>
        <w:tc>
          <w:tcPr>
            <w:tcW w:w="64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138,021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212,498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(74,477)</w:t>
            </w:r>
          </w:p>
        </w:tc>
      </w:tr>
      <w:tr>
        <w:trPr>
          <w:trHeight w:val="243"/>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HFS, at fair value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514,609</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372,286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142,323</w:t>
            </w:r>
          </w:p>
        </w:tc>
      </w:tr>
      <w:tr>
        <w:trPr>
          <w:trHeight w:val="20"/>
        </w:trPr>
        <w:tc>
          <w:tcPr>
            <w:tcW w:w="700" w:type="dxa"/>
            <w:vAlign w:val="bottom"/>
            <w:tcBorders>
              <w:top w:val="single" w:sz="8" w:color="CCEEFF"/>
            </w:tcBorders>
          </w:tcPr>
          <w:p>
            <w:pPr>
              <w:spacing w:after="0" w:line="20" w:lineRule="exact"/>
              <w:rPr>
                <w:sz w:val="1"/>
                <w:szCs w:val="1"/>
                <w:color w:val="auto"/>
              </w:rPr>
            </w:pPr>
          </w:p>
        </w:tc>
        <w:tc>
          <w:tcPr>
            <w:tcW w:w="6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5" w:lineRule="exact"/>
        <w:rPr>
          <w:sz w:val="20"/>
          <w:szCs w:val="20"/>
          <w:color w:val="auto"/>
        </w:rPr>
      </w:pPr>
    </w:p>
    <w:p>
      <w:pPr>
        <w:ind w:left="180" w:hanging="174"/>
        <w:spacing w:after="0"/>
        <w:tabs>
          <w:tab w:leader="none" w:pos="180" w:val="left"/>
        </w:tabs>
        <w:numPr>
          <w:ilvl w:val="0"/>
          <w:numId w:val="4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Reclassified from Loans HFS, at LCM</w:t>
      </w:r>
    </w:p>
    <w:p>
      <w:pPr>
        <w:spacing w:after="0" w:line="220"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8"/>
          <w:szCs w:val="18"/>
          <w:color w:val="auto"/>
        </w:rPr>
        <w:t>Loans HFS, at LCM decreased $26.5 million during the same period. The overall decrease was primarily the result of new loan originations during 2025, net of sales.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1"/>
        </w:trPr>
        <w:tc>
          <w:tcPr>
            <w:tcW w:w="70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40" w:type="dxa"/>
            <w:vAlign w:val="bottom"/>
          </w:tcPr>
          <w:p>
            <w:pPr>
              <w:spacing w:after="0"/>
              <w:rPr>
                <w:sz w:val="20"/>
                <w:szCs w:val="20"/>
                <w:color w:val="auto"/>
              </w:rPr>
            </w:pPr>
          </w:p>
        </w:tc>
        <w:tc>
          <w:tcPr>
            <w:tcW w:w="118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8"/>
        </w:trPr>
        <w:tc>
          <w:tcPr>
            <w:tcW w:w="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SBA 504</w:t>
            </w:r>
          </w:p>
        </w:tc>
        <w:tc>
          <w:tcPr>
            <w:tcW w:w="6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Lien</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(10,739)</w:t>
            </w:r>
          </w:p>
        </w:tc>
      </w:tr>
      <w:tr>
        <w:trPr>
          <w:trHeight w:val="225"/>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SBA 504</w:t>
            </w: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Lien</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w:t>
            </w:r>
          </w:p>
        </w:tc>
      </w:tr>
      <w:tr>
        <w:trPr>
          <w:trHeight w:val="225"/>
        </w:trPr>
        <w:tc>
          <w:tcPr>
            <w:tcW w:w="7100" w:type="dxa"/>
            <w:vAlign w:val="bottom"/>
            <w:gridSpan w:val="2"/>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SBA 7(a) Partials</w:t>
            </w:r>
            <w:r>
              <w:rPr>
                <w:rFonts w:ascii="Times New Roman" w:cs="Times New Roman" w:eastAsia="Times New Roman" w:hAnsi="Times New Roman"/>
                <w:sz w:val="22"/>
                <w:szCs w:val="22"/>
                <w:color w:val="auto"/>
                <w:vertAlign w:val="superscript"/>
              </w:rPr>
              <w:t>1</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(13,817)</w:t>
            </w:r>
          </w:p>
        </w:tc>
      </w:tr>
      <w:tr>
        <w:trPr>
          <w:trHeight w:val="218"/>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Loans HFS, at LCM</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32,291</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58,803</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(26,512)</w:t>
            </w:r>
          </w:p>
        </w:tc>
      </w:tr>
      <w:tr>
        <w:trPr>
          <w:trHeight w:val="20"/>
        </w:trPr>
        <w:tc>
          <w:tcPr>
            <w:tcW w:w="70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2" w:lineRule="exact"/>
        <w:rPr>
          <w:sz w:val="20"/>
          <w:szCs w:val="20"/>
          <w:color w:val="auto"/>
        </w:rPr>
      </w:pPr>
    </w:p>
    <w:p>
      <w:pPr>
        <w:ind w:left="180" w:hanging="174"/>
        <w:spacing w:after="0"/>
        <w:tabs>
          <w:tab w:leader="none" w:pos="180" w:val="left"/>
        </w:tabs>
        <w:numPr>
          <w:ilvl w:val="0"/>
          <w:numId w:val="4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Reclassified to Loans HFS, at fair value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 held for investment</w:t>
      </w:r>
    </w:p>
    <w:p>
      <w:pPr>
        <w:spacing w:after="0" w:line="24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At Fair value: </w:t>
      </w:r>
      <w:r>
        <w:rPr>
          <w:rFonts w:ascii="Times New Roman" w:cs="Times New Roman" w:eastAsia="Times New Roman" w:hAnsi="Times New Roman"/>
          <w:sz w:val="18"/>
          <w:szCs w:val="18"/>
          <w:color w:val="auto"/>
        </w:rPr>
        <w:t>Loans HFI, at fair value were $326.1 million at June 30, 2025 compared to $369.7 million at December 31, 2024. The balance consists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of SBA 7(a) loans as well as $6.2 million of loans that the Company owns 100% as a result of originating the loan and subsequently repurchasing the guaranteed portion from the SBA. As previously discussed, NSBF ceased originating loans during 2023, resulting in the decrease in the balance of loans held for investment from December 31, 2024 to June 30, 2025, primarily due to the principal payments of existing loans held by NSBF.</w:t>
      </w:r>
    </w:p>
    <w:p>
      <w:pPr>
        <w:spacing w:after="0" w:line="208" w:lineRule="exact"/>
        <w:rPr>
          <w:sz w:val="20"/>
          <w:szCs w:val="20"/>
          <w:color w:val="auto"/>
        </w:rPr>
      </w:pPr>
    </w:p>
    <w:p>
      <w:pPr>
        <w:ind w:right="340"/>
        <w:spacing w:after="0" w:line="273" w:lineRule="auto"/>
        <w:rPr>
          <w:sz w:val="20"/>
          <w:szCs w:val="20"/>
          <w:color w:val="auto"/>
        </w:rPr>
      </w:pPr>
      <w:r>
        <w:rPr>
          <w:rFonts w:ascii="Times New Roman" w:cs="Times New Roman" w:eastAsia="Times New Roman" w:hAnsi="Times New Roman"/>
          <w:sz w:val="18"/>
          <w:szCs w:val="18"/>
          <w:i w:val="1"/>
          <w:iCs w:val="1"/>
          <w:color w:val="auto"/>
        </w:rPr>
        <w:t xml:space="preserve">At Amortized Cost: </w:t>
      </w:r>
      <w:r>
        <w:rPr>
          <w:rFonts w:ascii="Times New Roman" w:cs="Times New Roman" w:eastAsia="Times New Roman" w:hAnsi="Times New Roman"/>
          <w:sz w:val="18"/>
          <w:szCs w:val="18"/>
          <w:color w:val="auto"/>
        </w:rPr>
        <w:t>Loans HFI, at amortized cost consist of loans originated at or purchased by Newtek Bank. The $146.2 million increase in loans HFI,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amortized cost is the result of an increase in originations for the six months ended June 30, 2025 over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Credit Quality: </w:t>
      </w:r>
      <w:r>
        <w:rPr>
          <w:rFonts w:ascii="Times New Roman" w:cs="Times New Roman" w:eastAsia="Times New Roman" w:hAnsi="Times New Roman"/>
          <w:sz w:val="18"/>
          <w:szCs w:val="18"/>
          <w:color w:val="auto"/>
        </w:rPr>
        <w:t>The following table presents an analysis of loans HFI with credit metrics, including a breakdown by days aged: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08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Credit Quality Ratios</w:t>
            </w:r>
          </w:p>
        </w:tc>
        <w:tc>
          <w:tcPr>
            <w:tcW w:w="3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2"/>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32"/>
        </w:trPr>
        <w:tc>
          <w:tcPr>
            <w:tcW w:w="6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25"/>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At Amortized Cost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5"/>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699,196</w:t>
            </w:r>
          </w:p>
        </w:tc>
        <w:tc>
          <w:tcPr>
            <w:tcW w:w="6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91.3 %</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575,444</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92.8 %</w:t>
            </w:r>
          </w:p>
        </w:tc>
      </w:tr>
      <w:tr>
        <w:trPr>
          <w:trHeight w:val="225"/>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Past Due 30-89 Days and accruing</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20,507</w:t>
            </w:r>
          </w:p>
        </w:tc>
        <w:tc>
          <w:tcPr>
            <w:tcW w:w="6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25"/>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Nonaccrual loans</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45,949</w:t>
            </w:r>
          </w:p>
        </w:tc>
        <w:tc>
          <w:tcPr>
            <w:tcW w:w="6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24,341</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18"/>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at amortized cost</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765,652</w:t>
            </w: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620,370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5"/>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fees and costs</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64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320" w:type="dxa"/>
            <w:vAlign w:val="bottom"/>
            <w:tcBorders>
              <w:bottom w:val="single" w:sz="8" w:color="CCEEFF"/>
            </w:tcBorders>
          </w:tcPr>
          <w:p>
            <w:pPr>
              <w:spacing w:after="0"/>
              <w:rPr>
                <w:sz w:val="19"/>
                <w:szCs w:val="19"/>
                <w:color w:val="auto"/>
              </w:rPr>
            </w:pPr>
          </w:p>
        </w:tc>
      </w:tr>
      <w:tr>
        <w:trPr>
          <w:trHeight w:val="218"/>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at amortized cost, net of deferred fees and costs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767,827</w:t>
            </w: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621,651</w:t>
            </w:r>
          </w:p>
        </w:tc>
        <w:tc>
          <w:tcPr>
            <w:tcW w:w="1320" w:type="dxa"/>
            <w:vAlign w:val="bottom"/>
            <w:shd w:val="clear" w:color="auto" w:fill="CCEEFF"/>
          </w:tcPr>
          <w:p>
            <w:pPr>
              <w:spacing w:after="0"/>
              <w:rPr>
                <w:sz w:val="18"/>
                <w:szCs w:val="18"/>
                <w:color w:val="auto"/>
              </w:rPr>
            </w:pPr>
          </w:p>
        </w:tc>
      </w:tr>
      <w:tr>
        <w:trPr>
          <w:trHeight w:val="225"/>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(42,625)</w:t>
            </w:r>
          </w:p>
        </w:tc>
        <w:tc>
          <w:tcPr>
            <w:tcW w:w="6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(30,233)</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64"/>
        </w:trPr>
        <w:tc>
          <w:tcPr>
            <w:tcW w:w="60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25"/>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At Fair Value</w:t>
            </w: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5"/>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230,743</w:t>
            </w:r>
          </w:p>
        </w:tc>
        <w:tc>
          <w:tcPr>
            <w:tcW w:w="6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251,616</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68.1 %</w:t>
            </w:r>
          </w:p>
        </w:tc>
      </w:tr>
      <w:tr>
        <w:trPr>
          <w:trHeight w:val="225"/>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Past Due 30-89 Days and accruing</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24,616</w:t>
            </w:r>
          </w:p>
        </w:tc>
        <w:tc>
          <w:tcPr>
            <w:tcW w:w="6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41,558</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11.2 %</w:t>
            </w:r>
          </w:p>
        </w:tc>
      </w:tr>
      <w:tr>
        <w:trPr>
          <w:trHeight w:val="225"/>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Past Due 90 and more Days and accruing</w:t>
            </w:r>
          </w:p>
        </w:tc>
        <w:tc>
          <w:tcPr>
            <w:tcW w:w="3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9,268</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25"/>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Nonaccrual loans</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70,754</w:t>
            </w:r>
          </w:p>
        </w:tc>
        <w:tc>
          <w:tcPr>
            <w:tcW w:w="6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67,304</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18.2 %</w:t>
            </w:r>
          </w:p>
        </w:tc>
      </w:tr>
      <w:tr>
        <w:trPr>
          <w:trHeight w:val="218"/>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326,113</w:t>
            </w: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369,746</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5"/>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Past due and nonaccrual loans as % of Outstanding UPB</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95,370</w:t>
            </w:r>
          </w:p>
        </w:tc>
        <w:tc>
          <w:tcPr>
            <w:tcW w:w="6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29.2 %</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118,130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31.9 %</w:t>
            </w:r>
          </w:p>
        </w:tc>
      </w:tr>
      <w:tr>
        <w:trPr>
          <w:trHeight w:val="264"/>
        </w:trPr>
        <w:tc>
          <w:tcPr>
            <w:tcW w:w="60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25"/>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Nonperforming Assets, as a percentage of total assets</w:t>
            </w: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5"/>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HFI, at amortized cost</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45,949</w:t>
            </w:r>
          </w:p>
        </w:tc>
        <w:tc>
          <w:tcPr>
            <w:tcW w:w="6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24,341</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25"/>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HFI, at fair value</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70,754</w:t>
            </w:r>
          </w:p>
        </w:tc>
        <w:tc>
          <w:tcPr>
            <w:tcW w:w="6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67,304</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25"/>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real estate owned</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5,894</w:t>
            </w:r>
          </w:p>
        </w:tc>
        <w:tc>
          <w:tcPr>
            <w:tcW w:w="6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22"/>
        </w:trPr>
        <w:tc>
          <w:tcPr>
            <w:tcW w:w="6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Nonperforming Assets</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122,597</w:t>
            </w:r>
          </w:p>
        </w:tc>
        <w:tc>
          <w:tcPr>
            <w:tcW w:w="6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95,409</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 exposure</w:t>
      </w:r>
    </w:p>
    <w:p>
      <w:pPr>
        <w:spacing w:after="0" w:line="24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Company’s loan portfolio consists of loans to independent business owners (SMBs). The Company’s Loans HFI at amortized cost and Loans HFS at LCM include a total of $330.4 million of loans, including unfunded commitments, backed by CRE and considered non-owner occupied as of June 30, 2025. The average loan-to-value for this CRE portfolio was 57.1%.</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detail of the loans considered non-owner occupied CRE that are not carried at fair value:</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gridSpan w:val="5"/>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500" w:type="dxa"/>
            <w:vAlign w:val="bottom"/>
          </w:tcPr>
          <w:p>
            <w:pPr>
              <w:spacing w:after="0"/>
              <w:rPr>
                <w:sz w:val="14"/>
                <w:szCs w:val="14"/>
                <w:color w:val="auto"/>
              </w:rPr>
            </w:pPr>
          </w:p>
        </w:tc>
        <w:tc>
          <w:tcPr>
            <w:tcW w:w="1360" w:type="dxa"/>
            <w:vAlign w:val="bottom"/>
            <w:gridSpan w:val="3"/>
          </w:tcPr>
          <w:p>
            <w:pPr>
              <w:jc w:val="center"/>
              <w:ind w:right="120"/>
              <w:spacing w:after="0" w:line="165" w:lineRule="exact"/>
              <w:rPr>
                <w:sz w:val="20"/>
                <w:szCs w:val="20"/>
                <w:color w:val="auto"/>
              </w:rPr>
            </w:pPr>
            <w:r>
              <w:rPr>
                <w:rFonts w:ascii="Times New Roman" w:cs="Times New Roman" w:eastAsia="Times New Roman" w:hAnsi="Times New Roman"/>
                <w:sz w:val="16"/>
                <w:szCs w:val="16"/>
                <w:color w:val="auto"/>
                <w:w w:val="98"/>
              </w:rPr>
              <w:t>HFI at amortized</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3"/>
          </w:tcPr>
          <w:p>
            <w:pPr>
              <w:jc w:val="center"/>
              <w:ind w:right="80"/>
              <w:spacing w:after="0" w:line="165" w:lineRule="exact"/>
              <w:rPr>
                <w:sz w:val="20"/>
                <w:szCs w:val="20"/>
                <w:color w:val="auto"/>
              </w:rPr>
            </w:pPr>
            <w:r>
              <w:rPr>
                <w:rFonts w:ascii="Times New Roman" w:cs="Times New Roman" w:eastAsia="Times New Roman" w:hAnsi="Times New Roman"/>
                <w:sz w:val="16"/>
                <w:szCs w:val="16"/>
                <w:color w:val="auto"/>
                <w:w w:val="98"/>
              </w:rPr>
              <w:t>HFI at amortized</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280"/>
              <w:spacing w:after="0" w:line="172" w:lineRule="exact"/>
              <w:rPr>
                <w:sz w:val="20"/>
                <w:szCs w:val="20"/>
                <w:color w:val="auto"/>
              </w:rPr>
            </w:pPr>
            <w:r>
              <w:rPr>
                <w:rFonts w:ascii="Times New Roman" w:cs="Times New Roman" w:eastAsia="Times New Roman" w:hAnsi="Times New Roman"/>
                <w:sz w:val="16"/>
                <w:szCs w:val="16"/>
                <w:color w:val="auto"/>
                <w:w w:val="98"/>
              </w:rPr>
              <w:t>cost, net of</w:t>
            </w:r>
          </w:p>
        </w:tc>
        <w:tc>
          <w:tcPr>
            <w:tcW w:w="1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auto"/>
              </w:rPr>
              <w:t>HFS at LCM</w:t>
            </w:r>
          </w:p>
        </w:tc>
        <w:tc>
          <w:tcPr>
            <w:tcW w:w="300" w:type="dxa"/>
            <w:vAlign w:val="bottom"/>
          </w:tcPr>
          <w:p>
            <w:pPr>
              <w:spacing w:after="0"/>
              <w:rPr>
                <w:sz w:val="14"/>
                <w:szCs w:val="14"/>
                <w:color w:val="auto"/>
              </w:rPr>
            </w:pPr>
          </w:p>
        </w:tc>
        <w:tc>
          <w:tcPr>
            <w:tcW w:w="660" w:type="dxa"/>
            <w:vAlign w:val="bottom"/>
            <w:vMerge w:val="restart"/>
          </w:tcPr>
          <w:p>
            <w:pPr>
              <w:jc w:val="right"/>
              <w:ind w:right="232"/>
              <w:spacing w:after="0"/>
              <w:rPr>
                <w:sz w:val="20"/>
                <w:szCs w:val="20"/>
                <w:color w:val="auto"/>
              </w:rPr>
            </w:pPr>
            <w:r>
              <w:rPr>
                <w:rFonts w:ascii="Times New Roman" w:cs="Times New Roman" w:eastAsia="Times New Roman" w:hAnsi="Times New Roman"/>
                <w:sz w:val="16"/>
                <w:szCs w:val="16"/>
                <w:color w:val="auto"/>
                <w:w w:val="94"/>
              </w:rPr>
              <w:t>Total</w:t>
            </w:r>
          </w:p>
        </w:tc>
        <w:tc>
          <w:tcPr>
            <w:tcW w:w="100" w:type="dxa"/>
            <w:vAlign w:val="bottom"/>
          </w:tcPr>
          <w:p>
            <w:pPr>
              <w:spacing w:after="0"/>
              <w:rPr>
                <w:sz w:val="14"/>
                <w:szCs w:val="14"/>
                <w:color w:val="auto"/>
              </w:rPr>
            </w:pPr>
          </w:p>
        </w:tc>
        <w:tc>
          <w:tcPr>
            <w:tcW w:w="940" w:type="dxa"/>
            <w:vAlign w:val="bottom"/>
            <w:gridSpan w:val="2"/>
          </w:tcPr>
          <w:p>
            <w:pPr>
              <w:ind w:left="260"/>
              <w:spacing w:after="0" w:line="172" w:lineRule="exact"/>
              <w:rPr>
                <w:sz w:val="20"/>
                <w:szCs w:val="20"/>
                <w:color w:val="auto"/>
              </w:rPr>
            </w:pPr>
            <w:r>
              <w:rPr>
                <w:rFonts w:ascii="Times New Roman" w:cs="Times New Roman" w:eastAsia="Times New Roman" w:hAnsi="Times New Roman"/>
                <w:sz w:val="16"/>
                <w:szCs w:val="16"/>
                <w:color w:val="auto"/>
              </w:rPr>
              <w:t>LTV</w:t>
            </w:r>
          </w:p>
        </w:tc>
        <w:tc>
          <w:tcPr>
            <w:tcW w:w="200" w:type="dxa"/>
            <w:vAlign w:val="bottom"/>
          </w:tcPr>
          <w:p>
            <w:pPr>
              <w:spacing w:after="0"/>
              <w:rPr>
                <w:sz w:val="14"/>
                <w:szCs w:val="14"/>
                <w:color w:val="auto"/>
              </w:rPr>
            </w:pPr>
          </w:p>
        </w:tc>
        <w:tc>
          <w:tcPr>
            <w:tcW w:w="1160" w:type="dxa"/>
            <w:vAlign w:val="bottom"/>
            <w:gridSpan w:val="2"/>
          </w:tcPr>
          <w:p>
            <w:pPr>
              <w:jc w:val="center"/>
              <w:ind w:right="260"/>
              <w:spacing w:after="0" w:line="172" w:lineRule="exact"/>
              <w:rPr>
                <w:sz w:val="20"/>
                <w:szCs w:val="20"/>
                <w:color w:val="auto"/>
              </w:rPr>
            </w:pPr>
            <w:r>
              <w:rPr>
                <w:rFonts w:ascii="Times New Roman" w:cs="Times New Roman" w:eastAsia="Times New Roman" w:hAnsi="Times New Roman"/>
                <w:sz w:val="16"/>
                <w:szCs w:val="16"/>
                <w:color w:val="auto"/>
                <w:w w:val="98"/>
              </w:rPr>
              <w:t>cost, net of</w:t>
            </w:r>
          </w:p>
        </w:tc>
        <w:tc>
          <w:tcPr>
            <w:tcW w:w="106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color w:val="auto"/>
              </w:rPr>
              <w:t>HFS at LCM</w:t>
            </w:r>
          </w:p>
        </w:tc>
        <w:tc>
          <w:tcPr>
            <w:tcW w:w="220" w:type="dxa"/>
            <w:vAlign w:val="bottom"/>
          </w:tcPr>
          <w:p>
            <w:pPr>
              <w:spacing w:after="0"/>
              <w:rPr>
                <w:sz w:val="14"/>
                <w:szCs w:val="14"/>
                <w:color w:val="auto"/>
              </w:rPr>
            </w:pPr>
          </w:p>
        </w:tc>
        <w:tc>
          <w:tcPr>
            <w:tcW w:w="760" w:type="dxa"/>
            <w:vAlign w:val="bottom"/>
            <w:vMerge w:val="restart"/>
          </w:tcPr>
          <w:p>
            <w:pPr>
              <w:jc w:val="right"/>
              <w:ind w:right="252"/>
              <w:spacing w:after="0"/>
              <w:rPr>
                <w:sz w:val="20"/>
                <w:szCs w:val="20"/>
                <w:color w:val="auto"/>
              </w:rPr>
            </w:pPr>
            <w:r>
              <w:rPr>
                <w:rFonts w:ascii="Times New Roman" w:cs="Times New Roman" w:eastAsia="Times New Roman" w:hAnsi="Times New Roman"/>
                <w:sz w:val="16"/>
                <w:szCs w:val="16"/>
                <w:color w:val="auto"/>
              </w:rPr>
              <w:t>Total</w:t>
            </w:r>
          </w:p>
        </w:tc>
        <w:tc>
          <w:tcPr>
            <w:tcW w:w="80" w:type="dxa"/>
            <w:vAlign w:val="bottom"/>
          </w:tcPr>
          <w:p>
            <w:pPr>
              <w:spacing w:after="0"/>
              <w:rPr>
                <w:sz w:val="14"/>
                <w:szCs w:val="14"/>
                <w:color w:val="auto"/>
              </w:rPr>
            </w:pPr>
          </w:p>
        </w:tc>
        <w:tc>
          <w:tcPr>
            <w:tcW w:w="860" w:type="dxa"/>
            <w:vAlign w:val="bottom"/>
          </w:tcPr>
          <w:p>
            <w:pPr>
              <w:jc w:val="right"/>
              <w:ind w:right="221"/>
              <w:spacing w:after="0" w:line="172" w:lineRule="exact"/>
              <w:rPr>
                <w:sz w:val="20"/>
                <w:szCs w:val="20"/>
                <w:color w:val="auto"/>
              </w:rPr>
            </w:pPr>
            <w:r>
              <w:rPr>
                <w:rFonts w:ascii="Times New Roman" w:cs="Times New Roman" w:eastAsia="Times New Roman" w:hAnsi="Times New Roman"/>
                <w:sz w:val="16"/>
                <w:szCs w:val="16"/>
                <w:color w:val="auto"/>
              </w:rPr>
              <w:t>LTV</w:t>
            </w:r>
          </w:p>
        </w:tc>
        <w:tc>
          <w:tcPr>
            <w:tcW w:w="0" w:type="dxa"/>
            <w:vAlign w:val="bottom"/>
          </w:tcPr>
          <w:p>
            <w:pPr>
              <w:spacing w:after="0"/>
              <w:rPr>
                <w:sz w:val="1"/>
                <w:szCs w:val="1"/>
                <w:color w:val="auto"/>
              </w:rPr>
            </w:pPr>
          </w:p>
        </w:tc>
      </w:tr>
      <w:tr>
        <w:trPr>
          <w:trHeight w:val="128"/>
        </w:trPr>
        <w:tc>
          <w:tcPr>
            <w:tcW w:w="2500" w:type="dxa"/>
            <w:vAlign w:val="bottom"/>
          </w:tcPr>
          <w:p>
            <w:pPr>
              <w:spacing w:after="0"/>
              <w:rPr>
                <w:sz w:val="11"/>
                <w:szCs w:val="11"/>
                <w:color w:val="auto"/>
              </w:rPr>
            </w:pPr>
          </w:p>
        </w:tc>
        <w:tc>
          <w:tcPr>
            <w:tcW w:w="13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w w:val="99"/>
              </w:rPr>
              <w:t>deferred fees and</w:t>
            </w:r>
          </w:p>
        </w:tc>
        <w:tc>
          <w:tcPr>
            <w:tcW w:w="1040" w:type="dxa"/>
            <w:vAlign w:val="bottom"/>
            <w:gridSpan w:val="3"/>
            <w:vMerge w:val="continue"/>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w w:val="99"/>
              </w:rPr>
              <w:t>by CRE type</w:t>
            </w:r>
          </w:p>
        </w:tc>
        <w:tc>
          <w:tcPr>
            <w:tcW w:w="13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color w:val="auto"/>
                <w:w w:val="97"/>
              </w:rPr>
              <w:t>deferred fees and</w:t>
            </w:r>
          </w:p>
        </w:tc>
        <w:tc>
          <w:tcPr>
            <w:tcW w:w="10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by CRE type</w:t>
            </w:r>
          </w:p>
        </w:tc>
        <w:tc>
          <w:tcPr>
            <w:tcW w:w="0" w:type="dxa"/>
            <w:vAlign w:val="bottom"/>
          </w:tcPr>
          <w:p>
            <w:pPr>
              <w:spacing w:after="0"/>
              <w:rPr>
                <w:sz w:val="1"/>
                <w:szCs w:val="1"/>
                <w:color w:val="auto"/>
              </w:rPr>
            </w:pPr>
          </w:p>
        </w:tc>
      </w:tr>
      <w:tr>
        <w:trPr>
          <w:trHeight w:val="57"/>
        </w:trPr>
        <w:tc>
          <w:tcPr>
            <w:tcW w:w="2500" w:type="dxa"/>
            <w:vAlign w:val="bottom"/>
          </w:tcPr>
          <w:p>
            <w:pPr>
              <w:spacing w:after="0"/>
              <w:rPr>
                <w:sz w:val="4"/>
                <w:szCs w:val="4"/>
                <w:color w:val="auto"/>
              </w:rPr>
            </w:pPr>
          </w:p>
        </w:tc>
        <w:tc>
          <w:tcPr>
            <w:tcW w:w="136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360" w:type="dxa"/>
            <w:vAlign w:val="bottom"/>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w w:val="99"/>
              </w:rPr>
              <w:t>costs</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w w:val="99"/>
              </w:rPr>
              <w:t>costs</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25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not backed by NOO CRE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523,775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523,775</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429,820</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429,820</w:t>
            </w:r>
          </w:p>
        </w:tc>
        <w:tc>
          <w:tcPr>
            <w:tcW w:w="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backed by NOO CRE</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276,343</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191,831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58,803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250,634</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25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2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loans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767,827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800,118</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621,651</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58,803</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680,454</w:t>
            </w:r>
          </w:p>
        </w:tc>
        <w:tc>
          <w:tcPr>
            <w:tcW w:w="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backed by NOO CRE by type:</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Retail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65,335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65,335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54.0 %</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45,594</w:t>
            </w:r>
          </w:p>
        </w:tc>
        <w:tc>
          <w:tcPr>
            <w:tcW w:w="80" w:type="dxa"/>
            <w:vAlign w:val="bottom"/>
          </w:tcPr>
          <w:p>
            <w:pPr>
              <w:spacing w:after="0"/>
              <w:rPr>
                <w:sz w:val="19"/>
                <w:szCs w:val="19"/>
                <w:color w:val="auto"/>
              </w:rPr>
            </w:pP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45,594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51.4 %</w:t>
            </w: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1-4 Family</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22,939</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55.3 %</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25,139</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25,139</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56.1 %</w:t>
            </w:r>
          </w:p>
        </w:tc>
        <w:tc>
          <w:tcPr>
            <w:tcW w:w="0" w:type="dxa"/>
            <w:vAlign w:val="bottom"/>
          </w:tcPr>
          <w:p>
            <w:pPr>
              <w:spacing w:after="0"/>
              <w:rPr>
                <w:sz w:val="1"/>
                <w:szCs w:val="1"/>
                <w:color w:val="auto"/>
              </w:rPr>
            </w:pPr>
          </w:p>
        </w:tc>
      </w:tr>
      <w:tr>
        <w:trPr>
          <w:trHeight w:val="229"/>
        </w:trPr>
        <w:tc>
          <w:tcPr>
            <w:tcW w:w="2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Multifamily</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55,544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56.7 %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52.6 %</w:t>
            </w: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Industrial</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34,646</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51.0 %</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27,866</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27,866</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50.1 %</w:t>
            </w:r>
          </w:p>
        </w:tc>
        <w:tc>
          <w:tcPr>
            <w:tcW w:w="0" w:type="dxa"/>
            <w:vAlign w:val="bottom"/>
          </w:tcPr>
          <w:p>
            <w:pPr>
              <w:spacing w:after="0"/>
              <w:rPr>
                <w:sz w:val="1"/>
                <w:szCs w:val="1"/>
                <w:color w:val="auto"/>
              </w:rPr>
            </w:pPr>
          </w:p>
        </w:tc>
      </w:tr>
      <w:tr>
        <w:trPr>
          <w:trHeight w:val="229"/>
        </w:trPr>
        <w:tc>
          <w:tcPr>
            <w:tcW w:w="2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Office</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31,017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50.6 %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47.7 %</w:t>
            </w: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Construction and land development</w:t>
            </w:r>
            <w:r>
              <w:rPr>
                <w:rFonts w:ascii="Times New Roman" w:cs="Times New Roman" w:eastAsia="Times New Roman" w:hAnsi="Times New Roman"/>
                <w:sz w:val="20"/>
                <w:szCs w:val="20"/>
                <w:color w:val="auto"/>
                <w:vertAlign w:val="superscript"/>
              </w:rPr>
              <w:t>1</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41,168</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44,986</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67,761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65.1 %</w:t>
            </w:r>
          </w:p>
        </w:tc>
        <w:tc>
          <w:tcPr>
            <w:tcW w:w="0" w:type="dxa"/>
            <w:vAlign w:val="bottom"/>
          </w:tcPr>
          <w:p>
            <w:pPr>
              <w:spacing w:after="0"/>
              <w:rPr>
                <w:sz w:val="1"/>
                <w:szCs w:val="1"/>
                <w:color w:val="auto"/>
              </w:rPr>
            </w:pPr>
          </w:p>
        </w:tc>
      </w:tr>
      <w:tr>
        <w:trPr>
          <w:trHeight w:val="229"/>
        </w:trPr>
        <w:tc>
          <w:tcPr>
            <w:tcW w:w="2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Hotel</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49.4 %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66.2 %</w:t>
            </w: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13,663</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61.3 %</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13,158</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61.5 %</w:t>
            </w:r>
          </w:p>
        </w:tc>
        <w:tc>
          <w:tcPr>
            <w:tcW w:w="0" w:type="dxa"/>
            <w:vAlign w:val="bottom"/>
          </w:tcPr>
          <w:p>
            <w:pPr>
              <w:spacing w:after="0"/>
              <w:rPr>
                <w:sz w:val="1"/>
                <w:szCs w:val="1"/>
                <w:color w:val="auto"/>
              </w:rPr>
            </w:pPr>
          </w:p>
        </w:tc>
      </w:tr>
      <w:tr>
        <w:trPr>
          <w:trHeight w:val="222"/>
        </w:trPr>
        <w:tc>
          <w:tcPr>
            <w:tcW w:w="2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NOO CRE</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244,052</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32,291</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276,343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57.1 %</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191,831</w:t>
            </w: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58,803</w:t>
            </w: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250,634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57.9 %</w:t>
            </w: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5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Unfunded Commitments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2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Construction and land development</w:t>
            </w:r>
            <w:r>
              <w:rPr>
                <w:rFonts w:ascii="Times New Roman" w:cs="Times New Roman" w:eastAsia="Times New Roman" w:hAnsi="Times New Roman"/>
                <w:sz w:val="20"/>
                <w:szCs w:val="20"/>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53,952</w:t>
            </w: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48,402</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48,402</w:t>
            </w:r>
          </w:p>
        </w:tc>
        <w:tc>
          <w:tcPr>
            <w:tcW w:w="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Hotel</w:t>
            </w:r>
          </w:p>
        </w:tc>
        <w:tc>
          <w:tcPr>
            <w:tcW w:w="1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25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unfunded commitments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54,053</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48,415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48,415</w:t>
            </w: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CRE Loans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244,052</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86,344</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330,396</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191,831</w:t>
            </w: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107,218</w:t>
            </w: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299,049</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ind w:left="80" w:right="20" w:hanging="74"/>
        <w:spacing w:after="0" w:line="210" w:lineRule="auto"/>
        <w:tabs>
          <w:tab w:leader="none" w:pos="86" w:val="left"/>
        </w:tabs>
        <w:numPr>
          <w:ilvl w:val="0"/>
          <w:numId w:val="4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Construction and land development includes SBA 504 first and second lien loans. The LTV on first lien is generally 65%. Second liens are typically taken out by the SBA following project completion and occupancy by the borrower. The LTV calculated is based on total exposure.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Intangibles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detail of the Company’s Goodwill and intangibles: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June 30, 2025</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December 31, 2024</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18"/>
        </w:trPr>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8"/>
                <w:szCs w:val="18"/>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Intangible Assets</w:t>
            </w:r>
          </w:p>
        </w:tc>
        <w:tc>
          <w:tcPr>
            <w:tcW w:w="280" w:type="dxa"/>
            <w:vAlign w:val="bottom"/>
          </w:tcPr>
          <w:p>
            <w:pPr>
              <w:spacing w:after="0"/>
              <w:rPr>
                <w:sz w:val="18"/>
                <w:szCs w:val="18"/>
                <w:color w:val="auto"/>
              </w:rPr>
            </w:pPr>
          </w:p>
        </w:tc>
        <w:tc>
          <w:tcPr>
            <w:tcW w:w="94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Intangible Assets</w:t>
            </w:r>
          </w:p>
        </w:tc>
        <w:tc>
          <w:tcPr>
            <w:tcW w:w="260" w:type="dxa"/>
            <w:vAlign w:val="bottom"/>
          </w:tcPr>
          <w:p>
            <w:pPr>
              <w:spacing w:after="0"/>
              <w:rPr>
                <w:sz w:val="18"/>
                <w:szCs w:val="18"/>
                <w:color w:val="auto"/>
              </w:rPr>
            </w:pPr>
          </w:p>
        </w:tc>
        <w:tc>
          <w:tcPr>
            <w:tcW w:w="96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Total</w:t>
            </w:r>
          </w:p>
        </w:tc>
      </w:tr>
      <w:tr>
        <w:trPr>
          <w:trHeight w:val="218"/>
        </w:trPr>
        <w:tc>
          <w:tcPr>
            <w:tcW w:w="2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Banking segment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r>
      <w:tr>
        <w:trPr>
          <w:trHeight w:val="225"/>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segment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13,814</w:t>
            </w:r>
          </w:p>
        </w:tc>
      </w:tr>
      <w:tr>
        <w:trPr>
          <w:trHeight w:val="243"/>
        </w:trPr>
        <w:tc>
          <w:tcPr>
            <w:tcW w:w="2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14,752</w:t>
            </w: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goodwill and intangible assets relates to amortization of intangible assets during the six months ended June 30, 2025.</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8"/>
          <w:szCs w:val="18"/>
          <w:color w:val="auto"/>
        </w:rPr>
        <w:t>A sensitivity analysis of the loan servicing assets at fair value to adverse changes in significant assumptions as of June 30, 2025 and December 31, 2024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86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5"/>
        </w:trPr>
        <w:tc>
          <w:tcPr>
            <w:tcW w:w="68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Discount factor</w:t>
            </w:r>
          </w:p>
        </w:tc>
        <w:tc>
          <w:tcPr>
            <w:tcW w:w="16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r>
      <w:tr>
        <w:trPr>
          <w:trHeight w:val="225"/>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on fair value of a 100 basis point adverse change</w:t>
            </w:r>
          </w:p>
        </w:tc>
        <w:tc>
          <w:tcPr>
            <w:tcW w:w="1660" w:type="dxa"/>
            <w:vAlign w:val="bottom"/>
          </w:tcPr>
          <w:p>
            <w:pPr>
              <w:jc w:val="right"/>
              <w:ind w:right="145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r>
      <w:tr>
        <w:trPr>
          <w:trHeight w:val="225"/>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on fair value of a 200 basis point adverse change</w:t>
            </w:r>
          </w:p>
        </w:tc>
        <w:tc>
          <w:tcPr>
            <w:tcW w:w="16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r>
      <w:tr>
        <w:trPr>
          <w:trHeight w:val="264"/>
        </w:trPr>
        <w:tc>
          <w:tcPr>
            <w:tcW w:w="68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225"/>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Cumulative prepayment rate</w:t>
            </w:r>
          </w:p>
        </w:tc>
        <w:tc>
          <w:tcPr>
            <w:tcW w:w="16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25"/>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on fair value of a 100 basis point adverse change</w:t>
            </w:r>
          </w:p>
        </w:tc>
        <w:tc>
          <w:tcPr>
            <w:tcW w:w="1660" w:type="dxa"/>
            <w:vAlign w:val="bottom"/>
          </w:tcPr>
          <w:p>
            <w:pPr>
              <w:jc w:val="right"/>
              <w:ind w:right="145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5"/>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on fair value of a 500 basis point adverse change</w:t>
            </w:r>
          </w:p>
        </w:tc>
        <w:tc>
          <w:tcPr>
            <w:tcW w:w="16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64"/>
        </w:trPr>
        <w:tc>
          <w:tcPr>
            <w:tcW w:w="68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225"/>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Average cumulative default rate</w:t>
            </w:r>
          </w:p>
        </w:tc>
        <w:tc>
          <w:tcPr>
            <w:tcW w:w="16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25"/>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on fair value of a 100 basis point adverse change</w:t>
            </w:r>
          </w:p>
        </w:tc>
        <w:tc>
          <w:tcPr>
            <w:tcW w:w="1660" w:type="dxa"/>
            <w:vAlign w:val="bottom"/>
          </w:tcPr>
          <w:p>
            <w:pPr>
              <w:jc w:val="right"/>
              <w:ind w:right="145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5"/>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on fair value of a 500 basis point adverse change</w:t>
            </w:r>
          </w:p>
        </w:tc>
        <w:tc>
          <w:tcPr>
            <w:tcW w:w="16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r>
    </w:tbl>
    <w:p>
      <w:pPr>
        <w:spacing w:after="0" w:line="31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sensitivity analysis presents the hypothetical effect on fair value of the servicing assets due to the change in significant assumptions. Changes in fair value based on adverse changes in assumptions generally cannot be extrapolated because the relationship of the change in assumption to the change in fair value is not linear. Additionally, the sensitivity analysis shocks each significant assumption individually, while keeping all other assumptions unchanged. In practice, changes in one assumption generally impact other assumptions, which could increase or lessen the effect of the change.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Residuals in Securitizations, at Fair Value</w:t>
      </w:r>
    </w:p>
    <w:p>
      <w:pPr>
        <w:spacing w:after="0" w:line="244"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8"/>
          <w:szCs w:val="18"/>
          <w:color w:val="auto"/>
        </w:rPr>
        <w:t>The residuals in securitizations, at fair value arise from a securitization that the Company closed on April 23, 2025. Residuals in securitizations were $77.7 million as of June 30, 2025. The Securitization Trust meets the definition of a VIE. The Company holds a variable interest in the VIE, however, the Company is not considered the primary beneficiary of the VIE, because the power over the activities that have the most significant impact on the economic performance of the Securitization Trust is held by the Class C Noteholder, and therefore, the Company is not required to consolidate the Securitization Trust. The Company’s beneficial interest in the Securitization Trust is evidenced by sole ownership of the Ownership Certificate and its beneficial interest in the credit risk of the securitized ALP Loans. As the Sponsor is a wholly owned subsidiary of the Company, the Company effectively owns 100% of the equity interest in the Trust. Refer to NOTE 3—SECURITIZATIONS AND VARIABLE INTEREST ENTITIES in the accompanying notes to the consolidated financial statements for additional information.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Settlement Receivable</w:t>
      </w:r>
    </w:p>
    <w:p>
      <w:pPr>
        <w:spacing w:after="0" w:line="244"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Settlement receivables were $19.7 million as of June 30, 2025, a decrease of $32.8 million compared to December 31, 2024. The settlement receivable arises from the guaranteed portions of SBA 7(a) loans that were traded in the period but did not settle during the current period end and the cash was not received from the purchasing broker during the current period; the amount varies depending on loan origination volume and timing of sales at quarter end. The reduction in the settlement receivable was primarily the result of our holding guaranteed portions of SBA 7(a) loans for longer periods of time.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liabilities at June 30, 2025, were $1.8 billion, an increase of $50.4 million, or 2.9%, compared to total liabilities of $1.8 billion at December 31, 2024.</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deposits were $1.1 billion at June 30, 2025, consisting of $41.0 million in non-interest bearing deposits and $1.0 billion in interest bearing deposits, a</w:t>
      </w:r>
    </w:p>
    <w:p>
      <w:pPr>
        <w:spacing w:after="0" w:line="22"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$110.2 million increase from the balance as of December 31, 2024. As of June 30, 2025 and December 31, 2024, insured deposits represent 78.3% and 80.3%, respectively, of deposits.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Borrowings</w:t>
            </w:r>
          </w:p>
        </w:tc>
        <w:tc>
          <w:tcPr>
            <w:tcW w:w="3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344"/>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Borrowings Outstanding</w:t>
            </w:r>
          </w:p>
        </w:tc>
        <w:tc>
          <w:tcPr>
            <w:tcW w:w="300" w:type="dxa"/>
            <w:vAlign w:val="bottom"/>
          </w:tcPr>
          <w:p>
            <w:pPr>
              <w:spacing w:after="0"/>
              <w:rPr>
                <w:sz w:val="24"/>
                <w:szCs w:val="24"/>
                <w:color w:val="auto"/>
              </w:rPr>
            </w:pPr>
          </w:p>
        </w:tc>
        <w:tc>
          <w:tcPr>
            <w:tcW w:w="18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20" w:type="dxa"/>
            <w:vAlign w:val="bottom"/>
          </w:tcPr>
          <w:p>
            <w:pPr>
              <w:spacing w:after="0"/>
              <w:rPr>
                <w:sz w:val="24"/>
                <w:szCs w:val="24"/>
                <w:color w:val="auto"/>
              </w:rPr>
            </w:pPr>
          </w:p>
        </w:tc>
        <w:tc>
          <w:tcPr>
            <w:tcW w:w="19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420" w:type="dxa"/>
            <w:vAlign w:val="bottom"/>
          </w:tcPr>
          <w:p>
            <w:pPr>
              <w:spacing w:after="0"/>
              <w:rPr>
                <w:sz w:val="24"/>
                <w:szCs w:val="24"/>
                <w:color w:val="auto"/>
              </w:rPr>
            </w:pPr>
          </w:p>
        </w:tc>
        <w:tc>
          <w:tcPr>
            <w:tcW w:w="1660" w:type="dxa"/>
            <w:vAlign w:val="bottom"/>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5"/>
        </w:trPr>
        <w:tc>
          <w:tcPr>
            <w:tcW w:w="4800" w:type="dxa"/>
            <w:vAlign w:val="bottom"/>
            <w:tcBorders>
              <w:top w:val="single" w:sz="8" w:color="CCEEFF"/>
            </w:tcBorders>
            <w:gridSpan w:val="2"/>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Bank Borrowings</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r>
      <w:tr>
        <w:trPr>
          <w:trHeight w:val="225"/>
        </w:trPr>
        <w:tc>
          <w:tcPr>
            <w:tcW w:w="4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NMS Webster Note</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40,730</w:t>
            </w:r>
          </w:p>
        </w:tc>
        <w:tc>
          <w:tcPr>
            <w:tcW w:w="12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32,688</w:t>
            </w:r>
          </w:p>
        </w:tc>
        <w:tc>
          <w:tcPr>
            <w:tcW w:w="100" w:type="dxa"/>
            <w:vAlign w:val="bottom"/>
          </w:tcPr>
          <w:p>
            <w:pPr>
              <w:spacing w:after="0"/>
              <w:rPr>
                <w:sz w:val="19"/>
                <w:szCs w:val="19"/>
                <w:color w:val="auto"/>
              </w:rPr>
            </w:pP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8,042</w:t>
            </w:r>
          </w:p>
        </w:tc>
      </w:tr>
      <w:tr>
        <w:trPr>
          <w:trHeight w:val="225"/>
        </w:trPr>
        <w:tc>
          <w:tcPr>
            <w:tcW w:w="4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SPV I Capital One Facility</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(13,701)</w:t>
            </w:r>
          </w:p>
        </w:tc>
      </w:tr>
      <w:tr>
        <w:trPr>
          <w:trHeight w:val="225"/>
        </w:trPr>
        <w:tc>
          <w:tcPr>
            <w:tcW w:w="4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SPV II Deutsche Bank Facility</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54,036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(16,335)</w:t>
            </w:r>
          </w:p>
        </w:tc>
      </w:tr>
      <w:tr>
        <w:trPr>
          <w:trHeight w:val="225"/>
        </w:trPr>
        <w:tc>
          <w:tcPr>
            <w:tcW w:w="4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SPV III One Florida Bank Facility</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6,989</w:t>
            </w:r>
          </w:p>
        </w:tc>
      </w:tr>
      <w:tr>
        <w:trPr>
          <w:trHeight w:val="225"/>
        </w:trPr>
        <w:tc>
          <w:tcPr>
            <w:tcW w:w="4800" w:type="dxa"/>
            <w:vAlign w:val="bottom"/>
            <w:tcBorders>
              <w:bottom w:val="single" w:sz="8" w:color="CCEEFF"/>
            </w:tcBorders>
            <w:gridSpan w:val="2"/>
          </w:tcPr>
          <w:p>
            <w:pPr>
              <w:ind w:left="20"/>
              <w:spacing w:after="0" w:line="225" w:lineRule="exact"/>
              <w:rPr>
                <w:sz w:val="20"/>
                <w:szCs w:val="20"/>
                <w:color w:val="auto"/>
              </w:rPr>
            </w:pPr>
            <w:r>
              <w:rPr>
                <w:rFonts w:ascii="Times New Roman" w:cs="Times New Roman" w:eastAsia="Times New Roman" w:hAnsi="Times New Roman"/>
                <w:sz w:val="18"/>
                <w:szCs w:val="18"/>
                <w:color w:val="auto"/>
              </w:rPr>
              <w:t>FHLB Advances</w:t>
            </w:r>
            <w:r>
              <w:rPr>
                <w:rFonts w:ascii="Times New Roman" w:cs="Times New Roman" w:eastAsia="Times New Roman" w:hAnsi="Times New Roman"/>
                <w:sz w:val="22"/>
                <w:szCs w:val="22"/>
                <w:color w:val="auto"/>
                <w:vertAlign w:val="superscript"/>
              </w:rPr>
              <w:t>2</w:t>
            </w: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(6,960)</w:t>
            </w:r>
          </w:p>
        </w:tc>
      </w:tr>
      <w:tr>
        <w:trPr>
          <w:trHeight w:val="218"/>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Lines of Credit</w:t>
            </w:r>
          </w:p>
        </w:tc>
        <w:tc>
          <w:tcPr>
            <w:tcW w:w="3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124,292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146,257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(21,965)</w:t>
            </w:r>
          </w:p>
        </w:tc>
      </w:tr>
      <w:tr>
        <w:trPr>
          <w:trHeight w:val="225"/>
        </w:trPr>
        <w:tc>
          <w:tcPr>
            <w:tcW w:w="4800" w:type="dxa"/>
            <w:vAlign w:val="bottom"/>
            <w:gridSpan w:val="2"/>
          </w:tcPr>
          <w:p>
            <w:pPr>
              <w:ind w:left="20"/>
              <w:spacing w:after="0" w:line="225" w:lineRule="exact"/>
              <w:rPr>
                <w:sz w:val="20"/>
                <w:szCs w:val="20"/>
                <w:color w:val="auto"/>
              </w:rPr>
            </w:pPr>
            <w:r>
              <w:rPr>
                <w:rFonts w:ascii="Times New Roman" w:cs="Times New Roman" w:eastAsia="Times New Roman" w:hAnsi="Times New Roman"/>
                <w:sz w:val="18"/>
                <w:szCs w:val="18"/>
                <w:color w:val="auto"/>
              </w:rPr>
              <w:t>Parent Company Notes</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5"/>
        </w:trPr>
        <w:tc>
          <w:tcPr>
            <w:tcW w:w="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2025</w:t>
            </w:r>
          </w:p>
        </w:tc>
        <w:tc>
          <w:tcPr>
            <w:tcW w:w="430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Notes (5.00%)</w:t>
            </w:r>
            <w:r>
              <w:rPr>
                <w:rFonts w:ascii="Times New Roman" w:cs="Times New Roman" w:eastAsia="Times New Roman" w:hAnsi="Times New Roman"/>
                <w:sz w:val="22"/>
                <w:szCs w:val="22"/>
                <w:color w:val="auto"/>
                <w:vertAlign w:val="superscript"/>
              </w:rPr>
              <w:t>3</w:t>
            </w:r>
          </w:p>
        </w:tc>
        <w:tc>
          <w:tcPr>
            <w:tcW w:w="3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(29,913)</w:t>
            </w:r>
          </w:p>
        </w:tc>
      </w:tr>
      <w:tr>
        <w:trPr>
          <w:trHeight w:val="225"/>
        </w:trPr>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2026</w:t>
            </w: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(5.50%)</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114,282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25"/>
        </w:trPr>
        <w:tc>
          <w:tcPr>
            <w:tcW w:w="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2027</w:t>
            </w:r>
          </w:p>
        </w:tc>
        <w:tc>
          <w:tcPr>
            <w:tcW w:w="430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Notes (8.125%)</w:t>
            </w:r>
            <w:r>
              <w:rPr>
                <w:rFonts w:ascii="Times New Roman" w:cs="Times New Roman" w:eastAsia="Times New Roman" w:hAnsi="Times New Roman"/>
                <w:sz w:val="22"/>
                <w:szCs w:val="22"/>
                <w:color w:val="auto"/>
                <w:vertAlign w:val="superscript"/>
              </w:rPr>
              <w:t>4</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5"/>
        </w:trPr>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2028</w:t>
            </w: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(8.00%)</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38,726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25"/>
        </w:trPr>
        <w:tc>
          <w:tcPr>
            <w:tcW w:w="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2029</w:t>
            </w:r>
          </w:p>
        </w:tc>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(8.50%)</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69,878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69,622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25"/>
        </w:trPr>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2029</w:t>
            </w: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(8.625%)</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72,906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72,662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25"/>
        </w:trPr>
        <w:tc>
          <w:tcPr>
            <w:tcW w:w="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2030</w:t>
            </w:r>
          </w:p>
        </w:tc>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(8.375%)</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29,319</w:t>
            </w:r>
          </w:p>
        </w:tc>
      </w:tr>
      <w:tr>
        <w:trPr>
          <w:trHeight w:val="218"/>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Parent Company Notes</w:t>
            </w:r>
          </w:p>
        </w:tc>
        <w:tc>
          <w:tcPr>
            <w:tcW w:w="30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375,596</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375,149</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225"/>
        </w:trPr>
        <w:tc>
          <w:tcPr>
            <w:tcW w:w="4800" w:type="dxa"/>
            <w:vAlign w:val="bottom"/>
            <w:gridSpan w:val="2"/>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Notes Payable - Securitization Trusts</w:t>
            </w:r>
            <w:r>
              <w:rPr>
                <w:rFonts w:ascii="Times New Roman" w:cs="Times New Roman" w:eastAsia="Times New Roman" w:hAnsi="Times New Roman"/>
                <w:sz w:val="22"/>
                <w:szCs w:val="22"/>
                <w:color w:val="auto"/>
                <w:vertAlign w:val="superscript"/>
              </w:rPr>
              <w:t>1</w:t>
            </w:r>
          </w:p>
        </w:tc>
        <w:tc>
          <w:tcPr>
            <w:tcW w:w="3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157,439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186,635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(29,196)</w:t>
            </w:r>
          </w:p>
        </w:tc>
      </w:tr>
      <w:tr>
        <w:trPr>
          <w:trHeight w:val="218"/>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30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657,327</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708,041</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(50,714)</w:t>
            </w:r>
          </w:p>
        </w:tc>
      </w:tr>
      <w:tr>
        <w:trPr>
          <w:trHeight w:val="20"/>
        </w:trPr>
        <w:tc>
          <w:tcPr>
            <w:tcW w:w="5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5" w:lineRule="exact"/>
        <w:rPr>
          <w:sz w:val="20"/>
          <w:szCs w:val="20"/>
          <w:color w:val="auto"/>
        </w:rPr>
      </w:pPr>
    </w:p>
    <w:p>
      <w:pPr>
        <w:ind w:left="200" w:hanging="194"/>
        <w:spacing w:after="0"/>
        <w:tabs>
          <w:tab w:leader="none" w:pos="200" w:val="left"/>
        </w:tabs>
        <w:numPr>
          <w:ilvl w:val="0"/>
          <w:numId w:val="4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Net of deferred financing costs.</w:t>
      </w:r>
    </w:p>
    <w:p>
      <w:pPr>
        <w:spacing w:after="0" w:line="3" w:lineRule="exact"/>
        <w:rPr>
          <w:sz w:val="20"/>
          <w:szCs w:val="20"/>
          <w:color w:val="auto"/>
        </w:rPr>
      </w:pPr>
    </w:p>
    <w:p>
      <w:pPr>
        <w:ind w:left="160" w:right="220" w:hanging="154"/>
        <w:spacing w:after="0" w:line="214" w:lineRule="auto"/>
        <w:tabs>
          <w:tab w:leader="none" w:pos="202" w:val="left"/>
        </w:tabs>
        <w:numPr>
          <w:ilvl w:val="0"/>
          <w:numId w:val="5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At June 30, 2025 and December 31, 2024, the carrying amount of Newtek Bank’s FHLB borrowings includes a $0.02 million and $0.04 million purchase accounting adjustment, respectively.</w:t>
      </w:r>
    </w:p>
    <w:p>
      <w:pPr>
        <w:ind w:left="180" w:hanging="174"/>
        <w:spacing w:after="0" w:line="192" w:lineRule="auto"/>
        <w:tabs>
          <w:tab w:leader="none" w:pos="180" w:val="left"/>
        </w:tabs>
        <w:numPr>
          <w:ilvl w:val="0"/>
          <w:numId w:val="5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On March 31, 2025, the 2025 5.00% Notes matured.</w:t>
      </w:r>
    </w:p>
    <w:p>
      <w:pPr>
        <w:spacing w:after="0" w:line="3" w:lineRule="exact"/>
        <w:rPr>
          <w:sz w:val="20"/>
          <w:szCs w:val="20"/>
          <w:color w:val="auto"/>
        </w:rPr>
      </w:pPr>
    </w:p>
    <w:p>
      <w:pPr>
        <w:ind w:left="160" w:right="240" w:hanging="154"/>
        <w:spacing w:after="0" w:line="214" w:lineRule="auto"/>
        <w:tabs>
          <w:tab w:leader="none" w:pos="235" w:val="left"/>
        </w:tabs>
        <w:numPr>
          <w:ilvl w:val="0"/>
          <w:numId w:val="5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Effective December 11, 2024, the Company entered into the Amendment and Exchange Agreements with each of the holders of the 2025 8.125% Notes, pursuant to which the Company and the holders of the 2025 8.125% Notes agreed to exchange the 2025 8.125% Notes for the 2027 Notes.</w:t>
      </w:r>
    </w:p>
    <w:p>
      <w:pPr>
        <w:spacing w:after="0" w:line="2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Borrowings were $657.3 million at June 30, 2025, compared to $708.0 million at December 31, 2024. This decrease was primarily due to the maturity of $29.9 million of the 2025 5.00% Notes, $29.2 million reduction in the notes payable on securitization trusts, a $13.7 million and $16.3 million repayments of borrowings on the SPV I and SPV II facilities, respectively, and $7.0 million in maturities of FHLB advances. These decreases were partially offset by a $29.3 million issuance of the 2030 Notes and $8.0 million of additional borrowings under the NMS Webster Note, as well as additional borrowings of $7.0 million on the SPV III facility.</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is a comparison of the results of operations for the six months ended June 30, 2025 and 2024.</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w:t>
      </w:r>
    </w:p>
    <w:p>
      <w:pPr>
        <w:spacing w:after="0" w:line="225"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8"/>
          <w:szCs w:val="18"/>
          <w:color w:val="auto"/>
        </w:rPr>
        <w:t>For the six months ended June 30, 2025, the Company reported net income of $23.1 million, or $0.89 per basic and $0.87 per diluted share, compared to net income of $20.6 million, or $0.81 per basic and $0.81 per diluted share, for the six months ended June 30, 2024.</w:t>
      </w:r>
    </w:p>
    <w:p>
      <w:pPr>
        <w:spacing w:after="0" w:line="19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net increase in net income before taxes was due to a $16.1 million increase of interest income on loans, and a $7.3 million increase in noninterest income, partially offset by a $12.8 million increase of provision for credit losses, a $6.8 million increase of interest expense on deposits. Below is a summary of changes in the components of Net income: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8"/>
          </w:tcPr>
          <w:p>
            <w:pPr>
              <w:ind w:left="3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7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5"/>
        </w:trPr>
        <w:tc>
          <w:tcPr>
            <w:tcW w:w="67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income after provision for credit losses</w:t>
            </w:r>
          </w:p>
        </w:tc>
        <w:tc>
          <w:tcPr>
            <w:tcW w:w="360" w:type="dxa"/>
            <w:vAlign w:val="bottom"/>
            <w:gridSpan w:val="2"/>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(2,984)</w:t>
            </w:r>
          </w:p>
        </w:tc>
        <w:tc>
          <w:tcPr>
            <w:tcW w:w="0" w:type="dxa"/>
            <w:vAlign w:val="bottom"/>
          </w:tcPr>
          <w:p>
            <w:pPr>
              <w:spacing w:after="0"/>
              <w:rPr>
                <w:sz w:val="1"/>
                <w:szCs w:val="1"/>
                <w:color w:val="auto"/>
              </w:rPr>
            </w:pPr>
          </w:p>
        </w:tc>
      </w:tr>
      <w:tr>
        <w:trPr>
          <w:trHeight w:val="225"/>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 income</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108,673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 expense</w:t>
            </w:r>
          </w:p>
        </w:tc>
        <w:tc>
          <w:tcPr>
            <w:tcW w:w="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83,486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81,723</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before taxes</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auto"/>
            </w:tcBorders>
            <w:gridSpan w:val="2"/>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gridSpan w:val="2"/>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7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20" w:type="dxa"/>
            <w:vAlign w:val="bottom"/>
            <w:gridSpan w:val="8"/>
          </w:tcPr>
          <w:p>
            <w:pPr>
              <w:ind w:left="3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670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5"/>
        </w:trPr>
        <w:tc>
          <w:tcPr>
            <w:tcW w:w="6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Debt securities available-for-sale</w:t>
            </w:r>
          </w:p>
        </w:tc>
        <w:tc>
          <w:tcPr>
            <w:tcW w:w="36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Loans and fees on loans</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51,758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interest earning assets</w:t>
            </w:r>
          </w:p>
        </w:tc>
        <w:tc>
          <w:tcPr>
            <w:tcW w:w="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interest income</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Deposits</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Notes and securitizations</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Bank and FHLB borrowings</w:t>
            </w: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interest expense</w:t>
            </w:r>
          </w:p>
        </w:tc>
        <w:tc>
          <w:tcPr>
            <w:tcW w:w="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46,552</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interest income after provision for credit losses</w:t>
            </w:r>
          </w:p>
        </w:tc>
        <w:tc>
          <w:tcPr>
            <w:tcW w:w="4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8"/>
          <w:szCs w:val="18"/>
          <w:color w:val="auto"/>
        </w:rPr>
        <w:t>In response to market conditions and consistent with its business plan, Newtek Bank has been focused on increasing its liquidity position by raising additional deposits and maintaining a significant portion of its liquidity in the form of cash held at the Federal Reserve, approximately $179.7 million as of June 30, 2025, as opposed to long-term investments. In addition, Newtek Bank management continues to closely monitor market conditions with a focus on its asset liability management policies, as well as closely monitoring, among other things, capital levels, to ensure compliance with regulatory guidelines and the OCC Operating Agreement.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18"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Loans and fees on loans: </w:t>
      </w:r>
      <w:r>
        <w:rPr>
          <w:rFonts w:ascii="Times New Roman" w:cs="Times New Roman" w:eastAsia="Times New Roman" w:hAnsi="Times New Roman"/>
          <w:sz w:val="18"/>
          <w:szCs w:val="18"/>
          <w:color w:val="auto"/>
        </w:rPr>
        <w:t>The $16.1 million increase in interest income on the Company’s loan portfolio was attributable to increases in the average balances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loans HFI and HFS, which increased $199.3 million and $167.3 million, respectively, as well as the average outstanding accrual portfolio of loans held for investment increasing to $1.4 billion from $1.1 billion for the six months ended June 30, 2025 and 2024, respectively. The increase in the average balance of loans HFS was attributable to originations of SBA 504 and ALP loans, and the increase in the average outstanding accrual loan portfolio resulted from the origination of new SBA 7(a) loans period over period.</w:t>
      </w:r>
    </w:p>
    <w:p>
      <w:pPr>
        <w:spacing w:after="0" w:line="182"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8"/>
          <w:szCs w:val="18"/>
          <w:i w:val="1"/>
          <w:iCs w:val="1"/>
          <w:color w:val="auto"/>
        </w:rPr>
        <w:t xml:space="preserve">Other interest earning assets: </w:t>
      </w:r>
      <w:r>
        <w:rPr>
          <w:rFonts w:ascii="Times New Roman" w:cs="Times New Roman" w:eastAsia="Times New Roman" w:hAnsi="Times New Roman"/>
          <w:sz w:val="18"/>
          <w:szCs w:val="18"/>
          <w:color w:val="auto"/>
        </w:rPr>
        <w:t>The $2.3 million increase in interest income from other interest earnings assets was attributable to higher interest rates on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due from banks, as well as interest bearing deposits in banks, including Newtek Bank earning interest on Federal Reserve Bank cash deposits.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interest expense by facility for the six months ended June 30, 2025 and 2024:</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6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6,761</w:t>
            </w:r>
          </w:p>
        </w:tc>
        <w:tc>
          <w:tcPr>
            <w:tcW w:w="0" w:type="dxa"/>
            <w:vAlign w:val="bottom"/>
          </w:tcPr>
          <w:p>
            <w:pPr>
              <w:spacing w:after="0"/>
              <w:rPr>
                <w:sz w:val="1"/>
                <w:szCs w:val="1"/>
                <w:color w:val="auto"/>
              </w:rPr>
            </w:pPr>
          </w:p>
        </w:tc>
      </w:tr>
      <w:tr>
        <w:trPr>
          <w:trHeight w:val="225"/>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 and securitizations: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Notes payable - Securitization Trusts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(5,106)</w:t>
            </w:r>
          </w:p>
        </w:tc>
        <w:tc>
          <w:tcPr>
            <w:tcW w:w="0" w:type="dxa"/>
            <w:vAlign w:val="bottom"/>
          </w:tcPr>
          <w:p>
            <w:pPr>
              <w:spacing w:after="0"/>
              <w:rPr>
                <w:sz w:val="1"/>
                <w:szCs w:val="1"/>
                <w:color w:val="auto"/>
              </w:rPr>
            </w:pPr>
          </w:p>
        </w:tc>
      </w:tr>
      <w:tr>
        <w:trPr>
          <w:trHeight w:val="225"/>
        </w:trPr>
        <w:tc>
          <w:tcPr>
            <w:tcW w:w="5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4"/>
              </w:rPr>
              <w:t>2024</w:t>
            </w:r>
          </w:p>
        </w:tc>
        <w:tc>
          <w:tcPr>
            <w:tcW w:w="6120" w:type="dxa"/>
            <w:vAlign w:val="bottom"/>
          </w:tcPr>
          <w:p>
            <w:pPr>
              <w:ind w:left="40"/>
              <w:spacing w:after="0" w:line="225" w:lineRule="exact"/>
              <w:rPr>
                <w:sz w:val="20"/>
                <w:szCs w:val="20"/>
                <w:color w:val="auto"/>
              </w:rPr>
            </w:pPr>
            <w:r>
              <w:rPr>
                <w:rFonts w:ascii="Times New Roman" w:cs="Times New Roman" w:eastAsia="Times New Roman" w:hAnsi="Times New Roman"/>
                <w:sz w:val="18"/>
                <w:szCs w:val="18"/>
                <w:color w:val="auto"/>
              </w:rPr>
              <w:t>Notes</w:t>
            </w:r>
            <w:r>
              <w:rPr>
                <w:rFonts w:ascii="Times New Roman" w:cs="Times New Roman" w:eastAsia="Times New Roman" w:hAnsi="Times New Roman"/>
                <w:sz w:val="22"/>
                <w:szCs w:val="22"/>
                <w:color w:val="auto"/>
                <w:vertAlign w:val="superscript"/>
              </w:rPr>
              <w:t>1</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0" w:type="dxa"/>
            <w:vAlign w:val="bottom"/>
          </w:tcPr>
          <w:p>
            <w:pPr>
              <w:spacing w:after="0"/>
              <w:rPr>
                <w:sz w:val="1"/>
                <w:szCs w:val="1"/>
                <w:color w:val="auto"/>
              </w:rPr>
            </w:pPr>
          </w:p>
        </w:tc>
      </w:tr>
      <w:tr>
        <w:trPr>
          <w:trHeight w:val="225"/>
        </w:trPr>
        <w:tc>
          <w:tcPr>
            <w:tcW w:w="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4"/>
              </w:rPr>
              <w:t>2025</w:t>
            </w:r>
          </w:p>
        </w:tc>
        <w:tc>
          <w:tcPr>
            <w:tcW w:w="6120" w:type="dxa"/>
            <w:vAlign w:val="bottom"/>
            <w:shd w:val="clear" w:color="auto" w:fill="CCEEFF"/>
          </w:tcPr>
          <w:p>
            <w:pPr>
              <w:ind w:left="40"/>
              <w:spacing w:after="0" w:line="225" w:lineRule="exact"/>
              <w:rPr>
                <w:sz w:val="20"/>
                <w:szCs w:val="20"/>
                <w:color w:val="auto"/>
              </w:rPr>
            </w:pPr>
            <w:r>
              <w:rPr>
                <w:rFonts w:ascii="Times New Roman" w:cs="Times New Roman" w:eastAsia="Times New Roman" w:hAnsi="Times New Roman"/>
                <w:sz w:val="18"/>
                <w:szCs w:val="18"/>
                <w:color w:val="auto"/>
              </w:rPr>
              <w:t>5.00% Notes</w:t>
            </w:r>
            <w:r>
              <w:rPr>
                <w:rFonts w:ascii="Times New Roman" w:cs="Times New Roman" w:eastAsia="Times New Roman" w:hAnsi="Times New Roman"/>
                <w:sz w:val="22"/>
                <w:szCs w:val="22"/>
                <w:color w:val="auto"/>
                <w:vertAlign w:val="superscript"/>
              </w:rPr>
              <w:t>2</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25"/>
        </w:trPr>
        <w:tc>
          <w:tcPr>
            <w:tcW w:w="5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4"/>
              </w:rPr>
              <w:t>2025</w:t>
            </w:r>
          </w:p>
        </w:tc>
        <w:tc>
          <w:tcPr>
            <w:tcW w:w="6120" w:type="dxa"/>
            <w:vAlign w:val="bottom"/>
          </w:tcPr>
          <w:p>
            <w:pPr>
              <w:ind w:left="40"/>
              <w:spacing w:after="0" w:line="225" w:lineRule="exact"/>
              <w:rPr>
                <w:sz w:val="20"/>
                <w:szCs w:val="20"/>
                <w:color w:val="auto"/>
              </w:rPr>
            </w:pPr>
            <w:r>
              <w:rPr>
                <w:rFonts w:ascii="Times New Roman" w:cs="Times New Roman" w:eastAsia="Times New Roman" w:hAnsi="Times New Roman"/>
                <w:sz w:val="18"/>
                <w:szCs w:val="18"/>
                <w:color w:val="auto"/>
              </w:rPr>
              <w:t>8.125% Notes</w:t>
            </w:r>
            <w:r>
              <w:rPr>
                <w:rFonts w:ascii="Times New Roman" w:cs="Times New Roman" w:eastAsia="Times New Roman" w:hAnsi="Times New Roman"/>
                <w:sz w:val="22"/>
                <w:szCs w:val="22"/>
                <w:color w:val="auto"/>
                <w:vertAlign w:val="superscript"/>
              </w:rPr>
              <w:t>3</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0" w:type="dxa"/>
            <w:vAlign w:val="bottom"/>
          </w:tcPr>
          <w:p>
            <w:pPr>
              <w:spacing w:after="0"/>
              <w:rPr>
                <w:sz w:val="1"/>
                <w:szCs w:val="1"/>
                <w:color w:val="auto"/>
              </w:rPr>
            </w:pPr>
          </w:p>
        </w:tc>
      </w:tr>
      <w:tr>
        <w:trPr>
          <w:trHeight w:val="225"/>
        </w:trPr>
        <w:tc>
          <w:tcPr>
            <w:tcW w:w="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4"/>
              </w:rPr>
              <w:t>2026</w:t>
            </w:r>
          </w:p>
        </w:tc>
        <w:tc>
          <w:tcPr>
            <w:tcW w:w="6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5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4"/>
              </w:rPr>
              <w:t>2027</w:t>
            </w:r>
          </w:p>
        </w:tc>
        <w:tc>
          <w:tcPr>
            <w:tcW w:w="6120" w:type="dxa"/>
            <w:vAlign w:val="bottom"/>
          </w:tcPr>
          <w:p>
            <w:pPr>
              <w:ind w:left="40"/>
              <w:spacing w:after="0" w:line="225" w:lineRule="exact"/>
              <w:rPr>
                <w:sz w:val="20"/>
                <w:szCs w:val="20"/>
                <w:color w:val="auto"/>
              </w:rPr>
            </w:pPr>
            <w:r>
              <w:rPr>
                <w:rFonts w:ascii="Times New Roman" w:cs="Times New Roman" w:eastAsia="Times New Roman" w:hAnsi="Times New Roman"/>
                <w:sz w:val="18"/>
                <w:szCs w:val="18"/>
                <w:color w:val="auto"/>
              </w:rPr>
              <w:t>Notes</w:t>
            </w:r>
            <w:r>
              <w:rPr>
                <w:rFonts w:ascii="Times New Roman" w:cs="Times New Roman" w:eastAsia="Times New Roman" w:hAnsi="Times New Roman"/>
                <w:sz w:val="22"/>
                <w:szCs w:val="22"/>
                <w:color w:val="auto"/>
                <w:vertAlign w:val="superscript"/>
              </w:rPr>
              <w:t>3</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0" w:type="dxa"/>
            <w:vAlign w:val="bottom"/>
          </w:tcPr>
          <w:p>
            <w:pPr>
              <w:spacing w:after="0"/>
              <w:rPr>
                <w:sz w:val="1"/>
                <w:szCs w:val="1"/>
                <w:color w:val="auto"/>
              </w:rPr>
            </w:pPr>
          </w:p>
        </w:tc>
      </w:tr>
      <w:tr>
        <w:trPr>
          <w:trHeight w:val="225"/>
        </w:trPr>
        <w:tc>
          <w:tcPr>
            <w:tcW w:w="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4"/>
              </w:rPr>
              <w:t>2028</w:t>
            </w:r>
          </w:p>
        </w:tc>
        <w:tc>
          <w:tcPr>
            <w:tcW w:w="6120" w:type="dxa"/>
            <w:vAlign w:val="bottom"/>
            <w:shd w:val="clear" w:color="auto" w:fill="CCEEFF"/>
          </w:tcPr>
          <w:p>
            <w:pPr>
              <w:ind w:left="40"/>
              <w:spacing w:after="0" w:line="225" w:lineRule="exact"/>
              <w:rPr>
                <w:sz w:val="20"/>
                <w:szCs w:val="20"/>
                <w:color w:val="auto"/>
              </w:rPr>
            </w:pPr>
            <w:r>
              <w:rPr>
                <w:rFonts w:ascii="Times New Roman" w:cs="Times New Roman" w:eastAsia="Times New Roman" w:hAnsi="Times New Roman"/>
                <w:sz w:val="18"/>
                <w:szCs w:val="18"/>
                <w:color w:val="auto"/>
              </w:rPr>
              <w:t>Notes</w:t>
            </w:r>
            <w:r>
              <w:rPr>
                <w:rFonts w:ascii="Times New Roman" w:cs="Times New Roman" w:eastAsia="Times New Roman" w:hAnsi="Times New Roman"/>
                <w:sz w:val="22"/>
                <w:szCs w:val="22"/>
                <w:color w:val="auto"/>
                <w:vertAlign w:val="superscript"/>
              </w:rPr>
              <w:t>4</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5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4"/>
              </w:rPr>
              <w:t>2029</w:t>
            </w:r>
          </w:p>
        </w:tc>
        <w:tc>
          <w:tcPr>
            <w:tcW w:w="6120" w:type="dxa"/>
            <w:vAlign w:val="bottom"/>
          </w:tcPr>
          <w:p>
            <w:pPr>
              <w:ind w:left="40"/>
              <w:spacing w:after="0" w:line="225" w:lineRule="exact"/>
              <w:rPr>
                <w:sz w:val="20"/>
                <w:szCs w:val="20"/>
                <w:color w:val="auto"/>
              </w:rPr>
            </w:pPr>
            <w:r>
              <w:rPr>
                <w:rFonts w:ascii="Times New Roman" w:cs="Times New Roman" w:eastAsia="Times New Roman" w:hAnsi="Times New Roman"/>
                <w:sz w:val="18"/>
                <w:szCs w:val="18"/>
                <w:color w:val="auto"/>
              </w:rPr>
              <w:t>8.50% Notes</w:t>
            </w:r>
            <w:r>
              <w:rPr>
                <w:rFonts w:ascii="Times New Roman" w:cs="Times New Roman" w:eastAsia="Times New Roman" w:hAnsi="Times New Roman"/>
                <w:sz w:val="22"/>
                <w:szCs w:val="22"/>
                <w:color w:val="auto"/>
                <w:vertAlign w:val="superscript"/>
              </w:rPr>
              <w:t>5</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0" w:type="dxa"/>
            <w:vAlign w:val="bottom"/>
          </w:tcPr>
          <w:p>
            <w:pPr>
              <w:spacing w:after="0"/>
              <w:rPr>
                <w:sz w:val="1"/>
                <w:szCs w:val="1"/>
                <w:color w:val="auto"/>
              </w:rPr>
            </w:pPr>
          </w:p>
        </w:tc>
      </w:tr>
      <w:tr>
        <w:trPr>
          <w:trHeight w:val="225"/>
        </w:trPr>
        <w:tc>
          <w:tcPr>
            <w:tcW w:w="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4"/>
              </w:rPr>
              <w:t>2029</w:t>
            </w:r>
          </w:p>
        </w:tc>
        <w:tc>
          <w:tcPr>
            <w:tcW w:w="6120" w:type="dxa"/>
            <w:vAlign w:val="bottom"/>
            <w:shd w:val="clear" w:color="auto" w:fill="CCEEFF"/>
          </w:tcPr>
          <w:p>
            <w:pPr>
              <w:ind w:left="40"/>
              <w:spacing w:after="0" w:line="225" w:lineRule="exact"/>
              <w:rPr>
                <w:sz w:val="20"/>
                <w:szCs w:val="20"/>
                <w:color w:val="auto"/>
              </w:rPr>
            </w:pPr>
            <w:r>
              <w:rPr>
                <w:rFonts w:ascii="Times New Roman" w:cs="Times New Roman" w:eastAsia="Times New Roman" w:hAnsi="Times New Roman"/>
                <w:sz w:val="18"/>
                <w:szCs w:val="18"/>
                <w:color w:val="auto"/>
              </w:rPr>
              <w:t>8.625% Notes</w:t>
            </w:r>
            <w:r>
              <w:rPr>
                <w:rFonts w:ascii="Times New Roman" w:cs="Times New Roman" w:eastAsia="Times New Roman" w:hAnsi="Times New Roman"/>
                <w:sz w:val="22"/>
                <w:szCs w:val="22"/>
                <w:color w:val="auto"/>
                <w:vertAlign w:val="superscript"/>
              </w:rPr>
              <w:t>6</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w:t>
            </w:r>
          </w:p>
        </w:tc>
        <w:tc>
          <w:tcPr>
            <w:tcW w:w="0" w:type="dxa"/>
            <w:vAlign w:val="bottom"/>
          </w:tcPr>
          <w:p>
            <w:pPr>
              <w:spacing w:after="0"/>
              <w:rPr>
                <w:sz w:val="1"/>
                <w:szCs w:val="1"/>
                <w:color w:val="auto"/>
              </w:rPr>
            </w:pPr>
          </w:p>
        </w:tc>
      </w:tr>
      <w:tr>
        <w:trPr>
          <w:trHeight w:val="225"/>
        </w:trPr>
        <w:tc>
          <w:tcPr>
            <w:tcW w:w="6700" w:type="dxa"/>
            <w:vAlign w:val="bottom"/>
            <w:gridSpan w:val="2"/>
          </w:tcPr>
          <w:p>
            <w:pPr>
              <w:ind w:left="220"/>
              <w:spacing w:after="0" w:line="225" w:lineRule="exact"/>
              <w:rPr>
                <w:sz w:val="20"/>
                <w:szCs w:val="20"/>
                <w:color w:val="auto"/>
              </w:rPr>
            </w:pPr>
            <w:r>
              <w:rPr>
                <w:rFonts w:ascii="Times New Roman" w:cs="Times New Roman" w:eastAsia="Times New Roman" w:hAnsi="Times New Roman"/>
                <w:sz w:val="18"/>
                <w:szCs w:val="18"/>
                <w:color w:val="auto"/>
              </w:rPr>
              <w:t>2030 Notes</w:t>
            </w:r>
            <w:r>
              <w:rPr>
                <w:rFonts w:ascii="Times New Roman" w:cs="Times New Roman" w:eastAsia="Times New Roman" w:hAnsi="Times New Roman"/>
                <w:sz w:val="22"/>
                <w:szCs w:val="22"/>
                <w:color w:val="auto"/>
                <w:vertAlign w:val="superscript"/>
              </w:rPr>
              <w:t>7</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0" w:type="dxa"/>
            <w:vAlign w:val="bottom"/>
          </w:tcPr>
          <w:p>
            <w:pPr>
              <w:spacing w:after="0"/>
              <w:rPr>
                <w:sz w:val="1"/>
                <w:szCs w:val="1"/>
                <w:color w:val="auto"/>
              </w:rPr>
            </w:pPr>
          </w:p>
        </w:tc>
      </w:tr>
      <w:tr>
        <w:trPr>
          <w:trHeight w:val="218"/>
        </w:trPr>
        <w:tc>
          <w:tcPr>
            <w:tcW w:w="6700" w:type="dxa"/>
            <w:vAlign w:val="bottom"/>
            <w:tcBorders>
              <w:top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notes and securitizations</w:t>
            </w: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21,945</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51"/>
        </w:trPr>
        <w:tc>
          <w:tcPr>
            <w:tcW w:w="670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and FHLB Borrowings: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Bank notes payable</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0" w:type="dxa"/>
            <w:vAlign w:val="bottom"/>
          </w:tcPr>
          <w:p>
            <w:pPr>
              <w:spacing w:after="0"/>
              <w:rPr>
                <w:sz w:val="1"/>
                <w:szCs w:val="1"/>
                <w:color w:val="auto"/>
              </w:rPr>
            </w:pPr>
          </w:p>
        </w:tc>
      </w:tr>
      <w:tr>
        <w:trPr>
          <w:trHeight w:val="225"/>
        </w:trPr>
        <w:tc>
          <w:tcPr>
            <w:tcW w:w="6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FHLB Advances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8"/>
        </w:trPr>
        <w:tc>
          <w:tcPr>
            <w:tcW w:w="67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Total bank and FHLB borrowings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0" w:type="dxa"/>
            <w:vAlign w:val="bottom"/>
          </w:tcPr>
          <w:p>
            <w:pPr>
              <w:spacing w:after="0"/>
              <w:rPr>
                <w:sz w:val="1"/>
                <w:szCs w:val="1"/>
                <w:color w:val="auto"/>
              </w:rPr>
            </w:pPr>
          </w:p>
        </w:tc>
      </w:tr>
      <w:tr>
        <w:trPr>
          <w:trHeight w:val="251"/>
        </w:trPr>
        <w:tc>
          <w:tcPr>
            <w:tcW w:w="6700" w:type="dxa"/>
            <w:vAlign w:val="bottom"/>
            <w:gridSpan w:val="2"/>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46,552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38,388</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8,164</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On August 1, 2024, the 2024 Notes matured.</w:t>
      </w:r>
    </w:p>
    <w:p>
      <w:pPr>
        <w:spacing w:after="0" w:line="22"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7"/>
          <w:szCs w:val="17"/>
          <w:color w:val="auto"/>
        </w:rPr>
        <w:t>On March 31, 2025, the 2025 5.00% Notes matured.</w:t>
      </w:r>
    </w:p>
    <w:p>
      <w:pPr>
        <w:spacing w:after="0" w:line="5" w:lineRule="exact"/>
        <w:rPr>
          <w:sz w:val="20"/>
          <w:szCs w:val="20"/>
          <w:color w:val="auto"/>
        </w:rPr>
      </w:pPr>
    </w:p>
    <w:p>
      <w:pPr>
        <w:ind w:left="240" w:right="200" w:hanging="237"/>
        <w:spacing w:after="0" w:line="245" w:lineRule="auto"/>
        <w:tabs>
          <w:tab w:leader="none" w:pos="220" w:val="left"/>
        </w:tabs>
        <w:rPr>
          <w:sz w:val="20"/>
          <w:szCs w:val="20"/>
          <w:color w:val="auto"/>
        </w:rPr>
      </w:pPr>
      <w:r>
        <w:rPr>
          <w:rFonts w:ascii="Times New Roman" w:cs="Times New Roman" w:eastAsia="Times New Roman" w:hAnsi="Times New Roman"/>
          <w:sz w:val="18"/>
          <w:szCs w:val="18"/>
          <w:color w:val="auto"/>
        </w:rPr>
        <w:t>3</w:t>
        <w:tab/>
        <w:t>Effective December 11, 2024, the Company entered into the Amendment and Exchange Agreements with each of the holders of the 2025 8.125% Notes, pursuant to which the Company and the holders of the 2025 8.125% Notes agreed to exchange the 2025 8.125% Notes for the 2027 Notes.</w:t>
      </w:r>
    </w:p>
    <w:p>
      <w:pPr>
        <w:ind w:left="240" w:right="240" w:hanging="237"/>
        <w:spacing w:after="0" w:line="245" w:lineRule="auto"/>
        <w:tabs>
          <w:tab w:leader="none" w:pos="220" w:val="left"/>
        </w:tabs>
        <w:rPr>
          <w:sz w:val="20"/>
          <w:szCs w:val="20"/>
          <w:color w:val="auto"/>
        </w:rPr>
      </w:pPr>
      <w:r>
        <w:rPr>
          <w:rFonts w:ascii="Times New Roman" w:cs="Times New Roman" w:eastAsia="Times New Roman" w:hAnsi="Times New Roman"/>
          <w:sz w:val="18"/>
          <w:szCs w:val="18"/>
          <w:color w:val="auto"/>
        </w:rPr>
        <w:t>4</w:t>
        <w:tab/>
        <w:t>On August 31, 2023, the Company completed a public offering of $40.0 million aggregate principal amount of 8.00% notes due 2028. The Notes will mature on September 1, 2028. The Notes bear interest at a rate of 8.000% per year, payable quarterly on March 1, June 1, September 1, and December 1 each year, commencing on December 1, 2023.</w:t>
      </w:r>
    </w:p>
    <w:p>
      <w:pPr>
        <w:spacing w:after="0" w:line="1" w:lineRule="exact"/>
        <w:rPr>
          <w:sz w:val="20"/>
          <w:szCs w:val="20"/>
          <w:color w:val="auto"/>
        </w:rPr>
      </w:pPr>
    </w:p>
    <w:p>
      <w:pPr>
        <w:jc w:val="both"/>
        <w:ind w:left="240" w:right="80" w:hanging="234"/>
        <w:spacing w:after="0" w:line="246" w:lineRule="auto"/>
        <w:tabs>
          <w:tab w:leader="none" w:pos="26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30, 2024, the Company completed a public offering of $62.5 million aggregate principal amount of 8.500% notes due 2029. On June 3, 2024, the underwriters exercised their option to purchase an additional $9.4 million in aggregate principal amount of the 2029 Notes. The Notes will mature on June 1, 2029. The Notes bear interest at a rate of 8.500% per year, payable quarterly on March 1, June 1, September 1, and December 1 each year, commencing on September 1, 2024.</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ind w:left="240" w:right="100" w:hanging="237"/>
        <w:spacing w:after="0" w:line="252" w:lineRule="auto"/>
        <w:tabs>
          <w:tab w:leader="none" w:pos="220" w:val="left"/>
        </w:tabs>
        <w:rPr>
          <w:sz w:val="20"/>
          <w:szCs w:val="20"/>
          <w:color w:val="auto"/>
        </w:rPr>
      </w:pPr>
      <w:r>
        <w:rPr>
          <w:rFonts w:ascii="Times New Roman" w:cs="Times New Roman" w:eastAsia="Times New Roman" w:hAnsi="Times New Roman"/>
          <w:sz w:val="18"/>
          <w:szCs w:val="18"/>
          <w:color w:val="auto"/>
        </w:rPr>
        <w:t>6</w:t>
        <w:tab/>
        <w:t>On September 16, 2024, the Company completed a public offering of $75.0 million aggregate principal amount of 8.625% notes due 2029. The Notes will mature on October 15, 2029. The Notes bear interest at a rate of 8.625% per year, payable quarterly on January 15, April 15, July 15, and October 15 each year, commencing on January 15, 2025.</w:t>
      </w:r>
    </w:p>
    <w:p>
      <w:pPr>
        <w:ind w:left="240" w:right="60" w:hanging="234"/>
        <w:spacing w:after="0" w:line="247" w:lineRule="auto"/>
        <w:tabs>
          <w:tab w:leader="none" w:pos="26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19, 2025, the Company completed an exempt offering of $30.0 million aggregate principal amount of notes due 2030. The Notes will mature on April 1, 2030. The Notes bear interest at a rate of 8.375% per year, payable semiannually on April 1 and October 1 each year, commencing on October 1, 2025.</w:t>
      </w:r>
    </w:p>
    <w:p>
      <w:pPr>
        <w:spacing w:after="0" w:line="21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increase in interest expense period over period is primarily from additional interest expense on deposits of $6.8 million, additional interest expense of $1.5 million on bank and FHLB borrowings, and additional interest expense of $2.0 million, $2.7 million, and $3.5 million on the 2027 Notes, 2029 8.50% Notes and the 2029 8.625% Notes, respectively. The increase is partially offset by a $5.1 million reduction in interest due to securitization payoffs, as well as a $2.3 million reduction in interest expense on the 2025 8.125% Notes.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Credit Losses</w:t>
      </w:r>
    </w:p>
    <w:p>
      <w:pPr>
        <w:spacing w:after="0" w:line="22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The provision for loan and lease credit losses represents the amount necessary to be charged against the current period’s earnings to maintain the ACL on loans at a level that the Company believes is appropriate in relation to the estimated losses inherent in the loan portfolio.</w:t>
      </w:r>
    </w:p>
    <w:p>
      <w:pPr>
        <w:spacing w:after="0" w:line="16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For the six months ended June 30, 2025 and 2024, there was a provision for credit losses of $22.6 million and $9.8 million, respectively. The increase was due to increases in net charge-offs, specific reserves on individually evaluated loans, and balances of loans held for investment at amortized cost, across all products but specifically SBA 7(a) loans.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Income and Margin</w:t>
      </w:r>
    </w:p>
    <w:p>
      <w:pPr>
        <w:spacing w:after="0" w:line="24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Average Balances and Yields. </w:t>
      </w:r>
      <w:r>
        <w:rPr>
          <w:rFonts w:ascii="Times New Roman" w:cs="Times New Roman" w:eastAsia="Times New Roman" w:hAnsi="Times New Roman"/>
          <w:sz w:val="18"/>
          <w:szCs w:val="18"/>
          <w:color w:val="auto"/>
        </w:rPr>
        <w:t>The following table presents information regarding average balances for assets and liabilities, the total dollar amounts of interest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and dividends from average interest-earning assets, the total dollar amount of interest expense on average interest-bearing liabilities, and the resulting average yields and costs. The yields and costs for the periods indicated are derived by dividing the income or expense by the average balances for assets or liabilities, respectively, for the periods presented and annualizing that result. Loan fees are included in interest income on loans.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ind w:left="80"/>
              <w:spacing w:after="0" w:line="165" w:lineRule="exact"/>
              <w:rPr>
                <w:sz w:val="20"/>
                <w:szCs w:val="20"/>
                <w:color w:val="auto"/>
              </w:rPr>
            </w:pPr>
            <w:r>
              <w:rPr>
                <w:rFonts w:ascii="Times New Roman" w:cs="Times New Roman" w:eastAsia="Times New Roman" w:hAnsi="Times New Roman"/>
                <w:sz w:val="18"/>
                <w:szCs w:val="18"/>
                <w:b w:val="1"/>
                <w:bCs w:val="1"/>
                <w:color w:val="auto"/>
              </w:rPr>
              <w:t>Average</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ind w:right="132"/>
              <w:spacing w:after="0" w:line="165" w:lineRule="exact"/>
              <w:rPr>
                <w:sz w:val="20"/>
                <w:szCs w:val="20"/>
                <w:color w:val="auto"/>
              </w:rPr>
            </w:pPr>
            <w:r>
              <w:rPr>
                <w:rFonts w:ascii="Times New Roman" w:cs="Times New Roman" w:eastAsia="Times New Roman" w:hAnsi="Times New Roman"/>
                <w:sz w:val="18"/>
                <w:szCs w:val="18"/>
                <w:b w:val="1"/>
                <w:bCs w:val="1"/>
                <w:color w:val="auto"/>
              </w:rPr>
              <w:t>Average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ind w:left="80"/>
              <w:spacing w:after="0" w:line="165" w:lineRule="exact"/>
              <w:rPr>
                <w:sz w:val="20"/>
                <w:szCs w:val="20"/>
                <w:color w:val="auto"/>
              </w:rPr>
            </w:pPr>
            <w:r>
              <w:rPr>
                <w:rFonts w:ascii="Times New Roman" w:cs="Times New Roman" w:eastAsia="Times New Roman" w:hAnsi="Times New Roman"/>
                <w:sz w:val="18"/>
                <w:szCs w:val="18"/>
                <w:b w:val="1"/>
                <w:bCs w:val="1"/>
                <w:color w:val="auto"/>
              </w:rPr>
              <w:t>Average</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spacing w:after="0" w:line="165" w:lineRule="exact"/>
              <w:rPr>
                <w:sz w:val="20"/>
                <w:szCs w:val="20"/>
                <w:color w:val="auto"/>
              </w:rPr>
            </w:pPr>
            <w:r>
              <w:rPr>
                <w:rFonts w:ascii="Times New Roman" w:cs="Times New Roman" w:eastAsia="Times New Roman" w:hAnsi="Times New Roman"/>
                <w:sz w:val="18"/>
                <w:szCs w:val="18"/>
                <w:b w:val="1"/>
                <w:bCs w:val="1"/>
                <w:color w:val="auto"/>
                <w:w w:val="96"/>
              </w:rPr>
              <w:t>Average Yield</w:t>
            </w:r>
          </w:p>
        </w:tc>
        <w:tc>
          <w:tcPr>
            <w:tcW w:w="0" w:type="dxa"/>
            <w:vAlign w:val="bottom"/>
          </w:tcPr>
          <w:p>
            <w:pPr>
              <w:spacing w:after="0"/>
              <w:rPr>
                <w:sz w:val="1"/>
                <w:szCs w:val="1"/>
                <w:color w:val="auto"/>
              </w:rPr>
            </w:pPr>
          </w:p>
        </w:tc>
      </w:tr>
      <w:tr>
        <w:trPr>
          <w:trHeight w:val="238"/>
        </w:trPr>
        <w:tc>
          <w:tcPr>
            <w:tcW w:w="4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8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Yield / Rate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8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10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 Rate</w:t>
            </w:r>
          </w:p>
        </w:tc>
        <w:tc>
          <w:tcPr>
            <w:tcW w:w="0" w:type="dxa"/>
            <w:vAlign w:val="bottom"/>
          </w:tcPr>
          <w:p>
            <w:pPr>
              <w:spacing w:after="0"/>
              <w:rPr>
                <w:sz w:val="1"/>
                <w:szCs w:val="1"/>
                <w:color w:val="auto"/>
              </w:rPr>
            </w:pPr>
          </w:p>
        </w:tc>
      </w:tr>
      <w:tr>
        <w:trPr>
          <w:trHeight w:val="205"/>
        </w:trPr>
        <w:tc>
          <w:tcPr>
            <w:tcW w:w="4160" w:type="dxa"/>
            <w:vAlign w:val="bottom"/>
            <w:tcBorders>
              <w:top w:val="single" w:sz="8" w:color="CCEEFF"/>
            </w:tcBorders>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Interest-earning assets:</w:t>
            </w: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interest-earning assets</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263,909</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6,081</w:t>
            </w: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4.65 %</w:t>
            </w:r>
          </w:p>
        </w:tc>
        <w:tc>
          <w:tcPr>
            <w:tcW w:w="30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150,025</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3,828</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5.13 %</w:t>
            </w: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 securities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25"/>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Loans held for sale</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405,211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19,831</w:t>
            </w:r>
          </w:p>
        </w:tc>
        <w:tc>
          <w:tcPr>
            <w:tcW w:w="80" w:type="dxa"/>
            <w:vAlign w:val="bottom"/>
          </w:tcPr>
          <w:p>
            <w:pPr>
              <w:spacing w:after="0"/>
              <w:rPr>
                <w:sz w:val="19"/>
                <w:szCs w:val="19"/>
                <w:color w:val="auto"/>
              </w:rPr>
            </w:pPr>
          </w:p>
        </w:tc>
        <w:tc>
          <w:tcPr>
            <w:tcW w:w="10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190,720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11,193</w:t>
            </w:r>
          </w:p>
        </w:tc>
        <w:tc>
          <w:tcPr>
            <w:tcW w:w="8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11.80</w:t>
            </w: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Loans held for investment</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1,151,308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48,006</w:t>
            </w:r>
          </w:p>
        </w:tc>
        <w:tc>
          <w:tcPr>
            <w:tcW w:w="8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915,091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40,565</w:t>
            </w:r>
          </w:p>
        </w:tc>
        <w:tc>
          <w:tcPr>
            <w:tcW w:w="8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8.91</w:t>
            </w:r>
          </w:p>
        </w:tc>
        <w:tc>
          <w:tcPr>
            <w:tcW w:w="0" w:type="dxa"/>
            <w:vAlign w:val="bottom"/>
          </w:tcPr>
          <w:p>
            <w:pPr>
              <w:spacing w:after="0"/>
              <w:rPr>
                <w:sz w:val="1"/>
                <w:szCs w:val="1"/>
                <w:color w:val="auto"/>
              </w:rPr>
            </w:pPr>
          </w:p>
        </w:tc>
      </w:tr>
      <w:tr>
        <w:trPr>
          <w:trHeight w:val="218"/>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1,837,494</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74,408</w:t>
            </w: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1,291,283</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56,420</w:t>
            </w: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8.79</w:t>
            </w:r>
          </w:p>
        </w:tc>
        <w:tc>
          <w:tcPr>
            <w:tcW w:w="0" w:type="dxa"/>
            <w:vAlign w:val="bottom"/>
          </w:tcPr>
          <w:p>
            <w:pPr>
              <w:spacing w:after="0"/>
              <w:rPr>
                <w:sz w:val="1"/>
                <w:szCs w:val="1"/>
                <w:color w:val="auto"/>
              </w:rPr>
            </w:pPr>
          </w:p>
        </w:tc>
      </w:tr>
      <w:tr>
        <w:trPr>
          <w:trHeight w:val="218"/>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 on loans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Noninterest earning assets</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201,783</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199,395</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2,003,346</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1,476,284</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Interest-bearing liabilities: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Demand</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136,176</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0.76 %</w:t>
            </w:r>
          </w:p>
        </w:tc>
        <w:tc>
          <w:tcPr>
            <w:tcW w:w="30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24,951</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0.74 %</w:t>
            </w: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Savings and NOW</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390,422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8,749</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252,280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6,363</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25"/>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46,982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80" w:type="dxa"/>
            <w:vAlign w:val="bottom"/>
          </w:tcPr>
          <w:p>
            <w:pPr>
              <w:spacing w:after="0"/>
              <w:rPr>
                <w:sz w:val="19"/>
                <w:szCs w:val="19"/>
                <w:color w:val="auto"/>
              </w:rPr>
            </w:pPr>
          </w:p>
        </w:tc>
        <w:tc>
          <w:tcPr>
            <w:tcW w:w="10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8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Time</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362,354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8,958</w:t>
            </w:r>
          </w:p>
        </w:tc>
        <w:tc>
          <w:tcPr>
            <w:tcW w:w="8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219,390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5,530</w:t>
            </w:r>
          </w:p>
        </w:tc>
        <w:tc>
          <w:tcPr>
            <w:tcW w:w="8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18"/>
        </w:trPr>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deposits</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935,934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19,202</w:t>
            </w:r>
          </w:p>
        </w:tc>
        <w:tc>
          <w:tcPr>
            <w:tcW w:w="80" w:type="dxa"/>
            <w:vAlign w:val="bottom"/>
          </w:tcPr>
          <w:p>
            <w:pPr>
              <w:spacing w:after="0"/>
              <w:rPr>
                <w:sz w:val="18"/>
                <w:szCs w:val="18"/>
                <w:color w:val="auto"/>
              </w:rPr>
            </w:pPr>
          </w:p>
        </w:tc>
        <w:tc>
          <w:tcPr>
            <w:tcW w:w="10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517,380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12,441</w:t>
            </w:r>
          </w:p>
        </w:tc>
        <w:tc>
          <w:tcPr>
            <w:tcW w:w="80" w:type="dxa"/>
            <w:vAlign w:val="bottom"/>
          </w:tcPr>
          <w:p>
            <w:pPr>
              <w:spacing w:after="0"/>
              <w:rPr>
                <w:sz w:val="18"/>
                <w:szCs w:val="18"/>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4.84</w:t>
            </w: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Borrowings</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689,189</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27,350</w:t>
            </w:r>
          </w:p>
        </w:tc>
        <w:tc>
          <w:tcPr>
            <w:tcW w:w="8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646,318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25,947</w:t>
            </w:r>
          </w:p>
        </w:tc>
        <w:tc>
          <w:tcPr>
            <w:tcW w:w="8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8.07</w:t>
            </w:r>
          </w:p>
        </w:tc>
        <w:tc>
          <w:tcPr>
            <w:tcW w:w="0" w:type="dxa"/>
            <w:vAlign w:val="bottom"/>
          </w:tcPr>
          <w:p>
            <w:pPr>
              <w:spacing w:after="0"/>
              <w:rPr>
                <w:sz w:val="1"/>
                <w:szCs w:val="1"/>
                <w:color w:val="auto"/>
              </w:rPr>
            </w:pPr>
          </w:p>
        </w:tc>
      </w:tr>
      <w:tr>
        <w:trPr>
          <w:trHeight w:val="218"/>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1,625,123</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46,552</w:t>
            </w: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1,163,698</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38,388</w:t>
            </w: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18"/>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Noninterest-bearing liabilities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67,647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64,303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310,576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248,079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2,003,346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1,476,284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160" w:type="dxa"/>
            <w:vAlign w:val="bottom"/>
            <w:tcBorders>
              <w:bottom w:val="single" w:sz="8" w:color="CCEEFF"/>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Net interest income and interest rate spread</w:t>
            </w: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27,856</w:t>
            </w: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2.39 %</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18,032</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2.15 %</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1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Net interest margin</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3.06 %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2.81 %</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416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5"/>
                <w:szCs w:val="15"/>
                <w:color w:val="auto"/>
              </w:rPr>
              <w:t>Ratio of average interest-earning assets to average interest</w:t>
            </w: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113.07 %</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110.96 %</w:t>
            </w:r>
          </w:p>
        </w:tc>
        <w:tc>
          <w:tcPr>
            <w:tcW w:w="0" w:type="dxa"/>
            <w:vAlign w:val="bottom"/>
          </w:tcPr>
          <w:p>
            <w:pPr>
              <w:spacing w:after="0"/>
              <w:rPr>
                <w:sz w:val="1"/>
                <w:szCs w:val="1"/>
                <w:color w:val="auto"/>
              </w:rPr>
            </w:pPr>
          </w:p>
        </w:tc>
      </w:tr>
      <w:tr>
        <w:trPr>
          <w:trHeight w:val="232"/>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bearing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9" w:lineRule="exact"/>
        <w:rPr>
          <w:sz w:val="20"/>
          <w:szCs w:val="20"/>
          <w:color w:val="auto"/>
        </w:rPr>
      </w:pPr>
    </w:p>
    <w:p>
      <w:pPr>
        <w:ind w:right="80"/>
        <w:spacing w:after="0" w:line="233" w:lineRule="auto"/>
        <w:rPr>
          <w:sz w:val="20"/>
          <w:szCs w:val="20"/>
          <w:color w:val="auto"/>
        </w:rPr>
      </w:pPr>
      <w:r>
        <w:rPr>
          <w:rFonts w:ascii="Times New Roman" w:cs="Times New Roman" w:eastAsia="Times New Roman" w:hAnsi="Times New Roman"/>
          <w:sz w:val="18"/>
          <w:szCs w:val="18"/>
          <w:color w:val="auto"/>
        </w:rPr>
        <w:t>In response to market conditions and consistent with its business plan, Newtek Bank has been focused on increasing its liquidity position by raising additional deposits and maintaining a significant portion of its liquidity in the form of cash held at the Federal Reserve, approximately $179.7 million as of June 30, 2025, as opposed to long-term investments. In addition, Newtek Bank management continues to closely monitor market conditions with a focus on its asset liability management policies, as well as closely monitoring, among other things, capital levels, to ensure compliance with regulatory guidelines and the OCC Operating Agreement. The increase in the average balance of loans HFS was attributable to originations of SBA 504, SBA 7(a) and ALP loans, and the increase in the average outstanding accrual loan portfolio resulted from the origination of new SBA 7(a) loans period over period.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Rate/Volume Analysis</w:t>
      </w:r>
    </w:p>
    <w:p>
      <w:pPr>
        <w:spacing w:after="0" w:line="246"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7"/>
          <w:szCs w:val="17"/>
          <w:color w:val="auto"/>
        </w:rPr>
        <w:t>The following table sets forth the effects of changing rates and volumes on net interest income. The rate column shows the effects attributable to changes in rate (changes in rate multiplied by prior volume). The volume column shows the effects attributable to changes in volume (changes in volume multiplied by prior rate). The total column represents the sum of the prior columns. For purposes of this table, increases or decreases attributable to changes in both rate and volume that cannot be segregated have been allocated proportionally based on the changes due to rate and the changes due to volume.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10"/>
          </w:tcPr>
          <w:p>
            <w:pPr>
              <w:jc w:val="center"/>
              <w:ind w:left="832"/>
              <w:spacing w:after="0"/>
              <w:rPr>
                <w:sz w:val="20"/>
                <w:szCs w:val="20"/>
                <w:color w:val="auto"/>
              </w:rPr>
            </w:pPr>
            <w:r>
              <w:rPr>
                <w:rFonts w:ascii="Times New Roman" w:cs="Times New Roman" w:eastAsia="Times New Roman" w:hAnsi="Times New Roman"/>
                <w:sz w:val="18"/>
                <w:szCs w:val="18"/>
                <w:b w:val="1"/>
                <w:bCs w:val="1"/>
                <w:color w:val="auto"/>
                <w:w w:val="97"/>
              </w:rPr>
              <w:t>Six Months Ended June 30,</w:t>
            </w: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2025 vs. 2024</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52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10"/>
          </w:tcPr>
          <w:p>
            <w:pPr>
              <w:jc w:val="center"/>
              <w:ind w:left="832"/>
              <w:spacing w:after="0"/>
              <w:rPr>
                <w:sz w:val="20"/>
                <w:szCs w:val="20"/>
                <w:color w:val="auto"/>
              </w:rPr>
            </w:pPr>
            <w:r>
              <w:rPr>
                <w:rFonts w:ascii="Times New Roman" w:cs="Times New Roman" w:eastAsia="Times New Roman" w:hAnsi="Times New Roman"/>
                <w:sz w:val="18"/>
                <w:szCs w:val="18"/>
                <w:b w:val="1"/>
                <w:bCs w:val="1"/>
                <w:color w:val="auto"/>
                <w:w w:val="98"/>
              </w:rPr>
              <w:t>Increase (Decrease) Due to</w:t>
            </w: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Rate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Volume</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5"/>
        </w:trPr>
        <w:tc>
          <w:tcPr>
            <w:tcW w:w="452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Interest income:</w:t>
            </w: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interest-earning assets</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2,906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0" w:type="dxa"/>
            <w:vAlign w:val="bottom"/>
          </w:tcPr>
          <w:p>
            <w:pPr>
              <w:spacing w:after="0"/>
              <w:rPr>
                <w:sz w:val="1"/>
                <w:szCs w:val="1"/>
                <w:color w:val="auto"/>
              </w:rPr>
            </w:pPr>
          </w:p>
        </w:tc>
      </w:tr>
      <w:tr>
        <w:trPr>
          <w:trHeight w:val="225"/>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securities</w:t>
            </w: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(432)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25"/>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 for sale</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12,588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8,638</w:t>
            </w:r>
          </w:p>
        </w:tc>
        <w:tc>
          <w:tcPr>
            <w:tcW w:w="0" w:type="dxa"/>
            <w:vAlign w:val="bottom"/>
          </w:tcPr>
          <w:p>
            <w:pPr>
              <w:spacing w:after="0"/>
              <w:rPr>
                <w:sz w:val="1"/>
                <w:szCs w:val="1"/>
                <w:color w:val="auto"/>
              </w:rPr>
            </w:pPr>
          </w:p>
        </w:tc>
      </w:tr>
      <w:tr>
        <w:trPr>
          <w:trHeight w:val="225"/>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Loans held for investment</w:t>
            </w:r>
          </w:p>
        </w:tc>
        <w:tc>
          <w:tcPr>
            <w:tcW w:w="104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10,471</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7,441</w:t>
            </w:r>
          </w:p>
        </w:tc>
        <w:tc>
          <w:tcPr>
            <w:tcW w:w="0" w:type="dxa"/>
            <w:vAlign w:val="bottom"/>
          </w:tcPr>
          <w:p>
            <w:pPr>
              <w:spacing w:after="0"/>
              <w:rPr>
                <w:sz w:val="1"/>
                <w:szCs w:val="1"/>
                <w:color w:val="auto"/>
              </w:rPr>
            </w:pPr>
          </w:p>
        </w:tc>
      </w:tr>
      <w:tr>
        <w:trPr>
          <w:trHeight w:val="218"/>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income</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25,533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17,988</w:t>
            </w:r>
          </w:p>
        </w:tc>
        <w:tc>
          <w:tcPr>
            <w:tcW w:w="0" w:type="dxa"/>
            <w:vAlign w:val="bottom"/>
          </w:tcPr>
          <w:p>
            <w:pPr>
              <w:spacing w:after="0"/>
              <w:rPr>
                <w:sz w:val="1"/>
                <w:szCs w:val="1"/>
                <w:color w:val="auto"/>
              </w:rPr>
            </w:pPr>
          </w:p>
        </w:tc>
      </w:tr>
      <w:tr>
        <w:trPr>
          <w:trHeight w:val="264"/>
        </w:trPr>
        <w:tc>
          <w:tcPr>
            <w:tcW w:w="45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Demand</w:t>
            </w: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25"/>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Savings and NOW</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3,484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0" w:type="dxa"/>
            <w:vAlign w:val="bottom"/>
          </w:tcPr>
          <w:p>
            <w:pPr>
              <w:spacing w:after="0"/>
              <w:rPr>
                <w:sz w:val="1"/>
                <w:szCs w:val="1"/>
                <w:color w:val="auto"/>
              </w:rPr>
            </w:pPr>
          </w:p>
        </w:tc>
      </w:tr>
      <w:tr>
        <w:trPr>
          <w:trHeight w:val="225"/>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w:t>
            </w: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25"/>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3,604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0" w:type="dxa"/>
            <w:vAlign w:val="bottom"/>
          </w:tcPr>
          <w:p>
            <w:pPr>
              <w:spacing w:after="0"/>
              <w:rPr>
                <w:sz w:val="1"/>
                <w:szCs w:val="1"/>
                <w:color w:val="auto"/>
              </w:rPr>
            </w:pPr>
          </w:p>
        </w:tc>
      </w:tr>
      <w:tr>
        <w:trPr>
          <w:trHeight w:val="225"/>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104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1,721</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0" w:type="dxa"/>
            <w:vAlign w:val="bottom"/>
          </w:tcPr>
          <w:p>
            <w:pPr>
              <w:spacing w:after="0"/>
              <w:rPr>
                <w:sz w:val="1"/>
                <w:szCs w:val="1"/>
                <w:color w:val="auto"/>
              </w:rPr>
            </w:pPr>
          </w:p>
        </w:tc>
      </w:tr>
      <w:tr>
        <w:trPr>
          <w:trHeight w:val="218"/>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9,795</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8,164</w:t>
            </w:r>
          </w:p>
        </w:tc>
        <w:tc>
          <w:tcPr>
            <w:tcW w:w="0" w:type="dxa"/>
            <w:vAlign w:val="bottom"/>
          </w:tcPr>
          <w:p>
            <w:pPr>
              <w:spacing w:after="0"/>
              <w:rPr>
                <w:sz w:val="1"/>
                <w:szCs w:val="1"/>
                <w:color w:val="auto"/>
              </w:rPr>
            </w:pPr>
          </w:p>
        </w:tc>
      </w:tr>
      <w:tr>
        <w:trPr>
          <w:trHeight w:val="218"/>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interest income</w:t>
            </w: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15,738</w:t>
            </w: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9,824</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Noninterest Income</w:t>
            </w: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52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3"/>
        </w:trPr>
        <w:tc>
          <w:tcPr>
            <w:tcW w:w="4520" w:type="dxa"/>
            <w:vAlign w:val="bottom"/>
          </w:tcPr>
          <w:p>
            <w:pPr>
              <w:spacing w:after="0"/>
              <w:rPr>
                <w:sz w:val="24"/>
                <w:szCs w:val="24"/>
                <w:color w:val="auto"/>
              </w:rPr>
            </w:pPr>
          </w:p>
        </w:tc>
        <w:tc>
          <w:tcPr>
            <w:tcW w:w="3560" w:type="dxa"/>
            <w:vAlign w:val="bottom"/>
            <w:gridSpan w:val="8"/>
          </w:tcPr>
          <w:p>
            <w:pPr>
              <w:ind w:left="7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60" w:type="dxa"/>
            <w:vAlign w:val="bottom"/>
            <w:gridSpan w:val="6"/>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2025/2024 Increase/(Decrease)</w:t>
            </w:r>
          </w:p>
        </w:tc>
        <w:tc>
          <w:tcPr>
            <w:tcW w:w="0" w:type="dxa"/>
            <w:vAlign w:val="bottom"/>
          </w:tcPr>
          <w:p>
            <w:pPr>
              <w:spacing w:after="0"/>
              <w:rPr>
                <w:sz w:val="1"/>
                <w:szCs w:val="1"/>
                <w:color w:val="auto"/>
              </w:rPr>
            </w:pPr>
          </w:p>
        </w:tc>
      </w:tr>
      <w:tr>
        <w:trPr>
          <w:trHeight w:val="218"/>
        </w:trPr>
        <w:tc>
          <w:tcPr>
            <w:tcW w:w="452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218"/>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income</w:t>
            </w:r>
          </w:p>
        </w:tc>
        <w:tc>
          <w:tcPr>
            <w:tcW w:w="1040" w:type="dxa"/>
            <w:vAlign w:val="bottom"/>
            <w:tcBorders>
              <w:top w:val="single" w:sz="8" w:color="auto"/>
            </w:tcBorders>
            <w:shd w:val="clear" w:color="auto" w:fill="CCEEFF"/>
          </w:tcPr>
          <w:p>
            <w:pPr>
              <w:jc w:val="right"/>
              <w:ind w:right="85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203.2 %</w:t>
            </w:r>
          </w:p>
        </w:tc>
        <w:tc>
          <w:tcPr>
            <w:tcW w:w="0" w:type="dxa"/>
            <w:vAlign w:val="bottom"/>
          </w:tcPr>
          <w:p>
            <w:pPr>
              <w:spacing w:after="0"/>
              <w:rPr>
                <w:sz w:val="1"/>
                <w:szCs w:val="1"/>
                <w:color w:val="auto"/>
              </w:rPr>
            </w:pPr>
          </w:p>
        </w:tc>
      </w:tr>
      <w:tr>
        <w:trPr>
          <w:trHeight w:val="225"/>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on loan servicing assets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(3,597)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122.6</w:t>
            </w:r>
          </w:p>
        </w:tc>
        <w:tc>
          <w:tcPr>
            <w:tcW w:w="0" w:type="dxa"/>
            <w:vAlign w:val="bottom"/>
          </w:tcPr>
          <w:p>
            <w:pPr>
              <w:spacing w:after="0"/>
              <w:rPr>
                <w:sz w:val="1"/>
                <w:szCs w:val="1"/>
                <w:color w:val="auto"/>
              </w:rPr>
            </w:pPr>
          </w:p>
        </w:tc>
      </w:tr>
      <w:tr>
        <w:trPr>
          <w:trHeight w:val="225"/>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income</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25"/>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gains on sales of loans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42,856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25"/>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on residuals in securitizations</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5"/>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 (loss) on loans under the fair value option</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(6679.2)</w:t>
            </w:r>
          </w:p>
        </w:tc>
        <w:tc>
          <w:tcPr>
            <w:tcW w:w="0" w:type="dxa"/>
            <w:vAlign w:val="bottom"/>
          </w:tcPr>
          <w:p>
            <w:pPr>
              <w:spacing w:after="0"/>
              <w:rPr>
                <w:sz w:val="1"/>
                <w:szCs w:val="1"/>
                <w:color w:val="auto"/>
              </w:rPr>
            </w:pPr>
          </w:p>
        </w:tc>
      </w:tr>
      <w:tr>
        <w:trPr>
          <w:trHeight w:val="225"/>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IT support income</w:t>
            </w:r>
          </w:p>
        </w:tc>
        <w:tc>
          <w:tcPr>
            <w:tcW w:w="10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(10,944)</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5"/>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Electronic payment processing income</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5"/>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noninterest income</w:t>
            </w:r>
          </w:p>
        </w:tc>
        <w:tc>
          <w:tcPr>
            <w:tcW w:w="10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16,930</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w:t>
            </w: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18"/>
        </w:trPr>
        <w:tc>
          <w:tcPr>
            <w:tcW w:w="4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noninterest income</w:t>
            </w:r>
          </w:p>
        </w:tc>
        <w:tc>
          <w:tcPr>
            <w:tcW w:w="1040" w:type="dxa"/>
            <w:vAlign w:val="bottom"/>
            <w:tcBorders>
              <w:bottom w:val="single" w:sz="8" w:color="auto"/>
            </w:tcBorders>
          </w:tcPr>
          <w:p>
            <w:pPr>
              <w:jc w:val="right"/>
              <w:ind w:right="85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108,673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101,387</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7,286</w:t>
            </w:r>
          </w:p>
        </w:tc>
        <w:tc>
          <w:tcPr>
            <w:tcW w:w="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Income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June 30, 2025 and 2024, dividend income was dependent on the earnings of our joint ventures.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on Loan Servicing Assets</w:t>
      </w:r>
    </w:p>
    <w:p>
      <w:pPr>
        <w:spacing w:after="0" w:line="207"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7"/>
          <w:szCs w:val="17"/>
          <w:color w:val="auto"/>
        </w:rPr>
        <w:t>The Company accounts for servicing assets in accordance with ASC Topic 860-50 - Transfers and Servicing - Servicing Assets and Liabilities. The Company earns servicing fees from the guaranteed portions of SBA 7(a) loans it originates and sells, from the SBA 7(a) loan securitizations sponsored by NSBF, and from servicing the ALP portfolios in securitizations sponsored by NCL JV, TSO JV and Newtek ALP Holdings. Servicing assets for loans originated by the Company’s nonbank subsidiaries are measured at FV at each reporting date and the Company reports changes in the FV of servicing assets in earnings in the period in which the changes occur. The valuation model for servicing assets incorporates assumptions including, but not limited to, servicing costs, discount rate, prepayment rate, and default rate. Considerable judgment is required to estimate the fair value of servicing assets and, as such, these assets are classified as Level 3 in our fair value hierarchy. Servicing assets for loans originated by Newtek Bank are measured at LCM and amortized based on their estimated life, and impairment is recorded to the extent the amortized cost exceeds the asset’s FV. Net loss on loan servicing assets is shown net of amortization expense.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larger loss in Net loss on loan servicing assets is due to the decrease in NSBF’s total portfolio of loans during the wind-down.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Servicing Income</w:t>
      </w:r>
    </w:p>
    <w:p>
      <w:pPr>
        <w:spacing w:after="0" w:line="141"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18"/>
          <w:szCs w:val="18"/>
          <w:color w:val="auto"/>
        </w:rPr>
        <w:t>The increase in servicing income was related to an increase of $106.4 million in the average total loan portfolio for which we earn servicing income period over period.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Gains on Sales of Loans</w:t>
            </w: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49"/>
        </w:trPr>
        <w:tc>
          <w:tcPr>
            <w:tcW w:w="6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gains on sales of loans for the six months ended June 30, 2025 and 2024 were as follows:</w:t>
            </w: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90"/>
        </w:trPr>
        <w:tc>
          <w:tcPr>
            <w:tcW w:w="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5"/>
          </w:tcPr>
          <w:p>
            <w:pPr>
              <w:jc w:val="right"/>
              <w:ind w:right="214"/>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500" w:type="dxa"/>
            <w:vAlign w:val="bottom"/>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18"/>
        </w:trPr>
        <w:tc>
          <w:tcPr>
            <w:tcW w:w="20" w:type="dxa"/>
            <w:vAlign w:val="bottom"/>
          </w:tcPr>
          <w:p>
            <w:pPr>
              <w:spacing w:after="0"/>
              <w:rPr>
                <w:sz w:val="18"/>
                <w:szCs w:val="18"/>
                <w:color w:val="auto"/>
              </w:rPr>
            </w:pPr>
          </w:p>
        </w:tc>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recognized on sales of loans</w:t>
            </w:r>
          </w:p>
        </w:tc>
        <w:tc>
          <w:tcPr>
            <w:tcW w:w="4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28,676</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44,753</w:t>
            </w:r>
          </w:p>
        </w:tc>
      </w:tr>
      <w:tr>
        <w:trPr>
          <w:trHeight w:val="225"/>
        </w:trPr>
        <w:tc>
          <w:tcPr>
            <w:tcW w:w="20" w:type="dxa"/>
            <w:vAlign w:val="bottom"/>
          </w:tcPr>
          <w:p>
            <w:pPr>
              <w:spacing w:after="0"/>
              <w:rPr>
                <w:sz w:val="19"/>
                <w:szCs w:val="19"/>
                <w:color w:val="auto"/>
              </w:rPr>
            </w:pPr>
          </w:p>
        </w:tc>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Losses recognized on sales of loans</w:t>
            </w:r>
          </w:p>
        </w:tc>
        <w:tc>
          <w:tcPr>
            <w:tcW w:w="4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ind w:left="700"/>
              <w:spacing w:after="0"/>
              <w:rPr>
                <w:sz w:val="20"/>
                <w:szCs w:val="20"/>
                <w:color w:val="auto"/>
              </w:rPr>
            </w:pPr>
            <w:r>
              <w:rPr>
                <w:rFonts w:ascii="Times New Roman" w:cs="Times New Roman" w:eastAsia="Times New Roman" w:hAnsi="Times New Roman"/>
                <w:sz w:val="18"/>
                <w:szCs w:val="18"/>
                <w:color w:val="auto"/>
                <w:w w:val="98"/>
              </w:rPr>
              <w:t>(1,897)</w:t>
            </w:r>
          </w:p>
        </w:tc>
      </w:tr>
      <w:tr>
        <w:trPr>
          <w:trHeight w:val="243"/>
        </w:trPr>
        <w:tc>
          <w:tcPr>
            <w:tcW w:w="20" w:type="dxa"/>
            <w:vAlign w:val="bottom"/>
          </w:tcPr>
          <w:p>
            <w:pPr>
              <w:spacing w:after="0"/>
              <w:rPr>
                <w:sz w:val="20"/>
                <w:szCs w:val="20"/>
                <w:color w:val="auto"/>
              </w:rPr>
            </w:pPr>
          </w:p>
        </w:tc>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gains on sales of loans</w:t>
            </w:r>
          </w:p>
        </w:tc>
        <w:tc>
          <w:tcPr>
            <w:tcW w:w="4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28,487</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42,856</w:t>
            </w:r>
          </w:p>
        </w:tc>
      </w:tr>
      <w:tr>
        <w:trPr>
          <w:trHeight w:val="20"/>
        </w:trPr>
        <w:tc>
          <w:tcPr>
            <w:tcW w:w="20" w:type="dxa"/>
            <w:vAlign w:val="bottom"/>
          </w:tcPr>
          <w:p>
            <w:pPr>
              <w:spacing w:after="0" w:line="20" w:lineRule="exact"/>
              <w:rPr>
                <w:sz w:val="1"/>
                <w:szCs w:val="1"/>
                <w:color w:val="auto"/>
              </w:rPr>
            </w:pPr>
          </w:p>
        </w:tc>
        <w:tc>
          <w:tcPr>
            <w:tcW w:w="57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r>
      <w:tr>
        <w:trPr>
          <w:trHeight w:val="541"/>
        </w:trPr>
        <w:tc>
          <w:tcPr>
            <w:tcW w:w="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5"/>
          </w:tcPr>
          <w:p>
            <w:pPr>
              <w:jc w:val="right"/>
              <w:ind w:right="474"/>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0" w:type="dxa"/>
            <w:vAlign w:val="bottom"/>
            <w:gridSpan w:val="6"/>
          </w:tcPr>
          <w:p>
            <w:pPr>
              <w:ind w:left="4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360" w:type="dxa"/>
            <w:vAlign w:val="bottom"/>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40" w:type="dxa"/>
            <w:vAlign w:val="bottom"/>
          </w:tcPr>
          <w:p>
            <w:pPr>
              <w:spacing w:after="0"/>
              <w:rPr>
                <w:sz w:val="18"/>
                <w:szCs w:val="18"/>
                <w:color w:val="auto"/>
              </w:rPr>
            </w:pPr>
          </w:p>
        </w:tc>
      </w:tr>
      <w:tr>
        <w:trPr>
          <w:trHeight w:val="185"/>
        </w:trPr>
        <w:tc>
          <w:tcPr>
            <w:tcW w:w="2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1140" w:type="dxa"/>
            <w:vAlign w:val="bottom"/>
            <w:tcBorders>
              <w:top w:val="single" w:sz="8" w:color="auto"/>
            </w:tcBorders>
            <w:gridSpan w:val="2"/>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 of Loans</w:t>
            </w:r>
          </w:p>
        </w:tc>
        <w:tc>
          <w:tcPr>
            <w:tcW w:w="4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 Amount</w:t>
            </w:r>
          </w:p>
        </w:tc>
        <w:tc>
          <w:tcPr>
            <w:tcW w:w="100" w:type="dxa"/>
            <w:vAlign w:val="bottom"/>
          </w:tcPr>
          <w:p>
            <w:pPr>
              <w:spacing w:after="0"/>
              <w:rPr>
                <w:sz w:val="16"/>
                <w:szCs w:val="16"/>
                <w:color w:val="auto"/>
              </w:rPr>
            </w:pPr>
          </w:p>
        </w:tc>
        <w:tc>
          <w:tcPr>
            <w:tcW w:w="260" w:type="dxa"/>
            <w:vAlign w:val="bottom"/>
            <w:tcBorders>
              <w:top w:val="single" w:sz="8" w:color="auto"/>
            </w:tcBorders>
            <w:gridSpan w:val="2"/>
          </w:tcPr>
          <w:p>
            <w:pPr>
              <w:spacing w:after="0"/>
              <w:rPr>
                <w:sz w:val="16"/>
                <w:szCs w:val="16"/>
                <w:color w:val="auto"/>
              </w:rPr>
            </w:pPr>
          </w:p>
        </w:tc>
        <w:tc>
          <w:tcPr>
            <w:tcW w:w="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of Loans</w:t>
            </w: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 Amount</w:t>
            </w:r>
          </w:p>
        </w:tc>
        <w:tc>
          <w:tcPr>
            <w:tcW w:w="140" w:type="dxa"/>
            <w:vAlign w:val="bottom"/>
          </w:tcPr>
          <w:p>
            <w:pPr>
              <w:spacing w:after="0"/>
              <w:rPr>
                <w:sz w:val="16"/>
                <w:szCs w:val="16"/>
                <w:color w:val="auto"/>
              </w:rPr>
            </w:pPr>
          </w:p>
        </w:tc>
      </w:tr>
      <w:tr>
        <w:trPr>
          <w:trHeight w:val="231"/>
        </w:trPr>
        <w:tc>
          <w:tcPr>
            <w:tcW w:w="20" w:type="dxa"/>
            <w:vAlign w:val="bottom"/>
            <w:shd w:val="clear" w:color="auto" w:fill="CCEEFF"/>
          </w:tcPr>
          <w:p>
            <w:pPr>
              <w:spacing w:after="0"/>
              <w:rPr>
                <w:sz w:val="20"/>
                <w:szCs w:val="20"/>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SBA 7(a) loans originated</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4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418,975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3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438,017</w:t>
            </w:r>
          </w:p>
        </w:tc>
        <w:tc>
          <w:tcPr>
            <w:tcW w:w="140" w:type="dxa"/>
            <w:vAlign w:val="bottom"/>
          </w:tcPr>
          <w:p>
            <w:pPr>
              <w:spacing w:after="0"/>
              <w:rPr>
                <w:sz w:val="20"/>
                <w:szCs w:val="20"/>
                <w:color w:val="auto"/>
              </w:rPr>
            </w:pPr>
          </w:p>
        </w:tc>
      </w:tr>
      <w:tr>
        <w:trPr>
          <w:trHeight w:val="225"/>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SBA 7(a) guaranteed loans sold</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400" w:type="dxa"/>
            <w:vAlign w:val="bottom"/>
          </w:tcPr>
          <w:p>
            <w:pPr>
              <w:spacing w:after="0"/>
              <w:rPr>
                <w:sz w:val="19"/>
                <w:szCs w:val="19"/>
                <w:color w:val="auto"/>
              </w:rPr>
            </w:pPr>
          </w:p>
        </w:tc>
        <w:tc>
          <w:tcPr>
            <w:tcW w:w="11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142,686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320" w:type="dxa"/>
            <w:vAlign w:val="bottom"/>
          </w:tcPr>
          <w:p>
            <w:pPr>
              <w:spacing w:after="0"/>
              <w:rPr>
                <w:sz w:val="19"/>
                <w:szCs w:val="19"/>
                <w:color w:val="auto"/>
              </w:rPr>
            </w:pPr>
          </w:p>
        </w:tc>
        <w:tc>
          <w:tcPr>
            <w:tcW w:w="11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325,568</w:t>
            </w:r>
          </w:p>
        </w:tc>
        <w:tc>
          <w:tcPr>
            <w:tcW w:w="140" w:type="dxa"/>
            <w:vAlign w:val="bottom"/>
          </w:tcPr>
          <w:p>
            <w:pPr>
              <w:spacing w:after="0"/>
              <w:rPr>
                <w:sz w:val="19"/>
                <w:szCs w:val="19"/>
                <w:color w:val="auto"/>
              </w:rPr>
            </w:pPr>
          </w:p>
        </w:tc>
      </w:tr>
      <w:tr>
        <w:trPr>
          <w:trHeight w:val="225"/>
        </w:trPr>
        <w:tc>
          <w:tcPr>
            <w:tcW w:w="20" w:type="dxa"/>
            <w:vAlign w:val="bottom"/>
            <w:shd w:val="clear" w:color="auto" w:fill="CCEEFF"/>
          </w:tcPr>
          <w:p>
            <w:pPr>
              <w:spacing w:after="0"/>
              <w:rPr>
                <w:sz w:val="19"/>
                <w:szCs w:val="19"/>
                <w:color w:val="auto"/>
              </w:rPr>
            </w:pPr>
          </w:p>
        </w:tc>
        <w:tc>
          <w:tcPr>
            <w:tcW w:w="5700" w:type="dxa"/>
            <w:vAlign w:val="bottom"/>
            <w:shd w:val="clear" w:color="auto" w:fill="CCEEFF"/>
          </w:tcPr>
          <w:p>
            <w:pPr>
              <w:spacing w:after="0" w:line="225" w:lineRule="exact"/>
              <w:rPr>
                <w:sz w:val="20"/>
                <w:szCs w:val="20"/>
                <w:color w:val="auto"/>
              </w:rPr>
            </w:pPr>
            <w:r>
              <w:rPr>
                <w:rFonts w:ascii="Times New Roman" w:cs="Times New Roman" w:eastAsia="Times New Roman" w:hAnsi="Times New Roman"/>
                <w:sz w:val="18"/>
                <w:szCs w:val="18"/>
                <w:color w:val="auto"/>
              </w:rPr>
              <w:t>Average net sale price as a percent of principal balance</w:t>
            </w:r>
            <w:r>
              <w:rPr>
                <w:rFonts w:ascii="Times New Roman" w:cs="Times New Roman" w:eastAsia="Times New Roman" w:hAnsi="Times New Roman"/>
                <w:sz w:val="22"/>
                <w:szCs w:val="22"/>
                <w:color w:val="auto"/>
                <w:vertAlign w:val="superscript"/>
              </w:rPr>
              <w:t>1</w:t>
            </w: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110.94 %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111.12 %</w:t>
            </w:r>
          </w:p>
        </w:tc>
        <w:tc>
          <w:tcPr>
            <w:tcW w:w="140" w:type="dxa"/>
            <w:vAlign w:val="bottom"/>
          </w:tcPr>
          <w:p>
            <w:pPr>
              <w:spacing w:after="0"/>
              <w:rPr>
                <w:sz w:val="19"/>
                <w:szCs w:val="19"/>
                <w:color w:val="auto"/>
              </w:rPr>
            </w:pPr>
          </w:p>
        </w:tc>
      </w:tr>
    </w:tbl>
    <w:p>
      <w:pPr>
        <w:spacing w:after="0" w:line="74" w:lineRule="exact"/>
        <w:rPr>
          <w:sz w:val="20"/>
          <w:szCs w:val="20"/>
          <w:color w:val="auto"/>
        </w:rPr>
      </w:pPr>
    </w:p>
    <w:p>
      <w:pPr>
        <w:ind w:left="160" w:right="340" w:hanging="154"/>
        <w:spacing w:after="0" w:line="224" w:lineRule="auto"/>
        <w:tabs>
          <w:tab w:leader="none" w:pos="173" w:val="left"/>
        </w:tabs>
        <w:numPr>
          <w:ilvl w:val="0"/>
          <w:numId w:val="5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Realized gains greater than 110.00% must be split 50/50 with the SBA in accordance with SBA regulations. The realized gains recognized above reflect amounts net of split with the SBA.</w:t>
      </w:r>
    </w:p>
    <w:p>
      <w:pPr>
        <w:spacing w:after="0" w:line="221"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For the six months ended June 30, 2025, the average sale price on SBA 7(a) loans as a percent of principal balance was 110.94% compared to 111.12% for the prior period. The decrease in sales prices in 2025 resulted from lower demand. The decrease in overall net gains on sales of loans resulted from lower volumes of sales compared to the prior year at lower market premiums than the prior year. Additionally, the decrease in SBA 7(a) guaranteed loans sold is primarily due to management holding the loans for a longer period of time.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selected statistics on the historical net premiums on sales of guaranteed portions of SBA 7(a) loans realized by NewtekOne:</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580" w:type="dxa"/>
            <w:vAlign w:val="bottom"/>
          </w:tcPr>
          <w:p>
            <w:pPr>
              <w:spacing w:after="0"/>
              <w:rPr>
                <w:sz w:val="20"/>
                <w:szCs w:val="20"/>
                <w:color w:val="auto"/>
              </w:rPr>
            </w:pPr>
          </w:p>
        </w:tc>
        <w:tc>
          <w:tcPr>
            <w:tcW w:w="6200" w:type="dxa"/>
            <w:vAlign w:val="bottom"/>
            <w:tcBorders>
              <w:bottom w:val="single" w:sz="8" w:color="auto"/>
            </w:tcBorders>
            <w:gridSpan w:val="8"/>
          </w:tcPr>
          <w:p>
            <w:pPr>
              <w:ind w:left="1700"/>
              <w:spacing w:after="0"/>
              <w:rPr>
                <w:sz w:val="20"/>
                <w:szCs w:val="20"/>
                <w:color w:val="auto"/>
              </w:rPr>
            </w:pPr>
            <w:r>
              <w:rPr>
                <w:rFonts w:ascii="Times New Roman" w:cs="Times New Roman" w:eastAsia="Times New Roman" w:hAnsi="Times New Roman"/>
                <w:sz w:val="18"/>
                <w:szCs w:val="18"/>
                <w:b w:val="1"/>
                <w:bCs w:val="1"/>
                <w:color w:val="auto"/>
              </w:rPr>
              <w:t>SBA 7(a) Sales Price as Percent of Principal Balance (%)</w:t>
            </w:r>
          </w:p>
        </w:tc>
        <w:tc>
          <w:tcPr>
            <w:tcW w:w="1460" w:type="dxa"/>
            <w:vAlign w:val="bottom"/>
            <w:tcBorders>
              <w:bottom w:val="single" w:sz="8" w:color="auto"/>
            </w:tcBorders>
          </w:tcPr>
          <w:p>
            <w:pPr>
              <w:spacing w:after="0"/>
              <w:rPr>
                <w:sz w:val="20"/>
                <w:szCs w:val="20"/>
                <w:color w:val="auto"/>
              </w:rPr>
            </w:pPr>
          </w:p>
        </w:tc>
      </w:tr>
      <w:tr>
        <w:trPr>
          <w:trHeight w:val="218"/>
        </w:trPr>
        <w:tc>
          <w:tcPr>
            <w:tcW w:w="3580" w:type="dxa"/>
            <w:vAlign w:val="bottom"/>
          </w:tcPr>
          <w:p>
            <w:pPr>
              <w:spacing w:after="0"/>
              <w:rPr>
                <w:sz w:val="18"/>
                <w:szCs w:val="18"/>
                <w:color w:val="auto"/>
              </w:rPr>
            </w:pPr>
          </w:p>
        </w:tc>
        <w:tc>
          <w:tcPr>
            <w:tcW w:w="192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14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w w:val="99"/>
              </w:rPr>
              <w:t>High</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40" w:type="dxa"/>
            <w:vAlign w:val="bottom"/>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Low</w:t>
            </w:r>
          </w:p>
        </w:tc>
        <w:tc>
          <w:tcPr>
            <w:tcW w:w="1460" w:type="dxa"/>
            <w:vAlign w:val="bottom"/>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Median</w:t>
            </w:r>
          </w:p>
        </w:tc>
      </w:tr>
      <w:tr>
        <w:trPr>
          <w:trHeight w:val="218"/>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110.20 %</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114.04 %</w:t>
            </w:r>
          </w:p>
        </w:tc>
        <w:tc>
          <w:tcPr>
            <w:tcW w:w="8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106.00 %</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110.42 %</w:t>
            </w:r>
          </w:p>
        </w:tc>
      </w:tr>
      <w:tr>
        <w:trPr>
          <w:trHeight w:val="225"/>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110.97 %</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114.80 %</w:t>
            </w:r>
          </w:p>
        </w:tc>
        <w:tc>
          <w:tcPr>
            <w:tcW w:w="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107.18 %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111.19 %</w:t>
            </w:r>
          </w:p>
        </w:tc>
      </w:tr>
      <w:tr>
        <w:trPr>
          <w:trHeight w:val="225"/>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Six months ended June 30, 2025</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110.94 %</w:t>
            </w:r>
          </w:p>
        </w:tc>
        <w:tc>
          <w:tcPr>
            <w:tcW w:w="8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114.06 %</w:t>
            </w:r>
          </w:p>
        </w:tc>
        <w:tc>
          <w:tcPr>
            <w:tcW w:w="80" w:type="dxa"/>
            <w:vAlign w:val="bottom"/>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109.40 %</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111.15 %</w:t>
            </w:r>
          </w:p>
        </w:tc>
      </w:tr>
      <w:tr>
        <w:trPr>
          <w:trHeight w:val="222"/>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110.64 %</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114.80 %</w:t>
            </w:r>
          </w:p>
        </w:tc>
        <w:tc>
          <w:tcPr>
            <w:tcW w:w="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106.00 %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110.86 %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ind w:right="220"/>
        <w:spacing w:after="0" w:line="237" w:lineRule="auto"/>
        <w:rPr>
          <w:sz w:val="20"/>
          <w:szCs w:val="20"/>
          <w:color w:val="auto"/>
        </w:rPr>
      </w:pPr>
      <w:r>
        <w:rPr>
          <w:rFonts w:ascii="Times New Roman" w:cs="Times New Roman" w:eastAsia="Times New Roman" w:hAnsi="Times New Roman"/>
          <w:sz w:val="18"/>
          <w:szCs w:val="18"/>
          <w:color w:val="auto"/>
        </w:rPr>
        <w:t>During the wind-down of NSBF’s operations, NSBF is required to continue to own its SBA 7(a) loans and PPP Loans in its SBA loan portfolio to maturity, liquidation, charge-off, or (subject to SBA’s prior written approval) sale or transfer. In addition, SBL will service and liquidate NSBF’s SBA Loan Portfolio, including processing forgiveness and loan reviews for PPP Loans pursuant to an SBA approved lender service provider agreement with SBL. The Company will continue to measure NSBF’s SBA 7(a) loan portfolio at fair value until the portfolio is completely runoff. The Company will report both realized and unrealized gains and losses relating to the fair value adjustments on the legacy NSBF SBA 7(a) portfolio.</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Gain on Residuals in Securitizations</w:t>
      </w:r>
    </w:p>
    <w:p>
      <w:pPr>
        <w:spacing w:after="0" w:line="246"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8"/>
          <w:szCs w:val="18"/>
          <w:color w:val="auto"/>
        </w:rPr>
        <w:t>Net gains on residuals in securitizations for the six months ended June 30, 2025 were $31.5 million. There were no net gains on residuals in securitizations for the six months ended June 30, 2024. This resulted from the Company’s equity interest in the 2025-1 Securitization Trust which closed on April 23, 2025. To consummate the transaction, $216.6 million of ALP loans held for sale at fair value were sold into the securitization trust at par. This resulted in $35.4 million of previously recorded gains on ALP loans under the fair value option to be reversed, which was a large driver of the change described in the section below. The residual in the securitization (represented by the ownership certificate) was then valued resulting in a gain that was netted against the transaction costs. Refer to NOTE 3—SECURITIZATIONS AND VARIABLE INTEREST ENTITIES in the accompanying notes to the consolidated financial statements for additional information.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Gain (Loss) on Loans under the Fair Value Option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gain (loss) on loans accounted for under the fair value option for the six months ended June 30, 2025 and 2024 were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3"/>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7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8"/>
        </w:trPr>
        <w:tc>
          <w:tcPr>
            <w:tcW w:w="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SBA 7(a)</w:t>
            </w:r>
          </w:p>
        </w:tc>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Unguaranteed Loans</w:t>
            </w: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(7,346)</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ind w:right="137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(5,679)</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0" w:type="dxa"/>
            <w:vAlign w:val="bottom"/>
          </w:tcPr>
          <w:p>
            <w:pPr>
              <w:spacing w:after="0"/>
              <w:rPr>
                <w:sz w:val="1"/>
                <w:szCs w:val="1"/>
                <w:color w:val="auto"/>
              </w:rPr>
            </w:pPr>
          </w:p>
        </w:tc>
      </w:tr>
      <w:tr>
        <w:trPr>
          <w:trHeight w:val="225"/>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SBA 7(a)</w:t>
            </w: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Guaranteed Loans</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18,596</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18,570</w:t>
            </w:r>
          </w:p>
        </w:tc>
        <w:tc>
          <w:tcPr>
            <w:tcW w:w="0" w:type="dxa"/>
            <w:vAlign w:val="bottom"/>
          </w:tcPr>
          <w:p>
            <w:pPr>
              <w:spacing w:after="0"/>
              <w:rPr>
                <w:sz w:val="1"/>
                <w:szCs w:val="1"/>
                <w:color w:val="auto"/>
              </w:rPr>
            </w:pPr>
          </w:p>
        </w:tc>
      </w:tr>
      <w:tr>
        <w:trPr>
          <w:trHeight w:val="225"/>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 504 and Non-SBA Loans</w:t>
            </w:r>
          </w:p>
        </w:tc>
        <w:tc>
          <w:tcPr>
            <w:tcW w:w="3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(4,934)</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(10,491)</w:t>
            </w:r>
          </w:p>
        </w:tc>
        <w:tc>
          <w:tcPr>
            <w:tcW w:w="0" w:type="dxa"/>
            <w:vAlign w:val="bottom"/>
          </w:tcPr>
          <w:p>
            <w:pPr>
              <w:spacing w:after="0"/>
              <w:rPr>
                <w:sz w:val="1"/>
                <w:szCs w:val="1"/>
                <w:color w:val="auto"/>
              </w:rPr>
            </w:pPr>
          </w:p>
        </w:tc>
      </w:tr>
      <w:tr>
        <w:trPr>
          <w:trHeight w:val="152"/>
        </w:trPr>
        <w:tc>
          <w:tcPr>
            <w:tcW w:w="4980" w:type="dxa"/>
            <w:vAlign w:val="bottom"/>
            <w:gridSpan w:val="2"/>
          </w:tcPr>
          <w:p>
            <w:pPr>
              <w:ind w:left="120"/>
              <w:spacing w:after="0" w:line="152" w:lineRule="exact"/>
              <w:rPr>
                <w:sz w:val="20"/>
                <w:szCs w:val="20"/>
                <w:color w:val="auto"/>
              </w:rPr>
            </w:pPr>
            <w:r>
              <w:rPr>
                <w:rFonts w:ascii="Times New Roman" w:cs="Times New Roman" w:eastAsia="Times New Roman" w:hAnsi="Times New Roman"/>
                <w:sz w:val="17"/>
                <w:szCs w:val="17"/>
                <w:color w:val="auto"/>
              </w:rPr>
              <w:t>Net Gain (Loss) on Loans Accounted for Under the Fair Value</w:t>
            </w:r>
          </w:p>
        </w:tc>
        <w:tc>
          <w:tcPr>
            <w:tcW w:w="32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6,316</w:t>
            </w:r>
          </w:p>
        </w:tc>
        <w:tc>
          <w:tcPr>
            <w:tcW w:w="100" w:type="dxa"/>
            <w:vAlign w:val="bottom"/>
          </w:tcPr>
          <w:p>
            <w:pPr>
              <w:spacing w:after="0"/>
              <w:rPr>
                <w:sz w:val="13"/>
                <w:szCs w:val="13"/>
                <w:color w:val="auto"/>
              </w:rPr>
            </w:pPr>
          </w:p>
        </w:tc>
        <w:tc>
          <w:tcPr>
            <w:tcW w:w="1560" w:type="dxa"/>
            <w:vAlign w:val="bottom"/>
            <w:vMerge w:val="restart"/>
          </w:tcPr>
          <w:p>
            <w:pPr>
              <w:jc w:val="right"/>
              <w:ind w:right="137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3"/>
                <w:szCs w:val="13"/>
                <w:color w:val="auto"/>
              </w:rPr>
            </w:pPr>
          </w:p>
        </w:tc>
        <w:tc>
          <w:tcPr>
            <w:tcW w:w="380" w:type="dxa"/>
            <w:vAlign w:val="bottom"/>
            <w:vMerge w:val="restart"/>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6,412</w:t>
            </w:r>
          </w:p>
        </w:tc>
        <w:tc>
          <w:tcPr>
            <w:tcW w:w="0" w:type="dxa"/>
            <w:vAlign w:val="bottom"/>
          </w:tcPr>
          <w:p>
            <w:pPr>
              <w:spacing w:after="0"/>
              <w:rPr>
                <w:sz w:val="1"/>
                <w:szCs w:val="1"/>
                <w:color w:val="auto"/>
              </w:rPr>
            </w:pPr>
          </w:p>
        </w:tc>
      </w:tr>
      <w:tr>
        <w:trPr>
          <w:trHeight w:val="217"/>
        </w:trPr>
        <w:tc>
          <w:tcPr>
            <w:tcW w:w="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w:t>
            </w:r>
          </w:p>
        </w:tc>
        <w:tc>
          <w:tcPr>
            <w:tcW w:w="426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7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7"/>
          <w:szCs w:val="17"/>
          <w:color w:val="auto"/>
        </w:rPr>
        <w:t>Net unrealized gain (loss) on loans accounted for under the fair value option relates to the guaranteed portions of SBA loans made which the Company sells into a secondary market, the unguaranteed portions of SBA loans made which the Company holds, SBA 504 loans that are held for sale, and ALP loans that</w:t>
      </w:r>
    </w:p>
    <w:p>
      <w:pPr>
        <w:spacing w:after="0" w:line="1" w:lineRule="exact"/>
        <w:rPr>
          <w:sz w:val="20"/>
          <w:szCs w:val="20"/>
          <w:color w:val="auto"/>
        </w:rPr>
      </w:pPr>
    </w:p>
    <w:p>
      <w:pPr>
        <w:jc w:val="both"/>
        <w:ind w:right="520"/>
        <w:spacing w:after="0" w:line="267" w:lineRule="auto"/>
        <w:rPr>
          <w:sz w:val="20"/>
          <w:szCs w:val="20"/>
          <w:color w:val="auto"/>
        </w:rPr>
      </w:pPr>
      <w:r>
        <w:rPr>
          <w:rFonts w:ascii="Times New Roman" w:cs="Times New Roman" w:eastAsia="Times New Roman" w:hAnsi="Times New Roman"/>
          <w:sz w:val="17"/>
          <w:szCs w:val="17"/>
          <w:color w:val="auto"/>
        </w:rPr>
        <w:t>are held for sale. This unrealized gain (loss) represents the fair value adjustment of loans</w:t>
      </w:r>
      <w:r>
        <w:rPr>
          <w:rFonts w:ascii="Arial" w:cs="Arial" w:eastAsia="Arial" w:hAnsi="Arial"/>
          <w:sz w:val="18"/>
          <w:szCs w:val="18"/>
          <w:color w:val="auto"/>
        </w:rPr>
        <w:t>.</w:t>
      </w:r>
      <w:r>
        <w:rPr>
          <w:rFonts w:ascii="Times New Roman" w:cs="Times New Roman" w:eastAsia="Times New Roman" w:hAnsi="Times New Roman"/>
          <w:sz w:val="17"/>
          <w:szCs w:val="17"/>
          <w:color w:val="auto"/>
        </w:rPr>
        <w:t xml:space="preserve"> The amount of the unrealized gain (loss) is determined by the quantity of loans held for sale at quarter end, the change in secondary market pricing conditions, and the valuation of the loans that are not held for sale.</w:t>
      </w:r>
    </w:p>
    <w:p>
      <w:pPr>
        <w:spacing w:after="0" w:line="184" w:lineRule="exact"/>
        <w:rPr>
          <w:sz w:val="20"/>
          <w:szCs w:val="20"/>
          <w:color w:val="auto"/>
        </w:rPr>
      </w:pPr>
    </w:p>
    <w:p>
      <w:pPr>
        <w:ind w:right="200"/>
        <w:spacing w:after="0" w:line="242" w:lineRule="auto"/>
        <w:rPr>
          <w:sz w:val="20"/>
          <w:szCs w:val="20"/>
          <w:color w:val="auto"/>
        </w:rPr>
      </w:pPr>
      <w:r>
        <w:rPr>
          <w:rFonts w:ascii="Times New Roman" w:cs="Times New Roman" w:eastAsia="Times New Roman" w:hAnsi="Times New Roman"/>
          <w:sz w:val="18"/>
          <w:szCs w:val="18"/>
          <w:color w:val="auto"/>
        </w:rPr>
        <w:t>During the six months ended June 30, 2025 and 2024, the Company recorded unrealized losses on SBA 7(a) unguaranteed loans accounted for under the fair value option as the portfolio paid down. During the six months ended June 30, 2025 and 2024, the Company recorded unrealized gains on SBA 7(a) guaranteed loans accounted for under the fair value option primarily due to holding guaranteed portions of SBA 7(a) loans for longer periods of time.</w:t>
      </w:r>
    </w:p>
    <w:p>
      <w:pPr>
        <w:spacing w:after="0" w:line="20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$10.5 million decrease in unrealized gain (loss) on loans accounted for under the fair value option from SBA 504 and Non-SBA loans is primarily volume driven from the reversal of the previous gains on ALP loans to consummate the NALP 2025-1 transaction as noted above.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and IT Support Income</w:t>
      </w:r>
    </w:p>
    <w:p>
      <w:pPr>
        <w:spacing w:after="0" w:line="246"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18"/>
          <w:szCs w:val="18"/>
          <w:color w:val="auto"/>
        </w:rPr>
        <w:t>Technology and IT support income was $10.9 million for the six months ended June 30, 2024. There was no Technology and IT support income for the six months ended June 30, 2025, due to the sale of NTS. Refer to NOTE 4—INVESTMENTS: Intelligent Protection Management Corp</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Noninterest Income</w:t>
      </w:r>
    </w:p>
    <w:p>
      <w:pPr>
        <w:spacing w:after="0" w:line="246"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For the six months ended June 30, 2025 and 2024, other noninterest income was related primarily to loan origination fees (legal and packaging) on loans sold or carried at fair value. Other items that contributed to the $2.7 million decrease included a decrease on prepayment and late fees earned from SBA 7(a) loans. The Company originated 1,042 of SBA 7(a) loans compared to 1,093 loans for the six months ended June 30, 2025 and 2024, respectively. Adding to the decrease was $(0.1) million of net unrealized gains on joint ventures and other non-control investments for the six months ended June 30, 2025 compared to none in the prior period.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Non-Interest Expense</w:t>
            </w:r>
          </w:p>
        </w:tc>
        <w:tc>
          <w:tcPr>
            <w:tcW w:w="1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490"/>
        </w:trPr>
        <w:tc>
          <w:tcPr>
            <w:tcW w:w="3640" w:type="dxa"/>
            <w:vAlign w:val="bottom"/>
          </w:tcPr>
          <w:p>
            <w:pPr>
              <w:spacing w:after="0"/>
              <w:rPr>
                <w:sz w:val="24"/>
                <w:szCs w:val="24"/>
                <w:color w:val="auto"/>
              </w:rPr>
            </w:pPr>
          </w:p>
        </w:tc>
        <w:tc>
          <w:tcPr>
            <w:tcW w:w="3040" w:type="dxa"/>
            <w:vAlign w:val="bottom"/>
            <w:tcBorders>
              <w:bottom w:val="single" w:sz="8" w:color="auto"/>
            </w:tcBorders>
            <w:gridSpan w:val="4"/>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6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3"/>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rPr>
              <w:t>2025/2024 Increase/(Decrease)</w:t>
            </w:r>
          </w:p>
        </w:tc>
      </w:tr>
      <w:tr>
        <w:trPr>
          <w:trHeight w:val="218"/>
        </w:trPr>
        <w:tc>
          <w:tcPr>
            <w:tcW w:w="3640" w:type="dxa"/>
            <w:vAlign w:val="bottom"/>
          </w:tcPr>
          <w:p>
            <w:pPr>
              <w:spacing w:after="0"/>
              <w:rPr>
                <w:sz w:val="18"/>
                <w:szCs w:val="18"/>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940" w:type="dxa"/>
            <w:vAlign w:val="bottom"/>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18"/>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and employee benefits expense</w:t>
            </w:r>
          </w:p>
        </w:tc>
        <w:tc>
          <w:tcPr>
            <w:tcW w:w="1160" w:type="dxa"/>
            <w:vAlign w:val="bottom"/>
            <w:tcBorders>
              <w:top w:val="single" w:sz="8" w:color="auto"/>
            </w:tcBorders>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44,451</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95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41,296</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1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r>
      <w:tr>
        <w:trPr>
          <w:trHeight w:val="225"/>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services expense</w:t>
            </w:r>
          </w:p>
        </w:tc>
        <w:tc>
          <w:tcPr>
            <w:tcW w:w="116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(6,828)</w:t>
            </w:r>
          </w:p>
        </w:tc>
        <w:tc>
          <w:tcPr>
            <w:tcW w:w="100" w:type="dxa"/>
            <w:vAlign w:val="bottom"/>
          </w:tcPr>
          <w:p>
            <w:pPr>
              <w:spacing w:after="0"/>
              <w:rPr>
                <w:sz w:val="19"/>
                <w:szCs w:val="19"/>
                <w:color w:val="auto"/>
              </w:rPr>
            </w:pPr>
          </w:p>
        </w:tc>
        <w:tc>
          <w:tcPr>
            <w:tcW w:w="1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(100.0)</w:t>
            </w:r>
          </w:p>
        </w:tc>
      </w:tr>
      <w:tr>
        <w:trPr>
          <w:trHeight w:val="225"/>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Electronic payment processing expense</w:t>
            </w: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8,875</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(15.8)</w:t>
            </w:r>
          </w:p>
        </w:tc>
      </w:tr>
      <w:tr>
        <w:trPr>
          <w:trHeight w:val="225"/>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services expense</w:t>
            </w: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7,739</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19"/>
                <w:szCs w:val="19"/>
                <w:color w:val="auto"/>
              </w:rPr>
            </w:pPr>
          </w:p>
        </w:tc>
        <w:tc>
          <w:tcPr>
            <w:tcW w:w="1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5.9</w:t>
            </w:r>
          </w:p>
        </w:tc>
      </w:tr>
      <w:tr>
        <w:trPr>
          <w:trHeight w:val="225"/>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loan origination and maintenance expense</w:t>
            </w: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7,704</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46.5</w:t>
            </w:r>
          </w:p>
        </w:tc>
      </w:tr>
      <w:tr>
        <w:trPr>
          <w:trHeight w:val="225"/>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Pr>
          <w:p>
            <w:pPr>
              <w:spacing w:after="0"/>
              <w:rPr>
                <w:sz w:val="19"/>
                <w:szCs w:val="19"/>
                <w:color w:val="auto"/>
              </w:rPr>
            </w:pPr>
          </w:p>
        </w:tc>
        <w:tc>
          <w:tcPr>
            <w:tcW w:w="1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(60.1)</w:t>
            </w:r>
          </w:p>
        </w:tc>
      </w:tr>
      <w:tr>
        <w:trPr>
          <w:trHeight w:val="225"/>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general and administrative costs</w:t>
            </w:r>
          </w:p>
        </w:tc>
        <w:tc>
          <w:tcPr>
            <w:tcW w:w="1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14,297</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9,440</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4,857</w:t>
            </w:r>
          </w:p>
        </w:tc>
        <w:tc>
          <w:tcPr>
            <w:tcW w:w="100" w:type="dxa"/>
            <w:vAlign w:val="bottom"/>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51.5</w:t>
            </w:r>
          </w:p>
        </w:tc>
      </w:tr>
      <w:tr>
        <w:trPr>
          <w:trHeight w:val="218"/>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1160" w:type="dxa"/>
            <w:vAlign w:val="bottom"/>
            <w:tcBorders>
              <w:bottom w:val="single" w:sz="8" w:color="auto"/>
            </w:tcBorders>
          </w:tcPr>
          <w:p>
            <w:pPr>
              <w:jc w:val="right"/>
              <w:ind w:right="97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83,486</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95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81,723</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100" w:type="dxa"/>
            <w:vAlign w:val="bottom"/>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0"/>
        </w:trPr>
        <w:tc>
          <w:tcPr>
            <w:tcW w:w="36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Salaries and Employee Benefits Expense</w:t>
      </w:r>
    </w:p>
    <w:p>
      <w:pPr>
        <w:spacing w:after="0" w:line="246" w:lineRule="exact"/>
        <w:rPr>
          <w:sz w:val="20"/>
          <w:szCs w:val="20"/>
          <w:color w:val="auto"/>
        </w:rPr>
      </w:pPr>
    </w:p>
    <w:p>
      <w:pPr>
        <w:ind w:right="520"/>
        <w:spacing w:after="0" w:line="270" w:lineRule="auto"/>
        <w:rPr>
          <w:sz w:val="20"/>
          <w:szCs w:val="20"/>
          <w:color w:val="auto"/>
        </w:rPr>
      </w:pPr>
      <w:r>
        <w:rPr>
          <w:rFonts w:ascii="Times New Roman" w:cs="Times New Roman" w:eastAsia="Times New Roman" w:hAnsi="Times New Roman"/>
          <w:sz w:val="18"/>
          <w:szCs w:val="18"/>
          <w:color w:val="auto"/>
        </w:rPr>
        <w:t>The increase in salaries and employee benefits was primarily attributable to increased benefits costs, primarily bonus accruals, higher medical and other insurance costs.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Services Expense</w:t>
      </w:r>
    </w:p>
    <w:p>
      <w:pPr>
        <w:spacing w:after="0" w:line="246" w:lineRule="exact"/>
        <w:rPr>
          <w:sz w:val="20"/>
          <w:szCs w:val="20"/>
          <w:color w:val="auto"/>
        </w:rPr>
      </w:pPr>
    </w:p>
    <w:p>
      <w:pPr>
        <w:ind w:right="480"/>
        <w:spacing w:after="0" w:line="270" w:lineRule="auto"/>
        <w:rPr>
          <w:sz w:val="20"/>
          <w:szCs w:val="20"/>
          <w:color w:val="auto"/>
        </w:rPr>
      </w:pPr>
      <w:r>
        <w:rPr>
          <w:rFonts w:ascii="Times New Roman" w:cs="Times New Roman" w:eastAsia="Times New Roman" w:hAnsi="Times New Roman"/>
          <w:sz w:val="18"/>
          <w:szCs w:val="18"/>
          <w:color w:val="auto"/>
        </w:rPr>
        <w:t>The $6.8 million decrease in technology services expenses for the six months ended June 30, 2025 corresponded with the NTS Sale. Refer to NOTE 4— INVESTMENTS: Intelligent Protection Management Corp</w:t>
      </w:r>
      <w:r>
        <w:rPr>
          <w:rFonts w:ascii="Times New Roman" w:cs="Times New Roman" w:eastAsia="Times New Roman" w:hAnsi="Times New Roman"/>
          <w:sz w:val="18"/>
          <w:szCs w:val="18"/>
          <w:b w:val="1"/>
          <w:bCs w:val="1"/>
          <w:color w:val="auto"/>
        </w:rPr>
        <w: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Professional Services Expense</w:t>
      </w:r>
    </w:p>
    <w:p>
      <w:pPr>
        <w:spacing w:after="0" w:line="246"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8"/>
          <w:szCs w:val="18"/>
          <w:color w:val="auto"/>
        </w:rPr>
        <w:t>The increase in professional services expense period over period is primarily attributable to costs associated with the NTS disposition that occurred on January 2, 2025. Refer to NOTE 4—INVESTMENTS: Intelligent Protection Management Corp</w:t>
      </w:r>
      <w:r>
        <w:rPr>
          <w:rFonts w:ascii="Times New Roman" w:cs="Times New Roman" w:eastAsia="Times New Roman" w:hAnsi="Times New Roman"/>
          <w:sz w:val="18"/>
          <w:szCs w:val="18"/>
          <w:b w:val="1"/>
          <w:bCs w:val="1"/>
          <w:color w:val="auto"/>
        </w:rPr>
        <w: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Loan Origination and Maintenance Expense</w:t>
      </w:r>
    </w:p>
    <w:p>
      <w:pPr>
        <w:spacing w:after="0" w:line="246"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8"/>
          <w:szCs w:val="18"/>
          <w:color w:val="auto"/>
        </w:rPr>
        <w:t>Other loan origination and maintenance expenses during the six months ended June 30, 2025, was $7.7 million compared to $5.3 million for the six months ended June 30, 2024 due to a larger dollar volume and count of loan originations in 2025 compared to 2024.</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46"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8"/>
          <w:szCs w:val="18"/>
          <w:color w:val="auto"/>
        </w:rPr>
        <w:t>The decrease in depreciation and amortization period over period is primarily attributable to the full amortization of intangible assets during the second half of 2024, which resulted in less amortization in 2025 compared to the prior year.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General and Administrative Costs</w:t>
      </w:r>
    </w:p>
    <w:p>
      <w:pPr>
        <w:spacing w:after="0" w:line="24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increase in other general and administrative costs of $4.9 million is primarily due to the Acquisition, as in additional expense is included in the current year from the additional entities now being consolidated after the withdrawal of the BDC election, partially offset by the elimination of intercompany expenses between the newly consolidated entities and those previously reported as a BDC.</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Segment Operations</w:t>
      </w:r>
    </w:p>
    <w:p>
      <w:pPr>
        <w:spacing w:after="0" w:line="24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has four reportable segments Banking, Alternative Lending, NSBF, and Payments. A description of each segment and the methodologies used to measure financial performance is described in NOTE 18—SEGMENTS in the accompanying Notes to the Consolidated Financial Statements. Net income (loss) by operating segment is presented below:</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2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920" w:type="dxa"/>
            <w:vAlign w:val="bottom"/>
            <w:gridSpan w:val="5"/>
          </w:tcPr>
          <w:p>
            <w:pPr>
              <w:ind w:left="106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400" w:type="dxa"/>
            <w:vAlign w:val="bottom"/>
          </w:tcPr>
          <w:p>
            <w:pPr>
              <w:spacing w:after="0"/>
              <w:rPr>
                <w:sz w:val="20"/>
                <w:szCs w:val="20"/>
                <w:color w:val="auto"/>
              </w:rPr>
            </w:pPr>
          </w:p>
        </w:tc>
        <w:tc>
          <w:tcPr>
            <w:tcW w:w="3900" w:type="dxa"/>
            <w:vAlign w:val="bottom"/>
            <w:gridSpan w:val="3"/>
          </w:tcPr>
          <w:p>
            <w:pPr>
              <w:jc w:val="right"/>
              <w:ind w:right="932"/>
              <w:spacing w:after="0"/>
              <w:rPr>
                <w:sz w:val="20"/>
                <w:szCs w:val="20"/>
                <w:color w:val="auto"/>
              </w:rPr>
            </w:pPr>
            <w:r>
              <w:rPr>
                <w:rFonts w:ascii="Times New Roman" w:cs="Times New Roman" w:eastAsia="Times New Roman" w:hAnsi="Times New Roman"/>
                <w:sz w:val="18"/>
                <w:szCs w:val="18"/>
                <w:b w:val="1"/>
                <w:bCs w:val="1"/>
                <w:color w:val="auto"/>
              </w:rPr>
              <w:t>2025/2024 Increase/(Decrease)</w:t>
            </w:r>
          </w:p>
        </w:tc>
      </w:tr>
      <w:tr>
        <w:trPr>
          <w:trHeight w:val="218"/>
        </w:trPr>
        <w:tc>
          <w:tcPr>
            <w:tcW w:w="26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3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180" w:type="dxa"/>
            <w:vAlign w:val="bottom"/>
            <w:tcBorders>
              <w:top w:val="single" w:sz="8" w:color="auto"/>
            </w:tcBorders>
          </w:tcPr>
          <w:p>
            <w:pPr>
              <w:jc w:val="right"/>
              <w:ind w:right="712"/>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18"/>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Banking</w:t>
            </w:r>
          </w:p>
        </w:tc>
        <w:tc>
          <w:tcPr>
            <w:tcW w:w="32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18,292</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21,854</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w:t>
            </w:r>
          </w:p>
        </w:tc>
        <w:tc>
          <w:tcPr>
            <w:tcW w:w="8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5"/>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Alternative Lending</w:t>
            </w:r>
          </w:p>
        </w:tc>
        <w:tc>
          <w:tcPr>
            <w:tcW w:w="3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20,357</w:t>
            </w:r>
          </w:p>
        </w:tc>
        <w:tc>
          <w:tcPr>
            <w:tcW w:w="8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115 %</w:t>
            </w:r>
          </w:p>
        </w:tc>
      </w:tr>
      <w:tr>
        <w:trPr>
          <w:trHeight w:val="225"/>
        </w:trPr>
        <w:tc>
          <w:tcPr>
            <w:tcW w:w="266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Technology</w:t>
            </w:r>
            <w:r>
              <w:rPr>
                <w:rFonts w:ascii="Times New Roman" w:cs="Times New Roman" w:eastAsia="Times New Roman" w:hAnsi="Times New Roman"/>
                <w:sz w:val="22"/>
                <w:szCs w:val="22"/>
                <w:color w:val="auto"/>
                <w:vertAlign w:val="superscript"/>
              </w:rPr>
              <w:t>1</w:t>
            </w:r>
          </w:p>
        </w:tc>
        <w:tc>
          <w:tcPr>
            <w:tcW w:w="3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5"/>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NSBF</w:t>
            </w:r>
          </w:p>
        </w:tc>
        <w:tc>
          <w:tcPr>
            <w:tcW w:w="3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8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25"/>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8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5"/>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&amp; Other</w:t>
            </w:r>
          </w:p>
        </w:tc>
        <w:tc>
          <w:tcPr>
            <w:tcW w:w="3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12,692</w:t>
            </w:r>
          </w:p>
        </w:tc>
        <w:tc>
          <w:tcPr>
            <w:tcW w:w="8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w:t>
            </w:r>
          </w:p>
        </w:tc>
      </w:tr>
      <w:tr>
        <w:trPr>
          <w:trHeight w:val="225"/>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3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(25,082)</w:t>
            </w:r>
          </w:p>
        </w:tc>
        <w:tc>
          <w:tcPr>
            <w:tcW w:w="80" w:type="dxa"/>
            <w:vAlign w:val="bottom"/>
            <w:shd w:val="clear" w:color="auto" w:fill="CCEEFF"/>
          </w:tcPr>
          <w:p>
            <w:pPr>
              <w:spacing w:after="0"/>
              <w:rPr>
                <w:sz w:val="19"/>
                <w:szCs w:val="19"/>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128 %</w:t>
            </w:r>
          </w:p>
        </w:tc>
      </w:tr>
      <w:tr>
        <w:trPr>
          <w:trHeight w:val="218"/>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income</w:t>
            </w: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23,070</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20,595</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80" w:type="dxa"/>
            <w:vAlign w:val="bottom"/>
          </w:tcPr>
          <w:p>
            <w:pPr>
              <w:spacing w:after="0"/>
              <w:rPr>
                <w:sz w:val="18"/>
                <w:szCs w:val="18"/>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0"/>
        </w:trPr>
        <w:tc>
          <w:tcPr>
            <w:tcW w:w="2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ind w:left="160" w:right="340" w:hanging="154"/>
        <w:spacing w:after="0" w:line="217" w:lineRule="auto"/>
        <w:tabs>
          <w:tab w:leader="none" w:pos="202" w:val="left"/>
        </w:tabs>
        <w:numPr>
          <w:ilvl w:val="0"/>
          <w:numId w:val="56"/>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As a result of commitments made to the Federal Reserve, the Company divested of NTS on January 2, 2025, and is no longer a reportable segment. See NOTE 4—INVESTMENTS: Intelligent Protection Management Corp</w:t>
      </w:r>
      <w:r>
        <w:rPr>
          <w:rFonts w:ascii="Times New Roman" w:cs="Times New Roman" w:eastAsia="Times New Roman" w:hAnsi="Times New Roman"/>
          <w:sz w:val="18"/>
          <w:szCs w:val="18"/>
          <w:b w:val="1"/>
          <w:bCs w:val="1"/>
          <w:color w:val="auto"/>
        </w:rPr>
        <w: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Banking</w:t>
      </w:r>
    </w:p>
    <w:p>
      <w:pPr>
        <w:spacing w:after="0" w:line="233"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The banking segment includes Newtek Bank as well as its consolidated subsidiary SBL. The financial results include the origination, sale, and servicing of SBA 7(a) loans, SBA 504 loans, C&amp;I loans, CRE loans and ABL loans. In addition, Newtek Bank offers depository services. The results include $27.3 million of net interest income during the six months ended June 30, 2025 compared to $17.0 million of net interest income during the six months ended June 30, 2024. During 2025, the Company increased the provision for credit losses, resulting in lower net income for the six months ended June 30, 2025 compared to the six months ended June 30, 2024.</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Alternative Lending</w:t>
      </w:r>
    </w:p>
    <w:p>
      <w:pPr>
        <w:spacing w:after="0" w:line="233"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7"/>
          <w:szCs w:val="17"/>
          <w:color w:val="auto"/>
        </w:rPr>
        <w:t>Alternative Lending includes Newtek ALP Holdings (NALH) and its subsidiaries. The Company has originated loans under its Alternative Lending Program since 2019. Prior to July 1, 2024, the Company originated ALP loans with the intent to sell to a JV. While the Company continues to source JV partners to participate in this program, during the third quarter of 2024, the Company made the decision to originate with the intent to securitize ALP loans with our subsidiary Newtek ALP Holdings as the originator and sponsor without a joint venture partner; the Company’s first such securitization transaction was consummated during the second quarter of 2025. The Company could also originate ALP loans designated as HFI. Compared to the six months ended June 30, 2024, there were more loans originations that drove higher income for the six months ended June 30, 2025, as well as larger gains on loans at fair value.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NSBF</w:t>
      </w:r>
    </w:p>
    <w:p>
      <w:pPr>
        <w:spacing w:after="0" w:line="246" w:lineRule="exact"/>
        <w:rPr>
          <w:sz w:val="20"/>
          <w:szCs w:val="20"/>
          <w:color w:val="auto"/>
        </w:rPr>
      </w:pPr>
    </w:p>
    <w:p>
      <w:pPr>
        <w:ind w:right="720"/>
        <w:spacing w:after="0" w:line="270" w:lineRule="auto"/>
        <w:rPr>
          <w:sz w:val="20"/>
          <w:szCs w:val="20"/>
          <w:color w:val="auto"/>
        </w:rPr>
      </w:pPr>
      <w:r>
        <w:rPr>
          <w:rFonts w:ascii="Times New Roman" w:cs="Times New Roman" w:eastAsia="Times New Roman" w:hAnsi="Times New Roman"/>
          <w:sz w:val="18"/>
          <w:szCs w:val="18"/>
          <w:color w:val="auto"/>
        </w:rPr>
        <w:t>NSBF includes NSBF’s legacy portfolio of SBA 7(a) loans held outside Newtek Bank. The change in net income is due to the wind-down of NSBF’s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Payments</w:t>
      </w:r>
    </w:p>
    <w:p>
      <w:pPr>
        <w:spacing w:after="0" w:line="24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Payments includes NMS, POS and Mobil Money. Within the segment’s results are $24.0 million of noninterest income for the six months ended June 30, 2025 resulting from marketing credit and debit card processing services, check approval services, processing equipment, and software, compared to $26.4 million during the six months ended June 30, 2024. The net income also included $15.5 million and $17.1 million of noninterest expense for the six months ended June 30, 2025 and 2024,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p>
      <w:pPr>
        <w:spacing w:after="0" w:line="246" w:lineRule="exact"/>
        <w:rPr>
          <w:sz w:val="20"/>
          <w:szCs w:val="20"/>
          <w:color w:val="auto"/>
        </w:rPr>
      </w:pPr>
    </w:p>
    <w:p>
      <w:pPr>
        <w:jc w:val="both"/>
        <w:ind w:right="480"/>
        <w:spacing w:after="0" w:line="258" w:lineRule="auto"/>
        <w:rPr>
          <w:sz w:val="20"/>
          <w:szCs w:val="20"/>
          <w:color w:val="auto"/>
        </w:rPr>
      </w:pPr>
      <w:r>
        <w:rPr>
          <w:rFonts w:ascii="Times New Roman" w:cs="Times New Roman" w:eastAsia="Times New Roman" w:hAnsi="Times New Roman"/>
          <w:sz w:val="18"/>
          <w:szCs w:val="18"/>
          <w:color w:val="auto"/>
        </w:rPr>
        <w:t>Corporate and Other represents operations not considered to be reportable segments and/or general operating expenses of the Company, and includes the parent company, other non-bank subsidiaries including NIA, PMT, and elimination adjustments to reconcile the results of the operating segments to the consolidated financial statements prepared in conformity with GAAP.</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is a comparison of the results of operations for the three months ended June 30, 2025 and 2024.</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w:t>
      </w:r>
    </w:p>
    <w:p>
      <w:pPr>
        <w:spacing w:after="0" w:line="244"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8"/>
          <w:szCs w:val="18"/>
          <w:color w:val="auto"/>
        </w:rPr>
        <w:t>For the three months ended June 30, 2025, the Company reported net income of $13.7 million, or $0.53 per basic and $0.52 per diluted share, compared to net income of $10.9 million, or $0.43 per basic and diluted share, for the three months ended June 30, 2024.</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The net increase in net income was attributable to the following items: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6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40" w:type="dxa"/>
            <w:vAlign w:val="bottom"/>
            <w:gridSpan w:val="7"/>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6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8"/>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income after provision for credit losses</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 income</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52,020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 expense</w:t>
            </w: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40,564</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before taxes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10,945</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67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9"/>
        </w:trPr>
        <w:tc>
          <w:tcPr>
            <w:tcW w:w="6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gridSpan w:val="7"/>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67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05"/>
        </w:trPr>
        <w:tc>
          <w:tcPr>
            <w:tcW w:w="67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Interest income</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Debt securities available-for-sale</w:t>
            </w:r>
          </w:p>
        </w:tc>
        <w:tc>
          <w:tcPr>
            <w:tcW w:w="24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8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25"/>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Loans and fees on loans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interest earning assets</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interest income</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Deposits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Notes and securitizations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25"/>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Bank and FHLB borrowings</w:t>
            </w: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7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interest expense</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22,595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20,227</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5,799</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interest income after provision for credit losses</w:t>
            </w:r>
          </w:p>
        </w:tc>
        <w:tc>
          <w:tcPr>
            <w:tcW w:w="240" w:type="dxa"/>
            <w:vAlign w:val="bottom"/>
            <w:tcBorders>
              <w:bottom w:val="single" w:sz="8" w:color="auto"/>
            </w:tcBorders>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18"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Loans and fees on loans: </w:t>
      </w:r>
      <w:r>
        <w:rPr>
          <w:rFonts w:ascii="Times New Roman" w:cs="Times New Roman" w:eastAsia="Times New Roman" w:hAnsi="Times New Roman"/>
          <w:sz w:val="17"/>
          <w:szCs w:val="17"/>
          <w:color w:val="auto"/>
        </w:rPr>
        <w:t>The $6.6 million increase in interest income on the Company’s loan portfolio was attributable to an increase in the average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outstanding accrual portfolio of loans held for investment increasing to $1.4 billion from $1.1 billion for the three months ended June 30, 2025 and 2024, respectively. The increase in the average outstanding accrual loan portfolio resulted from the origination of new SBA 7(a) loans period over period.</w:t>
      </w:r>
    </w:p>
    <w:p>
      <w:pPr>
        <w:spacing w:after="0" w:line="159" w:lineRule="exact"/>
        <w:rPr>
          <w:sz w:val="20"/>
          <w:szCs w:val="20"/>
          <w:color w:val="auto"/>
        </w:rPr>
      </w:pPr>
    </w:p>
    <w:p>
      <w:pPr>
        <w:ind w:right="380"/>
        <w:spacing w:after="0" w:line="273" w:lineRule="auto"/>
        <w:rPr>
          <w:sz w:val="20"/>
          <w:szCs w:val="20"/>
          <w:color w:val="auto"/>
        </w:rPr>
      </w:pPr>
      <w:r>
        <w:rPr>
          <w:rFonts w:ascii="Times New Roman" w:cs="Times New Roman" w:eastAsia="Times New Roman" w:hAnsi="Times New Roman"/>
          <w:sz w:val="18"/>
          <w:szCs w:val="18"/>
          <w:i w:val="1"/>
          <w:iCs w:val="1"/>
          <w:color w:val="auto"/>
        </w:rPr>
        <w:t xml:space="preserve">Other interest earning assets: </w:t>
      </w:r>
      <w:r>
        <w:rPr>
          <w:rFonts w:ascii="Times New Roman" w:cs="Times New Roman" w:eastAsia="Times New Roman" w:hAnsi="Times New Roman"/>
          <w:sz w:val="18"/>
          <w:szCs w:val="18"/>
          <w:color w:val="auto"/>
        </w:rPr>
        <w:t>The $0.7 million increase in interest income from other interest earnings assets was attributable to a decrease in the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quarterly outstanding balance of interest-earning balances in other banks.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interest expense by facility for the three months ended June 30, 2025 and 2024:</w:t>
      </w: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0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6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5"/>
        </w:trPr>
        <w:tc>
          <w:tcPr>
            <w:tcW w:w="60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0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0" w:type="dxa"/>
            <w:vAlign w:val="bottom"/>
          </w:tcPr>
          <w:p>
            <w:pPr>
              <w:spacing w:after="0"/>
              <w:rPr>
                <w:sz w:val="1"/>
                <w:szCs w:val="1"/>
                <w:color w:val="auto"/>
              </w:rPr>
            </w:pPr>
          </w:p>
        </w:tc>
      </w:tr>
      <w:tr>
        <w:trPr>
          <w:trHeight w:val="225"/>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Notes and securitizations: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Notes payable - Securitization Trusts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0" w:type="dxa"/>
            <w:vAlign w:val="bottom"/>
          </w:tcPr>
          <w:p>
            <w:pPr>
              <w:spacing w:after="0"/>
              <w:rPr>
                <w:sz w:val="1"/>
                <w:szCs w:val="1"/>
                <w:color w:val="auto"/>
              </w:rPr>
            </w:pPr>
          </w:p>
        </w:tc>
      </w:tr>
      <w:tr>
        <w:trPr>
          <w:trHeight w:val="225"/>
        </w:trPr>
        <w:tc>
          <w:tcPr>
            <w:tcW w:w="6700" w:type="dxa"/>
            <w:vAlign w:val="bottom"/>
            <w:gridSpan w:val="2"/>
          </w:tcPr>
          <w:p>
            <w:pPr>
              <w:ind w:left="220"/>
              <w:spacing w:after="0" w:line="225" w:lineRule="exact"/>
              <w:rPr>
                <w:sz w:val="20"/>
                <w:szCs w:val="20"/>
                <w:color w:val="auto"/>
              </w:rPr>
            </w:pPr>
            <w:r>
              <w:rPr>
                <w:rFonts w:ascii="Times New Roman" w:cs="Times New Roman" w:eastAsia="Times New Roman" w:hAnsi="Times New Roman"/>
                <w:sz w:val="18"/>
                <w:szCs w:val="18"/>
                <w:color w:val="auto"/>
              </w:rPr>
              <w:t>2024 Notes</w:t>
            </w:r>
            <w:r>
              <w:rPr>
                <w:rFonts w:ascii="Times New Roman" w:cs="Times New Roman" w:eastAsia="Times New Roman" w:hAnsi="Times New Roman"/>
                <w:sz w:val="22"/>
                <w:szCs w:val="22"/>
                <w:color w:val="auto"/>
                <w:vertAlign w:val="superscript"/>
              </w:rPr>
              <w:t>1</w:t>
            </w:r>
          </w:p>
        </w:tc>
        <w:tc>
          <w:tcPr>
            <w:tcW w:w="2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25"/>
        </w:trPr>
        <w:tc>
          <w:tcPr>
            <w:tcW w:w="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9"/>
              </w:rPr>
              <w:t>2025</w:t>
            </w:r>
          </w:p>
        </w:tc>
        <w:tc>
          <w:tcPr>
            <w:tcW w:w="610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5.00% Notes</w:t>
            </w:r>
            <w:r>
              <w:rPr>
                <w:rFonts w:ascii="Times New Roman" w:cs="Times New Roman" w:eastAsia="Times New Roman" w:hAnsi="Times New Roman"/>
                <w:sz w:val="22"/>
                <w:szCs w:val="22"/>
                <w:color w:val="auto"/>
                <w:vertAlign w:val="superscript"/>
              </w:rPr>
              <w:t>2</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25"/>
        </w:trPr>
        <w:tc>
          <w:tcPr>
            <w:tcW w:w="6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2025</w:t>
            </w:r>
          </w:p>
        </w:tc>
        <w:tc>
          <w:tcPr>
            <w:tcW w:w="610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8.125% Notes</w:t>
            </w:r>
            <w:r>
              <w:rPr>
                <w:rFonts w:ascii="Times New Roman" w:cs="Times New Roman" w:eastAsia="Times New Roman" w:hAnsi="Times New Roman"/>
                <w:sz w:val="22"/>
                <w:szCs w:val="22"/>
                <w:color w:val="auto"/>
                <w:vertAlign w:val="superscript"/>
              </w:rPr>
              <w:t>3</w:t>
            </w:r>
          </w:p>
        </w:tc>
        <w:tc>
          <w:tcPr>
            <w:tcW w:w="2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0" w:type="dxa"/>
            <w:vAlign w:val="bottom"/>
          </w:tcPr>
          <w:p>
            <w:pPr>
              <w:spacing w:after="0"/>
              <w:rPr>
                <w:sz w:val="1"/>
                <w:szCs w:val="1"/>
                <w:color w:val="auto"/>
              </w:rPr>
            </w:pPr>
          </w:p>
        </w:tc>
      </w:tr>
      <w:tr>
        <w:trPr>
          <w:trHeight w:val="225"/>
        </w:trPr>
        <w:tc>
          <w:tcPr>
            <w:tcW w:w="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9"/>
              </w:rPr>
              <w:t>2026</w:t>
            </w:r>
          </w:p>
        </w:tc>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6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2027</w:t>
            </w:r>
          </w:p>
        </w:tc>
        <w:tc>
          <w:tcPr>
            <w:tcW w:w="610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Notes</w:t>
            </w:r>
            <w:r>
              <w:rPr>
                <w:rFonts w:ascii="Times New Roman" w:cs="Times New Roman" w:eastAsia="Times New Roman" w:hAnsi="Times New Roman"/>
                <w:sz w:val="22"/>
                <w:szCs w:val="22"/>
                <w:color w:val="auto"/>
                <w:vertAlign w:val="superscript"/>
              </w:rPr>
              <w:t>3</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0" w:type="dxa"/>
            <w:vAlign w:val="bottom"/>
          </w:tcPr>
          <w:p>
            <w:pPr>
              <w:spacing w:after="0"/>
              <w:rPr>
                <w:sz w:val="1"/>
                <w:szCs w:val="1"/>
                <w:color w:val="auto"/>
              </w:rPr>
            </w:pPr>
          </w:p>
        </w:tc>
      </w:tr>
      <w:tr>
        <w:trPr>
          <w:trHeight w:val="225"/>
        </w:trPr>
        <w:tc>
          <w:tcPr>
            <w:tcW w:w="6700" w:type="dxa"/>
            <w:vAlign w:val="bottom"/>
            <w:gridSpan w:val="2"/>
            <w:shd w:val="clear" w:color="auto" w:fill="CCEEFF"/>
          </w:tcPr>
          <w:p>
            <w:pPr>
              <w:ind w:left="220"/>
              <w:spacing w:after="0" w:line="225" w:lineRule="exact"/>
              <w:rPr>
                <w:sz w:val="20"/>
                <w:szCs w:val="20"/>
                <w:color w:val="auto"/>
              </w:rPr>
            </w:pPr>
            <w:r>
              <w:rPr>
                <w:rFonts w:ascii="Times New Roman" w:cs="Times New Roman" w:eastAsia="Times New Roman" w:hAnsi="Times New Roman"/>
                <w:sz w:val="18"/>
                <w:szCs w:val="18"/>
                <w:color w:val="auto"/>
              </w:rPr>
              <w:t>2028 Notes</w:t>
            </w:r>
            <w:r>
              <w:rPr>
                <w:rFonts w:ascii="Times New Roman" w:cs="Times New Roman" w:eastAsia="Times New Roman" w:hAnsi="Times New Roman"/>
                <w:sz w:val="22"/>
                <w:szCs w:val="22"/>
                <w:color w:val="auto"/>
                <w:vertAlign w:val="superscript"/>
              </w:rPr>
              <w:t>4</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6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2029</w:t>
            </w:r>
          </w:p>
        </w:tc>
        <w:tc>
          <w:tcPr>
            <w:tcW w:w="610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8.50% Notes</w:t>
            </w:r>
            <w:r>
              <w:rPr>
                <w:rFonts w:ascii="Times New Roman" w:cs="Times New Roman" w:eastAsia="Times New Roman" w:hAnsi="Times New Roman"/>
                <w:sz w:val="22"/>
                <w:szCs w:val="22"/>
                <w:color w:val="auto"/>
                <w:vertAlign w:val="superscript"/>
              </w:rPr>
              <w:t>5</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0" w:type="dxa"/>
            <w:vAlign w:val="bottom"/>
          </w:tcPr>
          <w:p>
            <w:pPr>
              <w:spacing w:after="0"/>
              <w:rPr>
                <w:sz w:val="1"/>
                <w:szCs w:val="1"/>
                <w:color w:val="auto"/>
              </w:rPr>
            </w:pPr>
          </w:p>
        </w:tc>
      </w:tr>
      <w:tr>
        <w:trPr>
          <w:trHeight w:val="225"/>
        </w:trPr>
        <w:tc>
          <w:tcPr>
            <w:tcW w:w="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9"/>
              </w:rPr>
              <w:t>2029</w:t>
            </w:r>
          </w:p>
        </w:tc>
        <w:tc>
          <w:tcPr>
            <w:tcW w:w="610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8.625% Notes</w:t>
            </w:r>
            <w:r>
              <w:rPr>
                <w:rFonts w:ascii="Times New Roman" w:cs="Times New Roman" w:eastAsia="Times New Roman" w:hAnsi="Times New Roman"/>
                <w:sz w:val="22"/>
                <w:szCs w:val="22"/>
                <w:color w:val="auto"/>
                <w:vertAlign w:val="superscript"/>
              </w:rPr>
              <w:t>6</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0" w:type="dxa"/>
            <w:vAlign w:val="bottom"/>
          </w:tcPr>
          <w:p>
            <w:pPr>
              <w:spacing w:after="0"/>
              <w:rPr>
                <w:sz w:val="1"/>
                <w:szCs w:val="1"/>
                <w:color w:val="auto"/>
              </w:rPr>
            </w:pPr>
          </w:p>
        </w:tc>
      </w:tr>
      <w:tr>
        <w:trPr>
          <w:trHeight w:val="225"/>
        </w:trPr>
        <w:tc>
          <w:tcPr>
            <w:tcW w:w="6700" w:type="dxa"/>
            <w:vAlign w:val="bottom"/>
            <w:gridSpan w:val="2"/>
          </w:tcPr>
          <w:p>
            <w:pPr>
              <w:ind w:left="220"/>
              <w:spacing w:after="0" w:line="225" w:lineRule="exact"/>
              <w:rPr>
                <w:sz w:val="20"/>
                <w:szCs w:val="20"/>
                <w:color w:val="auto"/>
              </w:rPr>
            </w:pPr>
            <w:r>
              <w:rPr>
                <w:rFonts w:ascii="Times New Roman" w:cs="Times New Roman" w:eastAsia="Times New Roman" w:hAnsi="Times New Roman"/>
                <w:sz w:val="18"/>
                <w:szCs w:val="18"/>
                <w:color w:val="auto"/>
              </w:rPr>
              <w:t>2030 Notes</w:t>
            </w:r>
            <w:r>
              <w:rPr>
                <w:rFonts w:ascii="Times New Roman" w:cs="Times New Roman" w:eastAsia="Times New Roman" w:hAnsi="Times New Roman"/>
                <w:sz w:val="22"/>
                <w:szCs w:val="22"/>
                <w:color w:val="auto"/>
                <w:vertAlign w:val="superscript"/>
              </w:rPr>
              <w:t>7</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18"/>
        </w:trPr>
        <w:tc>
          <w:tcPr>
            <w:tcW w:w="6700" w:type="dxa"/>
            <w:vAlign w:val="bottom"/>
            <w:tcBorders>
              <w:top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notes and securitizations</w:t>
            </w: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11,118</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64"/>
        </w:trPr>
        <w:tc>
          <w:tcPr>
            <w:tcW w:w="6700" w:type="dxa"/>
            <w:vAlign w:val="bottom"/>
            <w:gridSpan w:val="2"/>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 and FHLB Borrowings: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Bank notes payable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25"/>
        </w:trPr>
        <w:tc>
          <w:tcPr>
            <w:tcW w:w="6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FHLB Advances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8"/>
        </w:trPr>
        <w:tc>
          <w:tcPr>
            <w:tcW w:w="6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 bank and FHLB borrowings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51"/>
        </w:trPr>
        <w:tc>
          <w:tcPr>
            <w:tcW w:w="6700" w:type="dxa"/>
            <w:vAlign w:val="bottom"/>
            <w:gridSpan w:val="2"/>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22,595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20,227</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ectPr>
          <w:pgSz w:w="11900" w:h="16838" w:orient="portrait"/>
          <w:cols w:equalWidth="0" w:num="1">
            <w:col w:w="11220"/>
          </w:cols>
          <w:pgMar w:left="320" w:top="123" w:right="359" w:bottom="1440" w:gutter="0" w:footer="0" w:header="0"/>
        </w:sectPr>
      </w:pPr>
    </w:p>
    <w:p>
      <w:pPr>
        <w:spacing w:after="0"/>
        <w:rPr>
          <w:sz w:val="20"/>
          <w:szCs w:val="20"/>
          <w:color w:val="auto"/>
        </w:rPr>
      </w:pPr>
      <w:r>
        <w:rPr>
          <w:rFonts w:ascii="Times New Roman" w:cs="Times New Roman" w:eastAsia="Times New Roman" w:hAnsi="Times New Roman"/>
          <w:sz w:val="11"/>
          <w:szCs w:val="11"/>
          <w:color w:val="auto"/>
        </w:rPr>
        <w:t>1</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3</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5</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6</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On August 1, 2024, the 2024 Notes matured.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31, 2025, the 2025 5.00% Notes matured.</w:t>
      </w:r>
    </w:p>
    <w:p>
      <w:pPr>
        <w:spacing w:after="0" w:line="5" w:lineRule="exact"/>
        <w:rPr>
          <w:sz w:val="20"/>
          <w:szCs w:val="20"/>
          <w:color w:val="auto"/>
        </w:rPr>
      </w:pPr>
    </w:p>
    <w:p>
      <w:pPr>
        <w:ind w:right="220" w:hanging="4"/>
        <w:spacing w:after="0" w:line="245" w:lineRule="auto"/>
        <w:rPr>
          <w:sz w:val="20"/>
          <w:szCs w:val="20"/>
          <w:color w:val="auto"/>
        </w:rPr>
      </w:pPr>
      <w:r>
        <w:rPr>
          <w:rFonts w:ascii="Times New Roman" w:cs="Times New Roman" w:eastAsia="Times New Roman" w:hAnsi="Times New Roman"/>
          <w:sz w:val="18"/>
          <w:szCs w:val="18"/>
          <w:color w:val="auto"/>
        </w:rPr>
        <w:t>Effective December 11, 2024, the Company entered into the Amendment and Exchange Agreements with each of the holders of the 2025 8.125% Notes, pursuant to which the Company and the holders of the 2025 8.125% Notes agreed to exchange the 2025 8.125% Notes for the 2027 Notes.</w:t>
      </w:r>
    </w:p>
    <w:p>
      <w:pPr>
        <w:ind w:right="240" w:hanging="4"/>
        <w:spacing w:after="0" w:line="245" w:lineRule="auto"/>
        <w:rPr>
          <w:sz w:val="20"/>
          <w:szCs w:val="20"/>
          <w:color w:val="auto"/>
        </w:rPr>
      </w:pPr>
      <w:r>
        <w:rPr>
          <w:rFonts w:ascii="Times New Roman" w:cs="Times New Roman" w:eastAsia="Times New Roman" w:hAnsi="Times New Roman"/>
          <w:sz w:val="18"/>
          <w:szCs w:val="18"/>
          <w:color w:val="auto"/>
        </w:rPr>
        <w:t>On August 31, 2023, the Company completed a public offering of $40.0 million aggregate principal amount of 8.00% notes due 2028. The Notes will mature on September 1, 2028. The Notes bear interest at a rate of 8.000% per year, payable quarterly on March 1, June 1, September 1, and December 1 each year, commencing on December 1, 2023.</w:t>
      </w:r>
    </w:p>
    <w:p>
      <w:pPr>
        <w:spacing w:after="0" w:line="1" w:lineRule="exact"/>
        <w:rPr>
          <w:sz w:val="20"/>
          <w:szCs w:val="20"/>
          <w:color w:val="auto"/>
        </w:rPr>
      </w:pPr>
    </w:p>
    <w:p>
      <w:pPr>
        <w:ind w:right="200" w:hanging="4"/>
        <w:spacing w:after="0" w:line="245" w:lineRule="auto"/>
        <w:rPr>
          <w:sz w:val="20"/>
          <w:szCs w:val="20"/>
          <w:color w:val="auto"/>
        </w:rPr>
      </w:pPr>
      <w:r>
        <w:rPr>
          <w:rFonts w:ascii="Times New Roman" w:cs="Times New Roman" w:eastAsia="Times New Roman" w:hAnsi="Times New Roman"/>
          <w:sz w:val="18"/>
          <w:szCs w:val="18"/>
          <w:color w:val="auto"/>
        </w:rPr>
        <w:t>On May 30, 2024, the Company completed a public offering of $62.5 million aggregate principal amount of 8.50% notes due 2029, and on June 3, 2024, the underwriters exercised their option to purchase an additional $9.4 million in aggregate principal amount of the 2029 Notes. The Notes will mature on June 1, 2029. The Notes bear interest at a rate of 8.500% per year, payable quarterly on March 1, June 1, September 1, and December 1 each year, commencing on September 1, 2024.</w:t>
      </w:r>
    </w:p>
    <w:p>
      <w:pPr>
        <w:spacing w:after="0" w:line="1" w:lineRule="exact"/>
        <w:rPr>
          <w:sz w:val="20"/>
          <w:szCs w:val="20"/>
          <w:color w:val="auto"/>
        </w:rPr>
      </w:pPr>
    </w:p>
    <w:p>
      <w:pPr>
        <w:jc w:val="both"/>
        <w:ind w:right="100" w:hanging="4"/>
        <w:spacing w:after="0" w:line="245" w:lineRule="auto"/>
        <w:rPr>
          <w:sz w:val="20"/>
          <w:szCs w:val="20"/>
          <w:color w:val="auto"/>
        </w:rPr>
      </w:pPr>
      <w:r>
        <w:rPr>
          <w:rFonts w:ascii="Times New Roman" w:cs="Times New Roman" w:eastAsia="Times New Roman" w:hAnsi="Times New Roman"/>
          <w:sz w:val="18"/>
          <w:szCs w:val="18"/>
          <w:color w:val="auto"/>
        </w:rPr>
        <w:t>On September 16, 2024, the Company completed a public offering of $75.0 million aggregate principal amount of 8.625% notes due 2029. The Notes will mature on October 15, 2029. The Notes bear interest at a rate of 8.625% per year, payable quarterly on January 15, April 15, July 15, and October 15 each year, commencing on January 15, 2025.</w:t>
      </w:r>
    </w:p>
    <w:p>
      <w:pPr>
        <w:spacing w:after="0" w:line="1" w:lineRule="exact"/>
        <w:rPr>
          <w:sz w:val="20"/>
          <w:szCs w:val="20"/>
          <w:color w:val="auto"/>
        </w:rPr>
      </w:pPr>
    </w:p>
    <w:p>
      <w:pPr>
        <w:ind w:right="60" w:hanging="4"/>
        <w:spacing w:after="0" w:line="247" w:lineRule="auto"/>
        <w:rPr>
          <w:sz w:val="20"/>
          <w:szCs w:val="20"/>
          <w:color w:val="auto"/>
        </w:rPr>
      </w:pPr>
      <w:r>
        <w:rPr>
          <w:rFonts w:ascii="Times New Roman" w:cs="Times New Roman" w:eastAsia="Times New Roman" w:hAnsi="Times New Roman"/>
          <w:sz w:val="18"/>
          <w:szCs w:val="18"/>
          <w:color w:val="auto"/>
        </w:rPr>
        <w:t>On March 19, 2025, the Company completed an exempt offering of $30.0 million aggregate principal amount of notes due 2030. The Notes will mature on April 1, 2030. The Notes bear interest at a rate of 8.375% per year, payable semiannually on April 1 and October 1 each year, commencing on October 1, 2025.</w:t>
      </w:r>
    </w:p>
    <w:p>
      <w:pPr>
        <w:spacing w:after="0" w:line="200" w:lineRule="exact"/>
        <w:rPr>
          <w:sz w:val="20"/>
          <w:szCs w:val="20"/>
          <w:color w:val="auto"/>
        </w:rPr>
      </w:pPr>
    </w:p>
    <w:p>
      <w:pPr>
        <w:sectPr>
          <w:pgSz w:w="11900" w:h="16838" w:orient="portrait"/>
          <w:cols w:equalWidth="0" w:num="2">
            <w:col w:w="60" w:space="180"/>
            <w:col w:w="10980"/>
          </w:cols>
          <w:pgMar w:left="320" w:top="123" w:right="359" w:bottom="1440" w:gutter="0" w:footer="0" w:header="0"/>
          <w:type w:val="continuous"/>
        </w:sectPr>
      </w:pPr>
    </w:p>
    <w:p>
      <w:pPr>
        <w:spacing w:after="0" w:line="16"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18"/>
          <w:szCs w:val="18"/>
          <w:color w:val="auto"/>
        </w:rPr>
        <w:t>The increase in interest expense period over period is primarily due to the Company’s continued growth in deposits that increased interest expense by $2.5 million. In addition, there was additional interest expense on the 2027, 2029 8.50%, and 2029 8.625% Notes of $1.0 million, $1.1 million and $1.7 million, respectively. The increase was partially offset by a reduction in Notes payable - Securitization Trusts of $2.5 million, and the 2025 8.125% Notes of $1.1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Credit Losses</w:t>
      </w:r>
    </w:p>
    <w:p>
      <w:pPr>
        <w:spacing w:after="0" w:line="21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The provision for loan and lease credit losses represents the amount necessary to be charged against the current period’s earnings to maintain the ACL on loans at a level that the Company believes is appropriate in relation to the estimated losses inherent in the loan portfolio.</w:t>
      </w:r>
    </w:p>
    <w:p>
      <w:pPr>
        <w:spacing w:after="0" w:line="169" w:lineRule="exact"/>
        <w:rPr>
          <w:sz w:val="20"/>
          <w:szCs w:val="20"/>
          <w:color w:val="auto"/>
        </w:rPr>
      </w:pPr>
    </w:p>
    <w:p>
      <w:pPr>
        <w:ind w:right="60"/>
        <w:spacing w:after="0" w:line="300" w:lineRule="auto"/>
        <w:rPr>
          <w:sz w:val="20"/>
          <w:szCs w:val="20"/>
          <w:color w:val="auto"/>
        </w:rPr>
      </w:pPr>
      <w:r>
        <w:rPr>
          <w:rFonts w:ascii="Times New Roman" w:cs="Times New Roman" w:eastAsia="Times New Roman" w:hAnsi="Times New Roman"/>
          <w:sz w:val="17"/>
          <w:szCs w:val="17"/>
          <w:color w:val="auto"/>
        </w:rPr>
        <w:t>For the three months ended June 30, 2025 and 2024, there was a provision for loan credit losses of $9.1 million and $5.8 million, respectively. The increase was due to an increase in loans held for investment at amortized cost, specifically SBA 7(a) loans, as well as a sequential build of the provision year over year.</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Income and Margin</w:t>
      </w:r>
    </w:p>
    <w:p>
      <w:pPr>
        <w:spacing w:after="0" w:line="24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Average Balances and Yields. </w:t>
      </w:r>
      <w:r>
        <w:rPr>
          <w:rFonts w:ascii="Times New Roman" w:cs="Times New Roman" w:eastAsia="Times New Roman" w:hAnsi="Times New Roman"/>
          <w:sz w:val="18"/>
          <w:szCs w:val="18"/>
          <w:color w:val="auto"/>
        </w:rPr>
        <w:t>The following table presents information regarding average balances for assets and liabilities, the total dollar amounts of interest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and dividends from average interest-earning assets, the total dollar amount of interest expense on average interest-bearing liabilities, and the resulting average yields and costs. The yields and costs for the periods indicated are derived by dividing the income or expense by the average balances for assets or liabilities, respectively, for the periods presented and annualizing that result. Loan fees are included in interest income on loans.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8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8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ind w:left="80"/>
              <w:spacing w:after="0" w:line="165" w:lineRule="exact"/>
              <w:rPr>
                <w:sz w:val="20"/>
                <w:szCs w:val="20"/>
                <w:color w:val="auto"/>
              </w:rPr>
            </w:pPr>
            <w:r>
              <w:rPr>
                <w:rFonts w:ascii="Times New Roman" w:cs="Times New Roman" w:eastAsia="Times New Roman" w:hAnsi="Times New Roman"/>
                <w:sz w:val="18"/>
                <w:szCs w:val="18"/>
                <w:b w:val="1"/>
                <w:bCs w:val="1"/>
                <w:color w:val="auto"/>
              </w:rPr>
              <w:t>Average</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line="165" w:lineRule="exact"/>
              <w:rPr>
                <w:sz w:val="20"/>
                <w:szCs w:val="20"/>
                <w:color w:val="auto"/>
              </w:rPr>
            </w:pPr>
            <w:r>
              <w:rPr>
                <w:rFonts w:ascii="Times New Roman" w:cs="Times New Roman" w:eastAsia="Times New Roman" w:hAnsi="Times New Roman"/>
                <w:sz w:val="18"/>
                <w:szCs w:val="18"/>
                <w:b w:val="1"/>
                <w:bCs w:val="1"/>
                <w:color w:val="auto"/>
                <w:w w:val="94"/>
              </w:rPr>
              <w:t>Average Yield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ind w:left="80"/>
              <w:spacing w:after="0" w:line="165" w:lineRule="exact"/>
              <w:rPr>
                <w:sz w:val="20"/>
                <w:szCs w:val="20"/>
                <w:color w:val="auto"/>
              </w:rPr>
            </w:pPr>
            <w:r>
              <w:rPr>
                <w:rFonts w:ascii="Times New Roman" w:cs="Times New Roman" w:eastAsia="Times New Roman" w:hAnsi="Times New Roman"/>
                <w:sz w:val="18"/>
                <w:szCs w:val="18"/>
                <w:b w:val="1"/>
                <w:bCs w:val="1"/>
                <w:color w:val="auto"/>
              </w:rPr>
              <w:t>Average</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spacing w:after="0" w:line="165" w:lineRule="exact"/>
              <w:rPr>
                <w:sz w:val="20"/>
                <w:szCs w:val="20"/>
                <w:color w:val="auto"/>
              </w:rPr>
            </w:pPr>
            <w:r>
              <w:rPr>
                <w:rFonts w:ascii="Times New Roman" w:cs="Times New Roman" w:eastAsia="Times New Roman" w:hAnsi="Times New Roman"/>
                <w:sz w:val="18"/>
                <w:szCs w:val="18"/>
                <w:b w:val="1"/>
                <w:bCs w:val="1"/>
                <w:color w:val="auto"/>
                <w:w w:val="94"/>
              </w:rPr>
              <w:t>Average Yield</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60" w:type="dxa"/>
            <w:vAlign w:val="bottom"/>
          </w:tcPr>
          <w:p>
            <w:pPr>
              <w:spacing w:after="0"/>
              <w:rPr>
                <w:sz w:val="20"/>
                <w:szCs w:val="20"/>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08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 Rate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60" w:type="dxa"/>
            <w:vAlign w:val="bottom"/>
          </w:tcPr>
          <w:p>
            <w:pPr>
              <w:spacing w:after="0"/>
              <w:rPr>
                <w:sz w:val="20"/>
                <w:szCs w:val="20"/>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 Rate</w:t>
            </w:r>
          </w:p>
        </w:tc>
        <w:tc>
          <w:tcPr>
            <w:tcW w:w="0" w:type="dxa"/>
            <w:vAlign w:val="bottom"/>
          </w:tcPr>
          <w:p>
            <w:pPr>
              <w:spacing w:after="0"/>
              <w:rPr>
                <w:sz w:val="1"/>
                <w:szCs w:val="1"/>
                <w:color w:val="auto"/>
              </w:rPr>
            </w:pPr>
          </w:p>
        </w:tc>
      </w:tr>
      <w:tr>
        <w:trPr>
          <w:trHeight w:val="205"/>
        </w:trPr>
        <w:tc>
          <w:tcPr>
            <w:tcW w:w="3820" w:type="dxa"/>
            <w:vAlign w:val="bottom"/>
            <w:tcBorders>
              <w:top w:val="single" w:sz="8" w:color="CCEEFF"/>
            </w:tcBorders>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Interest-earning assets:</w:t>
            </w: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interest-earning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235,248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5.03 %</w:t>
            </w:r>
          </w:p>
        </w:tc>
        <w:tc>
          <w:tcPr>
            <w:tcW w:w="30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171,932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5.16 %</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securities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4.66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held for sale</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447,224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8,902</w:t>
            </w:r>
          </w:p>
        </w:tc>
        <w:tc>
          <w:tcPr>
            <w:tcW w:w="100" w:type="dxa"/>
            <w:vAlign w:val="bottom"/>
          </w:tcPr>
          <w:p>
            <w:pPr>
              <w:spacing w:after="0"/>
              <w:rPr>
                <w:sz w:val="19"/>
                <w:szCs w:val="19"/>
                <w:color w:val="auto"/>
              </w:rPr>
            </w:pPr>
          </w:p>
        </w:tc>
        <w:tc>
          <w:tcPr>
            <w:tcW w:w="10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10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10.90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 for investment</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1,178,612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24,452</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926,555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20,638</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8.96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1,875,387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36,518</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1,356,956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29,353</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8.70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 on loans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Noninterest earning assets</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294,783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210,229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2,131,477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1,551,009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Interest-bearing liabilities: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Demand</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188,148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0.66 %</w:t>
            </w:r>
          </w:p>
        </w:tc>
        <w:tc>
          <w:tcPr>
            <w:tcW w:w="30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0.80 %</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Savings and NOW</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427,542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5.09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Pr>
          <w:p>
            <w:pPr>
              <w:spacing w:after="0"/>
              <w:rPr>
                <w:sz w:val="19"/>
                <w:szCs w:val="19"/>
                <w:color w:val="auto"/>
              </w:rPr>
            </w:pPr>
          </w:p>
        </w:tc>
        <w:tc>
          <w:tcPr>
            <w:tcW w:w="10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4.23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Time</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398,890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4,586</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260,795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5.16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deposits</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1,063,357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9,357</w:t>
            </w:r>
          </w:p>
        </w:tc>
        <w:tc>
          <w:tcPr>
            <w:tcW w:w="100" w:type="dxa"/>
            <w:vAlign w:val="bottom"/>
          </w:tcPr>
          <w:p>
            <w:pPr>
              <w:spacing w:after="0"/>
              <w:rPr>
                <w:sz w:val="18"/>
                <w:szCs w:val="18"/>
                <w:color w:val="auto"/>
              </w:rPr>
            </w:pPr>
          </w:p>
        </w:tc>
        <w:tc>
          <w:tcPr>
            <w:tcW w:w="10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569,360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6,865</w:t>
            </w:r>
          </w:p>
        </w:tc>
        <w:tc>
          <w:tcPr>
            <w:tcW w:w="100" w:type="dxa"/>
            <w:vAlign w:val="bottom"/>
          </w:tcPr>
          <w:p>
            <w:pPr>
              <w:spacing w:after="0"/>
              <w:rPr>
                <w:sz w:val="18"/>
                <w:szCs w:val="18"/>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4.85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694,505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13,238</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656,113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13,362</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8.19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1,757,862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22,595</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1,225,473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20,227</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6.64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Noninterest-bearing liabilities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2,131,477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1,551,009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820" w:type="dxa"/>
            <w:vAlign w:val="bottom"/>
            <w:tcBorders>
              <w:bottom w:val="single" w:sz="8" w:color="CCEEFF"/>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Net interest income and interest rate spread</w:t>
            </w: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13,923</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2.65 %</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9,126</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2.06 %</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8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Net interest margin</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2.98 %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2.70 %</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382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5"/>
                <w:szCs w:val="15"/>
                <w:color w:val="auto"/>
              </w:rPr>
              <w:t>Ratio of average interest-earning assets to average</w:t>
            </w: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106.69 %</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110.73 %</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bearing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jc w:val="right"/>
              <w:ind w:right="332"/>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3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8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Rate/Volume Analysis</w:t>
      </w:r>
    </w:p>
    <w:p>
      <w:pPr>
        <w:spacing w:after="0" w:line="246"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7"/>
          <w:szCs w:val="17"/>
          <w:color w:val="auto"/>
        </w:rPr>
        <w:t>The following table sets forth the effects of changing rates and volumes on net interest income. The rate column shows the effects attributable to changes in rate (changes in rate multiplied by prior volume). The volume column shows the effects attributable to changes in volume (changes in volume multiplied by prior rate). The total column represents the sum of the prior columns. For purposes of this table, increases or decreases attributable to changes in both rate and volume that cannot be segregated have been allocated proportionally based on the changes due to rate and the changes due to volume.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5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6"/>
          </w:tcPr>
          <w:p>
            <w:pPr>
              <w:jc w:val="center"/>
              <w:ind w:left="632"/>
              <w:spacing w:after="0"/>
              <w:rPr>
                <w:sz w:val="20"/>
                <w:szCs w:val="20"/>
                <w:color w:val="auto"/>
              </w:rPr>
            </w:pPr>
            <w:r>
              <w:rPr>
                <w:rFonts w:ascii="Times New Roman" w:cs="Times New Roman" w:eastAsia="Times New Roman" w:hAnsi="Times New Roman"/>
                <w:sz w:val="18"/>
                <w:szCs w:val="18"/>
                <w:b w:val="1"/>
                <w:bCs w:val="1"/>
                <w:color w:val="auto"/>
                <w:w w:val="97"/>
              </w:rPr>
              <w:t>Three Months Ended June 30,</w:t>
            </w:r>
          </w:p>
        </w:tc>
        <w:tc>
          <w:tcPr>
            <w:tcW w:w="1060" w:type="dxa"/>
            <w:vAlign w:val="bottom"/>
            <w:tcBorders>
              <w:bottom w:val="single" w:sz="8" w:color="auto"/>
            </w:tcBorders>
          </w:tcPr>
          <w:p>
            <w:pPr>
              <w:spacing w:after="0"/>
              <w:rPr>
                <w:sz w:val="20"/>
                <w:szCs w:val="20"/>
                <w:color w:val="auto"/>
              </w:rPr>
            </w:pPr>
          </w:p>
        </w:tc>
      </w:tr>
      <w:tr>
        <w:trPr>
          <w:trHeight w:val="218"/>
        </w:trPr>
        <w:tc>
          <w:tcPr>
            <w:tcW w:w="65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2025 vs. 2024</w:t>
            </w: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8"/>
        </w:trPr>
        <w:tc>
          <w:tcPr>
            <w:tcW w:w="65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6"/>
          </w:tcPr>
          <w:p>
            <w:pPr>
              <w:jc w:val="center"/>
              <w:ind w:left="632"/>
              <w:spacing w:after="0"/>
              <w:rPr>
                <w:sz w:val="20"/>
                <w:szCs w:val="20"/>
                <w:color w:val="auto"/>
              </w:rPr>
            </w:pPr>
            <w:r>
              <w:rPr>
                <w:rFonts w:ascii="Times New Roman" w:cs="Times New Roman" w:eastAsia="Times New Roman" w:hAnsi="Times New Roman"/>
                <w:sz w:val="18"/>
                <w:szCs w:val="18"/>
                <w:b w:val="1"/>
                <w:bCs w:val="1"/>
                <w:color w:val="auto"/>
                <w:w w:val="98"/>
              </w:rPr>
              <w:t>Increase (Decrease) Due to</w:t>
            </w:r>
          </w:p>
        </w:tc>
        <w:tc>
          <w:tcPr>
            <w:tcW w:w="1060" w:type="dxa"/>
            <w:vAlign w:val="bottom"/>
            <w:tcBorders>
              <w:bottom w:val="single" w:sz="8" w:color="auto"/>
            </w:tcBorders>
          </w:tcPr>
          <w:p>
            <w:pPr>
              <w:spacing w:after="0"/>
              <w:rPr>
                <w:sz w:val="18"/>
                <w:szCs w:val="18"/>
                <w:color w:val="auto"/>
              </w:rPr>
            </w:pPr>
          </w:p>
        </w:tc>
      </w:tr>
      <w:tr>
        <w:trPr>
          <w:trHeight w:val="218"/>
        </w:trPr>
        <w:tc>
          <w:tcPr>
            <w:tcW w:w="6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Rate</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Volume</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5"/>
        </w:trPr>
        <w:tc>
          <w:tcPr>
            <w:tcW w:w="65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Interest income:</w:t>
            </w: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r>
      <w:tr>
        <w:trPr>
          <w:trHeight w:val="225"/>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interest-earning assets</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r>
      <w:tr>
        <w:trPr>
          <w:trHeight w:val="225"/>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securities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25"/>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 for sale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w:t>
            </w:r>
          </w:p>
        </w:tc>
      </w:tr>
      <w:tr>
        <w:trPr>
          <w:trHeight w:val="225"/>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Loans held for investment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8,136</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3,814</w:t>
            </w:r>
          </w:p>
        </w:tc>
      </w:tr>
      <w:tr>
        <w:trPr>
          <w:trHeight w:val="218"/>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income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22,136</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7,165</w:t>
            </w:r>
          </w:p>
        </w:tc>
      </w:tr>
      <w:tr>
        <w:trPr>
          <w:trHeight w:val="264"/>
        </w:trPr>
        <w:tc>
          <w:tcPr>
            <w:tcW w:w="6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25"/>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5"/>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Demand</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25"/>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Savings and NOW</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r>
      <w:tr>
        <w:trPr>
          <w:trHeight w:val="225"/>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25"/>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r>
      <w:tr>
        <w:trPr>
          <w:trHeight w:val="225"/>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18"/>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9,533</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w:t>
            </w:r>
          </w:p>
        </w:tc>
      </w:tr>
      <w:tr>
        <w:trPr>
          <w:trHeight w:val="21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interest income</w:t>
            </w: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12,603</w:t>
            </w:r>
          </w:p>
        </w:tc>
        <w:tc>
          <w:tcPr>
            <w:tcW w:w="80" w:type="dxa"/>
            <w:vAlign w:val="bottom"/>
          </w:tcPr>
          <w:p>
            <w:pPr>
              <w:spacing w:after="0"/>
              <w:rPr>
                <w:sz w:val="18"/>
                <w:szCs w:val="18"/>
                <w:color w:val="auto"/>
              </w:rPr>
            </w:pPr>
          </w:p>
        </w:tc>
        <w:tc>
          <w:tcPr>
            <w:tcW w:w="4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4,797</w:t>
            </w:r>
          </w:p>
        </w:tc>
      </w:tr>
      <w:tr>
        <w:trPr>
          <w:trHeight w:val="20"/>
        </w:trPr>
        <w:tc>
          <w:tcPr>
            <w:tcW w:w="6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Non-Interest Income</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63"/>
        </w:trPr>
        <w:tc>
          <w:tcPr>
            <w:tcW w:w="4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8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60" w:type="dxa"/>
            <w:vAlign w:val="bottom"/>
          </w:tcPr>
          <w:p>
            <w:pPr>
              <w:spacing w:after="0"/>
              <w:rPr>
                <w:sz w:val="24"/>
                <w:szCs w:val="24"/>
                <w:color w:val="auto"/>
              </w:rPr>
            </w:pPr>
          </w:p>
        </w:tc>
        <w:tc>
          <w:tcPr>
            <w:tcW w:w="2920" w:type="dxa"/>
            <w:vAlign w:val="bottom"/>
            <w:gridSpan w:val="3"/>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2025/2024 Increase/(Decrease)</w:t>
            </w:r>
          </w:p>
        </w:tc>
      </w:tr>
      <w:tr>
        <w:trPr>
          <w:trHeight w:val="218"/>
        </w:trPr>
        <w:tc>
          <w:tcPr>
            <w:tcW w:w="49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20" w:type="dxa"/>
            <w:vAlign w:val="bottom"/>
            <w:tcBorders>
              <w:top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18"/>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income</w:t>
            </w: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63.0 %</w:t>
            </w:r>
          </w:p>
        </w:tc>
      </w:tr>
      <w:tr>
        <w:trPr>
          <w:trHeight w:val="225"/>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on loan servicing assets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80" w:type="dxa"/>
            <w:vAlign w:val="bottom"/>
          </w:tcPr>
          <w:p>
            <w:pPr>
              <w:spacing w:after="0"/>
              <w:rPr>
                <w:sz w:val="19"/>
                <w:szCs w:val="19"/>
                <w:color w:val="auto"/>
              </w:rPr>
            </w:pP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133.9</w:t>
            </w:r>
          </w:p>
        </w:tc>
      </w:tr>
      <w:tr>
        <w:trPr>
          <w:trHeight w:val="225"/>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income</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31.4</w:t>
            </w:r>
          </w:p>
        </w:tc>
      </w:tr>
      <w:tr>
        <w:trPr>
          <w:trHeight w:val="225"/>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gains on sales of loans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(7,038)</w:t>
            </w:r>
          </w:p>
        </w:tc>
        <w:tc>
          <w:tcPr>
            <w:tcW w:w="80" w:type="dxa"/>
            <w:vAlign w:val="bottom"/>
          </w:tcPr>
          <w:p>
            <w:pPr>
              <w:spacing w:after="0"/>
              <w:rPr>
                <w:sz w:val="19"/>
                <w:szCs w:val="19"/>
                <w:color w:val="auto"/>
              </w:rPr>
            </w:pPr>
          </w:p>
        </w:tc>
        <w:tc>
          <w:tcPr>
            <w:tcW w:w="16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(31.2)</w:t>
            </w:r>
          </w:p>
        </w:tc>
      </w:tr>
      <w:tr>
        <w:trPr>
          <w:trHeight w:val="225"/>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on residuals in securitizations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31,465</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100.0</w:t>
            </w:r>
          </w:p>
        </w:tc>
      </w:tr>
      <w:tr>
        <w:trPr>
          <w:trHeight w:val="225"/>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on loans under the fair value option</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(8,867)</w:t>
            </w:r>
          </w:p>
        </w:tc>
        <w:tc>
          <w:tcPr>
            <w:tcW w:w="80" w:type="dxa"/>
            <w:vAlign w:val="bottom"/>
          </w:tcPr>
          <w:p>
            <w:pPr>
              <w:spacing w:after="0"/>
              <w:rPr>
                <w:sz w:val="19"/>
                <w:szCs w:val="19"/>
                <w:color w:val="auto"/>
              </w:rPr>
            </w:pP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306.4</w:t>
            </w:r>
          </w:p>
        </w:tc>
      </w:tr>
      <w:tr>
        <w:trPr>
          <w:trHeight w:val="225"/>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IT support income</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(5,174)</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(100.0)</w:t>
            </w:r>
          </w:p>
        </w:tc>
      </w:tr>
      <w:tr>
        <w:trPr>
          <w:trHeight w:val="225"/>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Electronic payment processing income</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80" w:type="dxa"/>
            <w:vAlign w:val="bottom"/>
          </w:tcPr>
          <w:p>
            <w:pPr>
              <w:spacing w:after="0"/>
              <w:rPr>
                <w:sz w:val="19"/>
                <w:szCs w:val="19"/>
                <w:color w:val="auto"/>
              </w:rPr>
            </w:pPr>
          </w:p>
        </w:tc>
        <w:tc>
          <w:tcPr>
            <w:tcW w:w="16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(7.2)</w:t>
            </w:r>
          </w:p>
        </w:tc>
      </w:tr>
      <w:tr>
        <w:trPr>
          <w:trHeight w:val="225"/>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noninterest income</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w:t>
            </w:r>
          </w:p>
        </w:tc>
        <w:tc>
          <w:tcPr>
            <w:tcW w:w="8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(38.6)</w:t>
            </w:r>
          </w:p>
        </w:tc>
      </w:tr>
      <w:tr>
        <w:trPr>
          <w:trHeight w:val="218"/>
        </w:trPr>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noninterest income</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56,275</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52,020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4,255</w:t>
            </w:r>
          </w:p>
        </w:tc>
        <w:tc>
          <w:tcPr>
            <w:tcW w:w="8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8.2 %</w:t>
            </w:r>
          </w:p>
        </w:tc>
      </w:tr>
      <w:tr>
        <w:trPr>
          <w:trHeight w:val="20"/>
        </w:trPr>
        <w:tc>
          <w:tcPr>
            <w:tcW w:w="4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Income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June 30, 2025 and 2024, dividend income was dependent on the earnings of our joint ventures.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on Loan Servicing Assets</w:t>
      </w:r>
    </w:p>
    <w:p>
      <w:pPr>
        <w:spacing w:after="0" w:line="207"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7"/>
          <w:szCs w:val="17"/>
          <w:color w:val="auto"/>
        </w:rPr>
        <w:t>The Company accounts for servicing assets in accordance with ASC Topic 860-50 - Transfers and Servicing - Servicing Assets and Liabilities. The Company earns servicing fees from the guaranteed portions of SBA 7(a) loans it originates and sells, from the SBA 7(a) loan securitizations sponsored by NSBF, and from servicing the ALP portfolios in securitizations sponsored by NCL JV, TSO JV and Newtek ALP Holdings. Servicing assets for loans originated by the Company’s nonbank subsidiaries are measured at FV at each reporting date and the Company reports changes in the FV of servicing assets in earnings in the period in which the changes occur. The valuation model for servicing assets incorporates assumptions including, but not limited to, servicing costs, discount rate, prepayment rate, and default rate. Considerable judgment is required to estimate the fair value of servicing assets and, as such, these assets are classified as Level 3 in our fair value hierarchy. Servicing assets for loans originated by Newtek Bank are measured at LCM and amortized based on their estimated life, and impairment is recorded to the extent the amortized cost exceeds the asset’s FV. Net loss on loan servicing assets is shown net of amortization expense.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larger loss in Net loss on loan servicing assets is due to the decrease in NSBF’s total portfolio of loans during the wind-down.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Servicing Income</w:t>
      </w:r>
    </w:p>
    <w:p>
      <w:pPr>
        <w:spacing w:after="0" w:line="141"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8"/>
          <w:szCs w:val="18"/>
          <w:color w:val="auto"/>
        </w:rPr>
        <w:t>The increase in servicing income was related to an increase of $164.2 million in the average total loan portfolio for which we earn servicing income period over period.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Gains on Sales of Loans</w:t>
            </w: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9"/>
        </w:trPr>
        <w:tc>
          <w:tcPr>
            <w:tcW w:w="678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8"/>
              </w:rPr>
              <w:t>Net gains on sales of loans for the three months ended June 30, 2025 and 2024 were as follows:</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90"/>
        </w:trPr>
        <w:tc>
          <w:tcPr>
            <w:tcW w:w="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4"/>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w w:val="97"/>
              </w:rPr>
              <w:t>June 30, 2025</w:t>
            </w:r>
          </w:p>
        </w:tc>
        <w:tc>
          <w:tcPr>
            <w:tcW w:w="100" w:type="dxa"/>
            <w:vAlign w:val="bottom"/>
          </w:tcPr>
          <w:p>
            <w:pPr>
              <w:spacing w:after="0"/>
              <w:rPr>
                <w:sz w:val="18"/>
                <w:szCs w:val="18"/>
                <w:color w:val="auto"/>
              </w:rPr>
            </w:pPr>
          </w:p>
        </w:tc>
        <w:tc>
          <w:tcPr>
            <w:tcW w:w="2540" w:type="dxa"/>
            <w:vAlign w:val="bottom"/>
            <w:tcBorders>
              <w:bottom w:val="single" w:sz="8" w:color="auto"/>
            </w:tcBorders>
            <w:gridSpan w:val="4"/>
          </w:tcPr>
          <w:p>
            <w:pPr>
              <w:ind w:left="760"/>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44"/>
        </w:trPr>
        <w:tc>
          <w:tcPr>
            <w:tcW w:w="20" w:type="dxa"/>
            <w:vAlign w:val="bottom"/>
          </w:tcPr>
          <w:p>
            <w:pPr>
              <w:spacing w:after="0"/>
              <w:rPr>
                <w:sz w:val="21"/>
                <w:szCs w:val="21"/>
                <w:color w:val="auto"/>
              </w:rPr>
            </w:pPr>
          </w:p>
        </w:tc>
        <w:tc>
          <w:tcPr>
            <w:tcW w:w="5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25"/>
        </w:trPr>
        <w:tc>
          <w:tcPr>
            <w:tcW w:w="20" w:type="dxa"/>
            <w:vAlign w:val="bottom"/>
          </w:tcPr>
          <w:p>
            <w:pPr>
              <w:spacing w:after="0"/>
              <w:rPr>
                <w:sz w:val="19"/>
                <w:szCs w:val="19"/>
                <w:color w:val="auto"/>
              </w:rPr>
            </w:pPr>
          </w:p>
        </w:tc>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recognized on sales of loans</w:t>
            </w:r>
          </w:p>
        </w:tc>
        <w:tc>
          <w:tcPr>
            <w:tcW w:w="1100" w:type="dxa"/>
            <w:vAlign w:val="bottom"/>
            <w:gridSpan w:val="2"/>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15,538</w:t>
            </w:r>
          </w:p>
        </w:tc>
        <w:tc>
          <w:tcPr>
            <w:tcW w:w="1020" w:type="dxa"/>
            <w:vAlign w:val="bottom"/>
            <w:gridSpan w:val="2"/>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23,976</w:t>
            </w:r>
          </w:p>
        </w:tc>
      </w:tr>
      <w:tr>
        <w:trPr>
          <w:trHeight w:val="225"/>
        </w:trPr>
        <w:tc>
          <w:tcPr>
            <w:tcW w:w="20" w:type="dxa"/>
            <w:vAlign w:val="bottom"/>
          </w:tcPr>
          <w:p>
            <w:pPr>
              <w:spacing w:after="0"/>
              <w:rPr>
                <w:sz w:val="19"/>
                <w:szCs w:val="19"/>
                <w:color w:val="auto"/>
              </w:rPr>
            </w:pPr>
          </w:p>
        </w:tc>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Losses recognized on sales of loans</w:t>
            </w:r>
          </w:p>
        </w:tc>
        <w:tc>
          <w:tcPr>
            <w:tcW w:w="36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18"/>
                <w:szCs w:val="18"/>
                <w:color w:val="auto"/>
                <w:w w:val="98"/>
              </w:rPr>
              <w:t>(1,412)</w:t>
            </w:r>
          </w:p>
        </w:tc>
      </w:tr>
      <w:tr>
        <w:trPr>
          <w:trHeight w:val="243"/>
        </w:trPr>
        <w:tc>
          <w:tcPr>
            <w:tcW w:w="20" w:type="dxa"/>
            <w:vAlign w:val="bottom"/>
          </w:tcPr>
          <w:p>
            <w:pPr>
              <w:spacing w:after="0"/>
              <w:rPr>
                <w:sz w:val="20"/>
                <w:szCs w:val="20"/>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gains on sales of loans</w:t>
            </w:r>
          </w:p>
        </w:tc>
        <w:tc>
          <w:tcPr>
            <w:tcW w:w="3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15,526</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22,564</w:t>
            </w:r>
          </w:p>
        </w:tc>
      </w:tr>
      <w:tr>
        <w:trPr>
          <w:trHeight w:val="20"/>
        </w:trPr>
        <w:tc>
          <w:tcPr>
            <w:tcW w:w="20" w:type="dxa"/>
            <w:vAlign w:val="bottom"/>
          </w:tcPr>
          <w:p>
            <w:pPr>
              <w:spacing w:after="0" w:line="20" w:lineRule="exact"/>
              <w:rPr>
                <w:sz w:val="1"/>
                <w:szCs w:val="1"/>
                <w:color w:val="auto"/>
              </w:rPr>
            </w:pPr>
          </w:p>
        </w:tc>
        <w:tc>
          <w:tcPr>
            <w:tcW w:w="5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r>
      <w:tr>
        <w:trPr>
          <w:trHeight w:val="554"/>
        </w:trPr>
        <w:tc>
          <w:tcPr>
            <w:tcW w:w="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4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00" w:type="dxa"/>
            <w:vAlign w:val="bottom"/>
          </w:tcPr>
          <w:p>
            <w:pPr>
              <w:spacing w:after="0"/>
              <w:rPr>
                <w:sz w:val="18"/>
                <w:szCs w:val="18"/>
                <w:color w:val="auto"/>
              </w:rPr>
            </w:pPr>
          </w:p>
        </w:tc>
        <w:tc>
          <w:tcPr>
            <w:tcW w:w="2380" w:type="dxa"/>
            <w:vAlign w:val="bottom"/>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60" w:type="dxa"/>
            <w:vAlign w:val="bottom"/>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100" w:type="dxa"/>
            <w:vAlign w:val="bottom"/>
            <w:tcBorders>
              <w:top w:val="single" w:sz="8" w:color="auto"/>
            </w:tcBorders>
            <w:gridSpan w:val="2"/>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 of Loans</w:t>
            </w:r>
          </w:p>
        </w:tc>
        <w:tc>
          <w:tcPr>
            <w:tcW w:w="3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 Amount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97"/>
              </w:rPr>
              <w:t># of Loans</w:t>
            </w: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 Amount</w:t>
            </w:r>
          </w:p>
        </w:tc>
        <w:tc>
          <w:tcPr>
            <w:tcW w:w="160" w:type="dxa"/>
            <w:vAlign w:val="bottom"/>
          </w:tcPr>
          <w:p>
            <w:pPr>
              <w:spacing w:after="0"/>
              <w:rPr>
                <w:sz w:val="18"/>
                <w:szCs w:val="18"/>
                <w:color w:val="auto"/>
              </w:rPr>
            </w:pPr>
          </w:p>
        </w:tc>
      </w:tr>
      <w:tr>
        <w:trPr>
          <w:trHeight w:val="225"/>
        </w:trPr>
        <w:tc>
          <w:tcPr>
            <w:tcW w:w="20" w:type="dxa"/>
            <w:vAlign w:val="bottom"/>
            <w:shd w:val="clear" w:color="auto" w:fill="CCEEFF"/>
          </w:tcPr>
          <w:p>
            <w:pPr>
              <w:spacing w:after="0"/>
              <w:rPr>
                <w:sz w:val="19"/>
                <w:szCs w:val="19"/>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SBA loans originated</w:t>
            </w: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6"/>
              </w:rPr>
              <w:t>499</w:t>
            </w:r>
          </w:p>
        </w:tc>
        <w:tc>
          <w:tcPr>
            <w:tcW w:w="3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205,594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604</w:t>
            </w:r>
          </w:p>
        </w:tc>
        <w:tc>
          <w:tcPr>
            <w:tcW w:w="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226,513</w:t>
            </w:r>
          </w:p>
        </w:tc>
        <w:tc>
          <w:tcPr>
            <w:tcW w:w="160" w:type="dxa"/>
            <w:vAlign w:val="bottom"/>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SBA guaranteed loans sold</w:t>
            </w: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w w:val="96"/>
              </w:rPr>
              <w:t>243</w:t>
            </w:r>
          </w:p>
        </w:tc>
        <w:tc>
          <w:tcPr>
            <w:tcW w:w="38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42,140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516</w:t>
            </w:r>
          </w:p>
        </w:tc>
        <w:tc>
          <w:tcPr>
            <w:tcW w:w="30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169,152</w:t>
            </w:r>
          </w:p>
        </w:tc>
        <w:tc>
          <w:tcPr>
            <w:tcW w:w="160" w:type="dxa"/>
            <w:vAlign w:val="bottom"/>
          </w:tcPr>
          <w:p>
            <w:pPr>
              <w:spacing w:after="0"/>
              <w:rPr>
                <w:sz w:val="19"/>
                <w:szCs w:val="19"/>
                <w:color w:val="auto"/>
              </w:rPr>
            </w:pPr>
          </w:p>
        </w:tc>
      </w:tr>
      <w:tr>
        <w:trPr>
          <w:trHeight w:val="225"/>
        </w:trPr>
        <w:tc>
          <w:tcPr>
            <w:tcW w:w="20" w:type="dxa"/>
            <w:vAlign w:val="bottom"/>
            <w:shd w:val="clear" w:color="auto" w:fill="CCEEFF"/>
          </w:tcPr>
          <w:p>
            <w:pPr>
              <w:spacing w:after="0"/>
              <w:rPr>
                <w:sz w:val="19"/>
                <w:szCs w:val="19"/>
                <w:color w:val="auto"/>
              </w:rPr>
            </w:pPr>
          </w:p>
        </w:tc>
        <w:tc>
          <w:tcPr>
            <w:tcW w:w="5660" w:type="dxa"/>
            <w:vAlign w:val="bottom"/>
            <w:shd w:val="clear" w:color="auto" w:fill="CCEEFF"/>
          </w:tcPr>
          <w:p>
            <w:pPr>
              <w:spacing w:after="0" w:line="225" w:lineRule="exact"/>
              <w:rPr>
                <w:sz w:val="20"/>
                <w:szCs w:val="20"/>
                <w:color w:val="auto"/>
              </w:rPr>
            </w:pPr>
            <w:r>
              <w:rPr>
                <w:rFonts w:ascii="Times New Roman" w:cs="Times New Roman" w:eastAsia="Times New Roman" w:hAnsi="Times New Roman"/>
                <w:sz w:val="18"/>
                <w:szCs w:val="18"/>
                <w:color w:val="auto"/>
              </w:rPr>
              <w:t>Average sale price as a percent of principal balance</w:t>
            </w:r>
            <w:r>
              <w:rPr>
                <w:rFonts w:ascii="Times New Roman" w:cs="Times New Roman" w:eastAsia="Times New Roman" w:hAnsi="Times New Roman"/>
                <w:sz w:val="22"/>
                <w:szCs w:val="22"/>
                <w:color w:val="auto"/>
                <w:vertAlign w:val="superscript"/>
              </w:rPr>
              <w:t>1</w:t>
            </w: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110.41 %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111.02 %</w:t>
            </w:r>
          </w:p>
        </w:tc>
        <w:tc>
          <w:tcPr>
            <w:tcW w:w="160" w:type="dxa"/>
            <w:vAlign w:val="bottom"/>
          </w:tcPr>
          <w:p>
            <w:pPr>
              <w:spacing w:after="0"/>
              <w:rPr>
                <w:sz w:val="19"/>
                <w:szCs w:val="19"/>
                <w:color w:val="auto"/>
              </w:rPr>
            </w:pPr>
          </w:p>
        </w:tc>
      </w:tr>
    </w:tbl>
    <w:p>
      <w:pPr>
        <w:spacing w:after="0" w:line="61" w:lineRule="exact"/>
        <w:rPr>
          <w:sz w:val="20"/>
          <w:szCs w:val="20"/>
          <w:color w:val="auto"/>
        </w:rPr>
      </w:pPr>
    </w:p>
    <w:p>
      <w:pPr>
        <w:ind w:left="160" w:right="320" w:hanging="154"/>
        <w:spacing w:after="0" w:line="224" w:lineRule="auto"/>
        <w:tabs>
          <w:tab w:leader="none" w:pos="173" w:val="left"/>
        </w:tabs>
        <w:numPr>
          <w:ilvl w:val="0"/>
          <w:numId w:val="5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Realized gains greater than 110.00% must be split 50/50 with the SBA in accordance with SBA regulations. The realized gains recognized above reflect amounts net of split with the SBA.</w:t>
      </w:r>
    </w:p>
    <w:p>
      <w:pPr>
        <w:spacing w:after="0" w:line="22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For the three months ended June 30, 2025, the average sale price on SBA 7(a) loans as a percent of principal balance was 110.41% compared to 111.02% for the prior period. The decrease in sales prices in 2025 resulted from lower demand. The decrease in overall net gains on sales of loans resulted from lower volumes of sales compared to the prior year at lower market premiums than the prior year. Additionally, the decrease in SBA 7(a) guaranteed loans sold is primarily due to management holding the loans for a longer period of time.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selected statistics on the historical net premiums on sales of guaranteed portions of SBA 7(a) loans realized by NewtekOne:</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580" w:type="dxa"/>
            <w:vAlign w:val="bottom"/>
          </w:tcPr>
          <w:p>
            <w:pPr>
              <w:spacing w:after="0"/>
              <w:rPr>
                <w:sz w:val="20"/>
                <w:szCs w:val="20"/>
                <w:color w:val="auto"/>
              </w:rPr>
            </w:pPr>
          </w:p>
        </w:tc>
        <w:tc>
          <w:tcPr>
            <w:tcW w:w="6200" w:type="dxa"/>
            <w:vAlign w:val="bottom"/>
            <w:tcBorders>
              <w:bottom w:val="single" w:sz="8" w:color="auto"/>
            </w:tcBorders>
            <w:gridSpan w:val="8"/>
          </w:tcPr>
          <w:p>
            <w:pPr>
              <w:ind w:left="1700"/>
              <w:spacing w:after="0"/>
              <w:rPr>
                <w:sz w:val="20"/>
                <w:szCs w:val="20"/>
                <w:color w:val="auto"/>
              </w:rPr>
            </w:pPr>
            <w:r>
              <w:rPr>
                <w:rFonts w:ascii="Times New Roman" w:cs="Times New Roman" w:eastAsia="Times New Roman" w:hAnsi="Times New Roman"/>
                <w:sz w:val="18"/>
                <w:szCs w:val="18"/>
                <w:b w:val="1"/>
                <w:bCs w:val="1"/>
                <w:color w:val="auto"/>
              </w:rPr>
              <w:t>SBA 7(a) Sales Price as Percent of Principal Balance (%)</w:t>
            </w:r>
          </w:p>
        </w:tc>
        <w:tc>
          <w:tcPr>
            <w:tcW w:w="1460" w:type="dxa"/>
            <w:vAlign w:val="bottom"/>
            <w:tcBorders>
              <w:bottom w:val="single" w:sz="8" w:color="auto"/>
            </w:tcBorders>
          </w:tcPr>
          <w:p>
            <w:pPr>
              <w:spacing w:after="0"/>
              <w:rPr>
                <w:sz w:val="20"/>
                <w:szCs w:val="20"/>
                <w:color w:val="auto"/>
              </w:rPr>
            </w:pPr>
          </w:p>
        </w:tc>
      </w:tr>
      <w:tr>
        <w:trPr>
          <w:trHeight w:val="218"/>
        </w:trPr>
        <w:tc>
          <w:tcPr>
            <w:tcW w:w="3580" w:type="dxa"/>
            <w:vAlign w:val="bottom"/>
          </w:tcPr>
          <w:p>
            <w:pPr>
              <w:spacing w:after="0"/>
              <w:rPr>
                <w:sz w:val="18"/>
                <w:szCs w:val="18"/>
                <w:color w:val="auto"/>
              </w:rPr>
            </w:pPr>
          </w:p>
        </w:tc>
        <w:tc>
          <w:tcPr>
            <w:tcW w:w="192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14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w w:val="99"/>
              </w:rPr>
              <w:t>High</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40" w:type="dxa"/>
            <w:vAlign w:val="bottom"/>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Low</w:t>
            </w:r>
          </w:p>
        </w:tc>
        <w:tc>
          <w:tcPr>
            <w:tcW w:w="1460" w:type="dxa"/>
            <w:vAlign w:val="bottom"/>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Median</w:t>
            </w:r>
          </w:p>
        </w:tc>
      </w:tr>
      <w:tr>
        <w:trPr>
          <w:trHeight w:val="218"/>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110.20 %</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114.04 %</w:t>
            </w:r>
          </w:p>
        </w:tc>
        <w:tc>
          <w:tcPr>
            <w:tcW w:w="8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106.00 %</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110.42 %</w:t>
            </w:r>
          </w:p>
        </w:tc>
      </w:tr>
      <w:tr>
        <w:trPr>
          <w:trHeight w:val="225"/>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110.97 %</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114.80 %</w:t>
            </w:r>
          </w:p>
        </w:tc>
        <w:tc>
          <w:tcPr>
            <w:tcW w:w="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107.18 %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111.19 %</w:t>
            </w:r>
          </w:p>
        </w:tc>
      </w:tr>
      <w:tr>
        <w:trPr>
          <w:trHeight w:val="225"/>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June 30, 2025</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110.08 %</w:t>
            </w:r>
          </w:p>
        </w:tc>
        <w:tc>
          <w:tcPr>
            <w:tcW w:w="8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112.10 %</w:t>
            </w:r>
          </w:p>
        </w:tc>
        <w:tc>
          <w:tcPr>
            <w:tcW w:w="80" w:type="dxa"/>
            <w:vAlign w:val="bottom"/>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109.40 %</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110.51 %</w:t>
            </w:r>
          </w:p>
        </w:tc>
      </w:tr>
      <w:tr>
        <w:trPr>
          <w:trHeight w:val="222"/>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110.60 %</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114.80 %</w:t>
            </w:r>
          </w:p>
        </w:tc>
        <w:tc>
          <w:tcPr>
            <w:tcW w:w="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106.00 %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110.83 %</w:t>
            </w: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Gain on Residuals in Securitizations</w:t>
      </w:r>
    </w:p>
    <w:p>
      <w:pPr>
        <w:spacing w:after="0" w:line="246"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color w:val="auto"/>
        </w:rPr>
        <w:t>Net gains on residuals in securitizations for the three months ended June 30, 2025 were $31.5 million. There were no net gains on residuals in securitizations for the three months ended June 30, 2024. This resulted from the Company’s equity interest in the 2025-1 Securitization Trust which closed on April 23, 2025. To consummate the transaction, $216.6 million of ALP loans held for sale at fair value were sold into the securitization trust at par. This resulted in $35.4 million of previously recorded gains on ALP loans under the fair value option to be reversed, which was a large driver of the change described in the section below. The residual in the securitization (represented by the ownership certificate) was then valued resulting in a gain that was netted against the transaction costs. Refer to NOTE 3—SECURITIZATIONS AND VARIABLE INTEREST ENTITIES in the accompanying notes to the consolidated financial statements for additional information.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Gain (Loss) on Loans Accounted for Under the Fair Value Option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gain (loss) on loans accounted for under the fair value option for the three months ended June 30, 2025 and 2024 were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2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19"/>
        </w:trPr>
        <w:tc>
          <w:tcPr>
            <w:tcW w:w="72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8"/>
        </w:trPr>
        <w:tc>
          <w:tcPr>
            <w:tcW w:w="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SBA 7(a)</w:t>
            </w:r>
          </w:p>
        </w:tc>
        <w:tc>
          <w:tcPr>
            <w:tcW w:w="5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Unguaranteed Loans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r>
      <w:tr>
        <w:trPr>
          <w:trHeight w:val="225"/>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SBA 7(a)</w:t>
            </w:r>
          </w:p>
        </w:tc>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Guaranteed Loans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10,618</w:t>
            </w:r>
          </w:p>
        </w:tc>
      </w:tr>
      <w:tr>
        <w:trPr>
          <w:trHeight w:val="225"/>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 504 and Non-SBA Loans</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(20,506)</w:t>
            </w:r>
          </w:p>
        </w:tc>
      </w:tr>
      <w:tr>
        <w:trPr>
          <w:trHeight w:val="218"/>
        </w:trPr>
        <w:tc>
          <w:tcPr>
            <w:tcW w:w="6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Gain (Loss) on Loans Accounted for Under the Fair Value Option</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(8,867)</w:t>
            </w:r>
          </w:p>
        </w:tc>
      </w:tr>
      <w:tr>
        <w:trPr>
          <w:trHeight w:val="20"/>
        </w:trPr>
        <w:tc>
          <w:tcPr>
            <w:tcW w:w="7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7"/>
          <w:szCs w:val="17"/>
          <w:color w:val="auto"/>
        </w:rPr>
        <w:t>Net unrealized gain (loss) on loans accounted for under the fair value option relates to the guaranteed portions of SBA loans made which the Company sells into a secondary market, the unguaranteed portions of SBA loans made which the Company holds, SBA 504 loans that are HFS, and ALP loans that are held</w:t>
      </w:r>
    </w:p>
    <w:p>
      <w:pPr>
        <w:spacing w:after="0" w:line="1" w:lineRule="exact"/>
        <w:rPr>
          <w:sz w:val="20"/>
          <w:szCs w:val="20"/>
          <w:color w:val="auto"/>
        </w:rPr>
      </w:pPr>
    </w:p>
    <w:p>
      <w:pPr>
        <w:ind w:right="340"/>
        <w:spacing w:after="0" w:line="267" w:lineRule="auto"/>
        <w:rPr>
          <w:sz w:val="20"/>
          <w:szCs w:val="20"/>
          <w:color w:val="auto"/>
        </w:rPr>
      </w:pPr>
      <w:r>
        <w:rPr>
          <w:rFonts w:ascii="Times New Roman" w:cs="Times New Roman" w:eastAsia="Times New Roman" w:hAnsi="Times New Roman"/>
          <w:sz w:val="17"/>
          <w:szCs w:val="17"/>
          <w:color w:val="auto"/>
        </w:rPr>
        <w:t>for sale. This unrealized gain (loss) represents the fair value adjustment of loans</w:t>
      </w:r>
      <w:r>
        <w:rPr>
          <w:rFonts w:ascii="Arial" w:cs="Arial" w:eastAsia="Arial" w:hAnsi="Arial"/>
          <w:sz w:val="18"/>
          <w:szCs w:val="18"/>
          <w:color w:val="auto"/>
        </w:rPr>
        <w:t>.</w:t>
      </w:r>
      <w:r>
        <w:rPr>
          <w:rFonts w:ascii="Times New Roman" w:cs="Times New Roman" w:eastAsia="Times New Roman" w:hAnsi="Times New Roman"/>
          <w:sz w:val="17"/>
          <w:szCs w:val="17"/>
          <w:color w:val="auto"/>
        </w:rPr>
        <w:t xml:space="preserve"> The amount of the unrealized gain (loss) is determined by the quantity of loans held for sale at quarter end, the change in secondary market pricing conditions, and the valuation of the loans that are not held for sale.</w:t>
      </w:r>
    </w:p>
    <w:p>
      <w:pPr>
        <w:spacing w:after="0" w:line="184" w:lineRule="exact"/>
        <w:rPr>
          <w:sz w:val="20"/>
          <w:szCs w:val="20"/>
          <w:color w:val="auto"/>
        </w:rPr>
      </w:pPr>
    </w:p>
    <w:p>
      <w:pPr>
        <w:jc w:val="both"/>
        <w:ind w:right="40"/>
        <w:spacing w:after="0" w:line="242" w:lineRule="auto"/>
        <w:rPr>
          <w:sz w:val="20"/>
          <w:szCs w:val="20"/>
          <w:color w:val="auto"/>
        </w:rPr>
      </w:pPr>
      <w:r>
        <w:rPr>
          <w:rFonts w:ascii="Times New Roman" w:cs="Times New Roman" w:eastAsia="Times New Roman" w:hAnsi="Times New Roman"/>
          <w:sz w:val="18"/>
          <w:szCs w:val="18"/>
          <w:color w:val="auto"/>
        </w:rPr>
        <w:t>During the three months ended June 30, 2025 and 2024, the Company recorded unrealized losses on SBA 7(a) unguaranteed loans accounted for under the fair value option as the portfolio paid down. During the three months ended June 30, 2024, the Company recorded unrealized gains on SBA 7(a) guaranteed loans accounted for under the fair value option primarily due to holding guaranteed portions of SBA 7(a) loans for longer periods of time.</w:t>
      </w:r>
    </w:p>
    <w:p>
      <w:pPr>
        <w:spacing w:after="0" w:line="207" w:lineRule="exact"/>
        <w:rPr>
          <w:sz w:val="20"/>
          <w:szCs w:val="20"/>
          <w:color w:val="auto"/>
        </w:rPr>
      </w:pPr>
    </w:p>
    <w:p>
      <w:pPr>
        <w:ind w:right="480"/>
        <w:spacing w:after="0" w:line="255" w:lineRule="auto"/>
        <w:rPr>
          <w:sz w:val="20"/>
          <w:szCs w:val="20"/>
          <w:color w:val="auto"/>
        </w:rPr>
      </w:pPr>
      <w:r>
        <w:rPr>
          <w:rFonts w:ascii="Times New Roman" w:cs="Times New Roman" w:eastAsia="Times New Roman" w:hAnsi="Times New Roman"/>
          <w:sz w:val="18"/>
          <w:szCs w:val="18"/>
          <w:color w:val="auto"/>
        </w:rPr>
        <w:t>The $20.5 million decrease in unrealized gain on loans accounted for under the fair value option from SBA 504 and Non-SBA loans is primarily volume driven from the reversal of the previous gains on ALP loans to consummate the NALP 2025-1 transaction as noted above.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and IT Support Income</w:t>
      </w:r>
    </w:p>
    <w:p>
      <w:pPr>
        <w:spacing w:after="0" w:line="246"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8"/>
          <w:szCs w:val="18"/>
          <w:color w:val="auto"/>
        </w:rPr>
        <w:t>Technology and IT support income was $5.2 million for the three months ended June 30, 2024. There was no Technology and IT support income for the three months ended June 30, 2025, due to the sale of NTS. Refer to NOTE 4—INVESTMENTS: Intelligent Protection Management Corp</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Noninterest Income</w:t>
      </w:r>
    </w:p>
    <w:p>
      <w:pPr>
        <w:spacing w:after="0" w:line="246"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For the three months ended June 30, 2025 and 2024, other noninterest income related primarily to loan origination fees (legal and packaging) on loans sold or carried at fair value. Other items that contributed to the $4.4 million decrease included a decrease on prepayment and late fees earned from SBA 7(a) loans. The Company originated 499 of SBA 7(a) loans compared to 604 loans for the three months ended June 30, 2025 and 2024, respectively. Adding to the decrease was $1.2 million of net unrealized losses on joint ventures and other non-control investments for the three months ended June 30, 2025 compared to none in the prior period.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Non-Interest Expense</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52"/>
        </w:trPr>
        <w:tc>
          <w:tcPr>
            <w:tcW w:w="4880" w:type="dxa"/>
            <w:vAlign w:val="bottom"/>
          </w:tcPr>
          <w:p>
            <w:pPr>
              <w:spacing w:after="0"/>
              <w:rPr>
                <w:sz w:val="21"/>
                <w:szCs w:val="21"/>
                <w:color w:val="auto"/>
              </w:rPr>
            </w:pPr>
          </w:p>
        </w:tc>
        <w:tc>
          <w:tcPr>
            <w:tcW w:w="3140" w:type="dxa"/>
            <w:vAlign w:val="bottom"/>
            <w:gridSpan w:val="6"/>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60" w:type="dxa"/>
            <w:vAlign w:val="bottom"/>
          </w:tcPr>
          <w:p>
            <w:pPr>
              <w:spacing w:after="0"/>
              <w:rPr>
                <w:sz w:val="21"/>
                <w:szCs w:val="21"/>
                <w:color w:val="auto"/>
              </w:rPr>
            </w:pPr>
          </w:p>
        </w:tc>
        <w:tc>
          <w:tcPr>
            <w:tcW w:w="2920" w:type="dxa"/>
            <w:vAlign w:val="bottom"/>
            <w:gridSpan w:val="3"/>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2025/2024 Increase/(Decrease)</w:t>
            </w:r>
          </w:p>
        </w:tc>
      </w:tr>
      <w:tr>
        <w:trPr>
          <w:trHeight w:val="218"/>
        </w:trPr>
        <w:tc>
          <w:tcPr>
            <w:tcW w:w="488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20" w:type="dxa"/>
            <w:vAlign w:val="bottom"/>
            <w:tcBorders>
              <w:top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18"/>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and employee benefits expense</w:t>
            </w:r>
          </w:p>
        </w:tc>
        <w:tc>
          <w:tcPr>
            <w:tcW w:w="920" w:type="dxa"/>
            <w:vAlign w:val="bottom"/>
            <w:tcBorders>
              <w:top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23,135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8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11.3 %</w:t>
            </w:r>
          </w:p>
        </w:tc>
      </w:tr>
      <w:tr>
        <w:trPr>
          <w:trHeight w:val="225"/>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services expense</w:t>
            </w:r>
          </w:p>
        </w:tc>
        <w:tc>
          <w:tcPr>
            <w:tcW w:w="92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80" w:type="dxa"/>
            <w:vAlign w:val="bottom"/>
          </w:tcPr>
          <w:p>
            <w:pPr>
              <w:spacing w:after="0"/>
              <w:rPr>
                <w:sz w:val="19"/>
                <w:szCs w:val="19"/>
                <w:color w:val="auto"/>
              </w:rPr>
            </w:pPr>
          </w:p>
        </w:tc>
        <w:tc>
          <w:tcPr>
            <w:tcW w:w="16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(100.0)</w:t>
            </w:r>
          </w:p>
        </w:tc>
      </w:tr>
      <w:tr>
        <w:trPr>
          <w:trHeight w:val="225"/>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Electronic payment processing expense</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(22.2)</w:t>
            </w:r>
          </w:p>
        </w:tc>
      </w:tr>
      <w:tr>
        <w:trPr>
          <w:trHeight w:val="225"/>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services expense</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80" w:type="dxa"/>
            <w:vAlign w:val="bottom"/>
          </w:tcPr>
          <w:p>
            <w:pPr>
              <w:spacing w:after="0"/>
              <w:rPr>
                <w:sz w:val="19"/>
                <w:szCs w:val="19"/>
                <w:color w:val="auto"/>
              </w:rPr>
            </w:pP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56.9</w:t>
            </w:r>
          </w:p>
        </w:tc>
      </w:tr>
      <w:tr>
        <w:trPr>
          <w:trHeight w:val="225"/>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loan origination and maintenance expense</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9.0</w:t>
            </w:r>
          </w:p>
        </w:tc>
      </w:tr>
      <w:tr>
        <w:trPr>
          <w:trHeight w:val="225"/>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tcPr>
          <w:p>
            <w:pPr>
              <w:spacing w:after="0"/>
              <w:rPr>
                <w:sz w:val="19"/>
                <w:szCs w:val="19"/>
                <w:color w:val="auto"/>
              </w:rPr>
            </w:pPr>
          </w:p>
        </w:tc>
        <w:tc>
          <w:tcPr>
            <w:tcW w:w="16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(47.4)</w:t>
            </w:r>
          </w:p>
        </w:tc>
      </w:tr>
      <w:tr>
        <w:trPr>
          <w:trHeight w:val="225"/>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general and administrative costs</w:t>
            </w: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8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57.0</w:t>
            </w:r>
          </w:p>
        </w:tc>
      </w:tr>
      <w:tr>
        <w:trPr>
          <w:trHeight w:val="218"/>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92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42,309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40,564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8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0"/>
        </w:trPr>
        <w:tc>
          <w:tcPr>
            <w:tcW w:w="48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Salaries and Employee Benefits Expense</w:t>
      </w:r>
    </w:p>
    <w:p>
      <w:pPr>
        <w:spacing w:after="0" w:line="246" w:lineRule="exact"/>
        <w:rPr>
          <w:sz w:val="20"/>
          <w:szCs w:val="20"/>
          <w:color w:val="auto"/>
        </w:rPr>
      </w:pPr>
    </w:p>
    <w:p>
      <w:pPr>
        <w:ind w:right="500"/>
        <w:spacing w:after="0" w:line="270" w:lineRule="auto"/>
        <w:rPr>
          <w:sz w:val="20"/>
          <w:szCs w:val="20"/>
          <w:color w:val="auto"/>
        </w:rPr>
      </w:pPr>
      <w:r>
        <w:rPr>
          <w:rFonts w:ascii="Times New Roman" w:cs="Times New Roman" w:eastAsia="Times New Roman" w:hAnsi="Times New Roman"/>
          <w:sz w:val="18"/>
          <w:szCs w:val="18"/>
          <w:color w:val="auto"/>
        </w:rPr>
        <w:t>The increase in salaries and employee benefits was primarily attributable to increased benefits costs, primarily bonus accruals, higher medical and other insurance costs.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Services Expenses</w:t>
      </w:r>
    </w:p>
    <w:p>
      <w:pPr>
        <w:spacing w:after="0" w:line="246"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8"/>
          <w:szCs w:val="18"/>
          <w:color w:val="auto"/>
        </w:rPr>
        <w:t>The $3.4 million decrease in technology services expenses for the three months ended June 30, 2025 corresponded with the NTS Sale. Refer to NOTE 4— INVESTMENTS: Intelligent Protection Management Corp</w:t>
      </w:r>
      <w:r>
        <w:rPr>
          <w:rFonts w:ascii="Times New Roman" w:cs="Times New Roman" w:eastAsia="Times New Roman" w:hAnsi="Times New Roman"/>
          <w:sz w:val="18"/>
          <w:szCs w:val="18"/>
          <w:b w:val="1"/>
          <w:bCs w:val="1"/>
          <w:color w:val="auto"/>
        </w:rPr>
        <w: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Professional Services Expense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professional fees period over period is primarily attributable to costs associated with the NTS disposition that occurred on January 2, 2025.</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4—INVESTMENTS: Intelligent Protection Management Corp</w:t>
      </w:r>
      <w:r>
        <w:rPr>
          <w:rFonts w:ascii="Times New Roman" w:cs="Times New Roman" w:eastAsia="Times New Roman" w:hAnsi="Times New Roman"/>
          <w:sz w:val="18"/>
          <w:szCs w:val="18"/>
          <w:b w:val="1"/>
          <w:bCs w:val="1"/>
          <w:color w:val="auto"/>
        </w:rPr>
        <w: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Loan Origination and Maintenance Expense</w:t>
      </w:r>
    </w:p>
    <w:p>
      <w:pPr>
        <w:spacing w:after="0" w:line="246" w:lineRule="exact"/>
        <w:rPr>
          <w:sz w:val="20"/>
          <w:szCs w:val="20"/>
          <w:color w:val="auto"/>
        </w:rPr>
      </w:pPr>
    </w:p>
    <w:p>
      <w:pPr>
        <w:ind w:right="520"/>
        <w:spacing w:after="0" w:line="270" w:lineRule="auto"/>
        <w:rPr>
          <w:sz w:val="20"/>
          <w:szCs w:val="20"/>
          <w:color w:val="auto"/>
        </w:rPr>
      </w:pPr>
      <w:r>
        <w:rPr>
          <w:rFonts w:ascii="Times New Roman" w:cs="Times New Roman" w:eastAsia="Times New Roman" w:hAnsi="Times New Roman"/>
          <w:sz w:val="18"/>
          <w:szCs w:val="18"/>
          <w:color w:val="auto"/>
        </w:rPr>
        <w:t>Other loan origination and maintenance expenses during the three months ended June 30, 2025, was $3.3 million compared to $3.0 million for the three months ended June 30, 2024. The increase was due to the increase in loans originated during the period.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20"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8"/>
          <w:szCs w:val="18"/>
          <w:color w:val="auto"/>
        </w:rPr>
        <w:t>The decrease in depreciation and amortization period over period is primarily attributable to the full amortization of intangible assets during the second half of 2024, which results in less amortization in 2025 as compared to the prior year.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General and Administrative Costs</w:t>
      </w:r>
    </w:p>
    <w:p>
      <w:pPr>
        <w:spacing w:after="0" w:line="24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increase in other general and administrative costs of $2.5 million is primarily due to the Acquisition, as in additional expense is included in the current year from the additional entities now being consolidated after the withdrawal of the BDC election, partially offset by the elimination of intercompany expenses between the newly consolidated entities and those previously reported as a BDC.</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Segment Operations</w:t>
      </w:r>
    </w:p>
    <w:p>
      <w:pPr>
        <w:spacing w:after="0" w:line="24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has four reportable segments Banking, Alternative Lending, NSBF, and Payments. A description of each segment and the methodologies used to measure financial performance is described in NOTE 18—SEGMENTS in the accompanying Notes to the Consolidated Financial Statements. Net income (loss) by operating segment is presented below:</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31"/>
        </w:trPr>
        <w:tc>
          <w:tcPr>
            <w:tcW w:w="3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00" w:type="dxa"/>
            <w:vAlign w:val="bottom"/>
            <w:gridSpan w:val="5"/>
          </w:tcPr>
          <w:p>
            <w:pPr>
              <w:ind w:left="7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20"/>
                <w:szCs w:val="20"/>
                <w:color w:val="auto"/>
              </w:rPr>
            </w:pPr>
          </w:p>
        </w:tc>
        <w:tc>
          <w:tcPr>
            <w:tcW w:w="3480" w:type="dxa"/>
            <w:vAlign w:val="bottom"/>
            <w:gridSpan w:val="3"/>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rPr>
              <w:t>2025/2024 Increase/(Decrease)</w:t>
            </w:r>
          </w:p>
        </w:tc>
      </w:tr>
      <w:tr>
        <w:trPr>
          <w:trHeight w:val="218"/>
        </w:trPr>
        <w:tc>
          <w:tcPr>
            <w:tcW w:w="36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940" w:type="dxa"/>
            <w:vAlign w:val="bottom"/>
            <w:tcBorders>
              <w:top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18"/>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Banking</w:t>
            </w: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12,453</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5"/>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Alternative Lending</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6,290</w:t>
            </w:r>
          </w:p>
        </w:tc>
        <w:tc>
          <w:tcPr>
            <w:tcW w:w="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r>
      <w:tr>
        <w:trPr>
          <w:trHeight w:val="225"/>
        </w:trPr>
        <w:tc>
          <w:tcPr>
            <w:tcW w:w="362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Technology</w:t>
            </w:r>
            <w:r>
              <w:rPr>
                <w:rFonts w:ascii="Times New Roman" w:cs="Times New Roman" w:eastAsia="Times New Roman" w:hAnsi="Times New Roman"/>
                <w:sz w:val="22"/>
                <w:szCs w:val="22"/>
                <w:color w:val="auto"/>
                <w:vertAlign w:val="superscript"/>
              </w:rPr>
              <w:t>1</w:t>
            </w:r>
          </w:p>
        </w:tc>
        <w:tc>
          <w:tcPr>
            <w:tcW w:w="2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8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5"/>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NSBF</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5"/>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8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5"/>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&amp; Other</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139 %</w:t>
            </w:r>
          </w:p>
        </w:tc>
      </w:tr>
      <w:tr>
        <w:trPr>
          <w:trHeight w:val="225"/>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(8,781)</w:t>
            </w:r>
          </w:p>
        </w:tc>
        <w:tc>
          <w:tcPr>
            <w:tcW w:w="80" w:type="dxa"/>
            <w:vAlign w:val="bottom"/>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18"/>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income</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10,945</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80" w:type="dxa"/>
            <w:vAlign w:val="bottom"/>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0"/>
        </w:trPr>
        <w:tc>
          <w:tcPr>
            <w:tcW w:w="3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ind w:left="160" w:right="380" w:hanging="154"/>
        <w:spacing w:after="0" w:line="217" w:lineRule="auto"/>
        <w:tabs>
          <w:tab w:leader="none" w:pos="173" w:val="left"/>
        </w:tabs>
        <w:numPr>
          <w:ilvl w:val="0"/>
          <w:numId w:val="58"/>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As a result of commitments made to the Federal Reserve, the Company divested of NTS on January 2, 2025, and is no longer a reportable segment. See NOTE 4—INVESTMENTS: Intelligent Protection Management Corp</w:t>
      </w:r>
      <w:r>
        <w:rPr>
          <w:rFonts w:ascii="Times New Roman" w:cs="Times New Roman" w:eastAsia="Times New Roman" w:hAnsi="Times New Roman"/>
          <w:sz w:val="18"/>
          <w:szCs w:val="18"/>
          <w:b w:val="1"/>
          <w:bCs w:val="1"/>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Banking</w:t>
      </w:r>
    </w:p>
    <w:p>
      <w:pPr>
        <w:spacing w:after="0" w:line="20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banking segment includes Newtek Bank as well as its consolidated subsidiary SBL. The financial results include the origination, sale, and servicing of SBA 7(a) loans, SBA 504 loans, C&amp;I loans, CRE loans and ABL loans. In addition, Newtek Bank offers depository services. The results include $14.6 million of net interest income during the three months ended June 30, 2025 compared to $9.3 million of net interest income during the three months ended June 30, 2024.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Alternative Lending</w:t>
      </w:r>
    </w:p>
    <w:p>
      <w:pPr>
        <w:spacing w:after="0" w:line="233"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7"/>
          <w:szCs w:val="17"/>
          <w:color w:val="auto"/>
        </w:rPr>
        <w:t>Alternative Lending includes Newtek ALP Holdings (NALH) and its subsidiaries. The Company has originated loans under its Alternative Lending Program since 2019. Prior to July 1, 2024, the Company originated ALP loans with the intent to sell to a JV. While the Company continues to source JV partners to participate in this program, during the third quarter of 2024, the Company made the decision to originate with the intent to securitize ALP loans with our subsidiary Newtek ALP Holdings as the originator and sponsor without a joint venture partner; the Company’s first such securitization transaction was consummated during the second quarter of 2025. The Company could also originate ALP loans designated as HFI. Compared to the three months ended June 30, 2024, there were more loans originations that drove higher income for the three months ended June 30, 2025, as well as larger gains on loans at fair value.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NSBF</w:t>
      </w:r>
    </w:p>
    <w:p>
      <w:pPr>
        <w:spacing w:after="0" w:line="220" w:lineRule="exact"/>
        <w:rPr>
          <w:sz w:val="20"/>
          <w:szCs w:val="20"/>
          <w:color w:val="auto"/>
        </w:rPr>
      </w:pPr>
    </w:p>
    <w:p>
      <w:pPr>
        <w:ind w:right="660"/>
        <w:spacing w:after="0" w:line="270" w:lineRule="auto"/>
        <w:rPr>
          <w:sz w:val="20"/>
          <w:szCs w:val="20"/>
          <w:color w:val="auto"/>
        </w:rPr>
      </w:pPr>
      <w:r>
        <w:rPr>
          <w:rFonts w:ascii="Times New Roman" w:cs="Times New Roman" w:eastAsia="Times New Roman" w:hAnsi="Times New Roman"/>
          <w:sz w:val="18"/>
          <w:szCs w:val="18"/>
          <w:color w:val="auto"/>
        </w:rPr>
        <w:t>NSBF relates to NSBF’s legacy portfolio of SBA 7(a) loans held outside Newtek Bank. The change in net income is due to the wind-down of NSBF’s operations.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Payments</w:t>
      </w:r>
    </w:p>
    <w:p>
      <w:pPr>
        <w:spacing w:after="0" w:line="220"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Payments includes NMS, POS and Mobil Money. Within the segment’s results are $12.6 million of noninterest income for the three months ended June 30, 2025, resulting from marketing credit and debit card processing services, check approval services, processing equipment, and software, compared to $14.6 million during the three months ended June 30, 2024. The net income also included $8.4 million and $9.0 million of noninterest expense for the three months ended June 30, 2025 and 2024, respectively.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p>
      <w:pPr>
        <w:spacing w:after="0" w:line="220" w:lineRule="exact"/>
        <w:rPr>
          <w:sz w:val="20"/>
          <w:szCs w:val="20"/>
          <w:color w:val="auto"/>
        </w:rPr>
      </w:pPr>
    </w:p>
    <w:p>
      <w:pPr>
        <w:jc w:val="both"/>
        <w:ind w:right="480"/>
        <w:spacing w:after="0" w:line="258" w:lineRule="auto"/>
        <w:rPr>
          <w:sz w:val="20"/>
          <w:szCs w:val="20"/>
          <w:color w:val="auto"/>
        </w:rPr>
      </w:pPr>
      <w:r>
        <w:rPr>
          <w:rFonts w:ascii="Times New Roman" w:cs="Times New Roman" w:eastAsia="Times New Roman" w:hAnsi="Times New Roman"/>
          <w:sz w:val="18"/>
          <w:szCs w:val="18"/>
          <w:color w:val="auto"/>
        </w:rPr>
        <w:t>Corporate and Other represents operations not considered to be reportable segments and/or general operating expenses of the Company, and includes the parent company, other non-bank subsidiaries including NIA, PMT, and elimination adjustments to reconcile the results of the operating segments to the consolidated financial statements prepared in conformity with GAAP.</w:t>
      </w: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4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Our liquidity and capital resources are derived from our deposits, Company notes, securitization transactions and earnings and cash flows from operations, including loan sales and repayments. In the six months ended June 30, 2025, our primary use of funds from operations included originations of loans and payments of fees, interest, and other operating expenses we incurred. We may raise additional equity or debt capital through both registered offerings off of a shelf registration, including “at-the-market” (ATM), and private offerings of securities. On January 27, 2023, the Company submitted a Form S-3 with the SEC in order to commence the process of re-establishing an effective shelf registration statement. The registration statement on Form S-3 was declared effective by the SEC on July 27, 2023. On November 17, 2023, the Company entered into the Original ATM Equity Distribution Agreement, which was amended and restated on June 6, 2025. The Amended and Restated Equity Distribution Agreement provides that the Company may offer and sell up to 5,000,000 shares of Common Stock from time to time through the placement agents. On November 1, 2024, the Company’s Board of Directors approved a new stock repurchase program granting the Company authority to repurchase up to 1.0 million shares of Company common stock during the next twelve months.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Offerings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ATM Program</w:t>
      </w:r>
    </w:p>
    <w:p>
      <w:pPr>
        <w:spacing w:after="0" w:line="23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Company’s shelf registration statement on Form S-3 was declared effective by the SEC on July 27, 2023. On November 17, 2023, the Company entered into the Original ATM Equity Distribution Agreement. The Original ATM Equity Distribution Agreement provided that the Company may offer and sell up to 3.0 million shares of Common Stock from time to time through the placement agents thereunder. The Original ATM Equity Distribution Agreement was amended and restated on June 6, 2025. The Amended and Restated Equity Distribution Agreement provides that the Company may offer and sell up to 5.0 million shares of Common Stock from time to time through the placement agents thereunder (inclusive of shares of Common Stock sold under the Original ATM Distribution Agreement) and added certain additional placement agents. The Company may, subject to market conditions, engage in activity under the ATM Program.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activity under the ATM Program during the six months ended June 30, 2025 and 2024.</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Program</w:t>
      </w:r>
    </w:p>
    <w:p>
      <w:pPr>
        <w:spacing w:after="0" w:line="231"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On November 1, 2024, the Company’s Board of Directors approved a new stock repurchase program granting the Company authority to repurchase up to 1.0 million shares of Company common stock during the following twelve months. The actual timing and amount of any repurchases under the plan will be determined by the Company in its discretion, and will depend on a number of factors, including market conditions, applicable legal requirements, the Company's capital needs and whether there is a better alternative use of capital. The Company has no obligation to repurchase any amount of its common stock under its new stock repurchase program.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total shares repurchased and net proceeds received under the stock repurchase program:</w:t>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2940" w:type="dxa"/>
            <w:vAlign w:val="bottom"/>
            <w:gridSpan w:val="4"/>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0" w:type="dxa"/>
            <w:vAlign w:val="bottom"/>
            <w:gridSpan w:val="4"/>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42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5"/>
        </w:trPr>
        <w:tc>
          <w:tcPr>
            <w:tcW w:w="42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4"/>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repurchased</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Net weighted average price per share</w:t>
            </w:r>
          </w:p>
        </w:tc>
        <w:tc>
          <w:tcPr>
            <w:tcW w:w="1080" w:type="dxa"/>
            <w:vAlign w:val="bottom"/>
          </w:tcPr>
          <w:p>
            <w:pPr>
              <w:jc w:val="right"/>
              <w:ind w:right="88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tcPr>
          <w:p>
            <w:pPr>
              <w:spacing w:after="0"/>
              <w:rPr>
                <w:sz w:val="19"/>
                <w:szCs w:val="19"/>
                <w:color w:val="auto"/>
              </w:rPr>
            </w:pPr>
          </w:p>
        </w:tc>
        <w:tc>
          <w:tcPr>
            <w:tcW w:w="1180" w:type="dxa"/>
            <w:vAlign w:val="bottom"/>
          </w:tcPr>
          <w:p>
            <w:pPr>
              <w:jc w:val="right"/>
              <w:ind w:right="99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8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w:t>
            </w:r>
          </w:p>
        </w:tc>
        <w:tc>
          <w:tcPr>
            <w:tcW w:w="1080" w:type="dxa"/>
            <w:vAlign w:val="bottom"/>
            <w:shd w:val="clear" w:color="auto" w:fill="CCEEFF"/>
          </w:tcPr>
          <w:p>
            <w:pPr>
              <w:jc w:val="right"/>
              <w:ind w:right="88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9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r>
    </w:tbl>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2029 Notes</w:t>
      </w:r>
    </w:p>
    <w:p>
      <w:pPr>
        <w:spacing w:after="0" w:line="246"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7"/>
          <w:szCs w:val="17"/>
          <w:color w:val="auto"/>
        </w:rPr>
        <w:t>On May 30, 2024, the Company completed a registered offering of $71.9 million in aggregate principal amount of its 2029 8.50% Notes, which includes the underwriters’ exercise of the option granted by the Company to purchase an additional $9.4 million in aggregate principal amount of the 2029 8.50% Notes. The Company received $69.6 million in proceeds, before expenses, from the sale of the 2029 8.50% Notes. The 2029 8.50% Notes bear interest at a rate of</w:t>
      </w:r>
    </w:p>
    <w:p>
      <w:pPr>
        <w:spacing w:after="0" w:line="2"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7"/>
          <w:szCs w:val="17"/>
          <w:color w:val="auto"/>
        </w:rPr>
        <w:t>8.50% per year payable quarterly on March 1, June 1, September 1 and December 1 of each year, commencing on September 1, 2024, and trade on the Nasdaq Global Market under the trading symbol “NEWTG.” At June 30, 2025, the Company was in compliance with all covenants related to the 2029 8.50% Notes.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8"/>
          <w:szCs w:val="18"/>
          <w:color w:val="auto"/>
        </w:rPr>
        <w:t>On September 16, 2024, the Company completed a registered offering of $75.0 million aggregate principal amount of 2029 8.625% Notes. The 2029 8.625% Notes will mature on October 15, 2029. The Company received $72.8 million in proceeds, before expenses, from the sale of the 2029 8.625% Notes. These Notes bear interest at a rate of 8.625% per year, payable quarterly on January 15, April 15, July 15, and October 15 each year, commencing on January 15, 2025. , and trade on the Nasdaq Global Market under the trading symbol “NEWTH.” At June 30, 2025, the Company was in compliance with all covenants related to the 2029 8.625% Notes.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2028 Notes</w:t>
      </w:r>
    </w:p>
    <w:p>
      <w:pPr>
        <w:spacing w:after="0" w:line="24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August 31, 2023, the Company completed a registered offering of $40.0 million in aggregate principal amount of its 8.00% 2028 Notes. The Company received $38.0 million in proceeds, before expenses, from the sale of the 2028 Notes. The 2028 Notes bear interest at a rate of 8.00% per year payable quarterly on March 1, June 1, September 1 and December 1 of each year, commencing on December 1, 2023, and trade on the Nasdaq Global Market under the trading symbol “NEWTI.” At June 30, 2025, the Company was in compliance with all covenants related to the 2028 Notes.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 Notes</w:t>
      </w:r>
    </w:p>
    <w:p>
      <w:pPr>
        <w:spacing w:after="0" w:line="24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In January 2021, the Company completed a registered offering of $115.0 million aggregate principal amount of 5.50% 2026 Notes. The sale of the 2026 Notes generated proceeds of approximately $111.3 million, net of underwriter's fees and expenses. The 2026 Notes will mature on February 1, 2026 and may be redeemed in whole or in part at any time or from time to time at the Company’s option upon not less than 30 days nor more than 60 days written notice by mail prior to the date fixed for redemption thereof, at a redemption price equal to 100% of the principal amount of the 2026 Notes to be redeemed, plus accrued and unpaid interest, if any, to, but excluding, the date of redemption. The 2026 Notes bear interest at a rate of 5.50% per year payable quarterly on February 1, May 1, August 1 and November 1 of each year, commencing on May 1, 2021, and trade on the Nasdaq Global Market under the trading symbol “NEWTZ.” At June 30, 2025, the Company was in compliance with all covenants related to the 2026 Notes.</w:t>
      </w:r>
    </w:p>
    <w:p>
      <w:pPr>
        <w:spacing w:after="0" w:line="213"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 xml:space="preserve">The 2029, 2028 and 2026 Notes are the Company’s direct unsecured obligations and rank: (i)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Company’s other outstanding and future unsecured indebtedness; (ii) senior to any of the Company’s future indebtedness that expressly provides it is subordinated to these Notes; (iii) effectively subordinated to all the Company’s existing and future secured indebtedness (including indebtedness that is initially unsecured to which the Company subsequently grants security), to the extent of the value of the assets securing such indebtedness; and (iv) structurally subordinated to all existing and future indebtedness and other obligations of any of the Company’s subsidiaries. The Base Indenture, and each supplemental indenture thereto, contains certain covenants. The Base Indenture provides for customary events of default and further provides that the Trustee or the holders of 25% in aggregate principal amount of the outstanding Notes may declare such Notes immediately due and payable upon the occurrence of any event of default after expiration of any applicable grace period. In addition, the supplemental indenture for the 2026 Notes includes covenants requiring the Company to comply with (regardless of whether it is subject to) the asset coverage requirements set forth in Section 18(a)(1)(A) of the 1940 Act as modified by Section 61(a) of the 1940 Act (or any successor provisions), to comply with (regardless of whether it is subject to) the restrictions on dividends, distributions and purchase of capital stock set forth in Section 18(a)(1)(B) of the 1940 Act as modified by Section 61(a) of the 1940 Act and to provide financial information to the holders of the 2026 Notes and the Trustee if the Company should no longer be subject to the reporting requirements under the Exchange Act (“BDC Covenants”). These covenants are subject to important limitations and exceptions that are described in the Base Indenture, as supplemented by the supplemental indentures. At June 30, 2025, the Company was in compliance with all covenants related to the Notes.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Notes</w:t>
      </w:r>
    </w:p>
    <w:p>
      <w:pPr>
        <w:spacing w:after="0" w:line="246"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In July 2019, the Company completed a registered offering of $63.25 million aggregate principal amount of 5.75% 2024 Notes. On February 16, 2021 and May 20, 2021, the Company issued an additional $5.0 million and $10.0 million in aggregate principal amount of the 2024 Notes, respectively. On December 29, 2021, the Company redeemed $40.0 million in aggregate principal amount of the $78.25 million of principal amount of 2024 Notes outstanding at 100% of their principal amount ($25 per Note), plus the accrued and unpaid interest thereon from November 1, 2021 through, but excluding, the redemption date. The 2024 Notes traded on the Nasdaq Global Market under the trading symbol “NEWTL” until the 2024 Notes matured on August 1, 2024.</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2030 Notes</w:t>
      </w:r>
    </w:p>
    <w:p>
      <w:pPr>
        <w:spacing w:after="0" w:line="23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On March 19, 2025, the Company closed an exempt offering of $30.0 million in aggregate principal amount of its 2030 Notes. The offering was consummated pursuant to the terms of a purchase agreement dated March 19, 2025 among the Company and eleven institutional accredited investors. The purchase agreement provided for the 2030 Notes to be issued to the Purchaser in a private placement in reliance on Section 4(a)(2) of the Securities Act. The 2030 Notes are scheduled to mature on April 1, 2030 and could be redeemed in whole or in part at any time. The 2030 Notes bear interest at a rate of 8.375% per year payable semiannually on April 1 and October 1 each year, beginning October 1, 2025.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2027 Notes</w:t>
      </w:r>
    </w:p>
    <w:p>
      <w:pPr>
        <w:spacing w:after="0" w:line="233"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8"/>
          <w:szCs w:val="18"/>
          <w:color w:val="auto"/>
        </w:rPr>
        <w:t>On January 23, 2023, we completed a private placement offering of $50.0 million aggregate principal amount of 8.125% notes due 2025. The net proceeds from the sale of the notes were approximately $48.94 million after deducting estimated offering expenses payable by the Company. The Notes were scheduled to mature on February 1, 2025. Effective December 11, 2024, the Company entered into the Amendment and Exchange Agreements with each of the holders of the 2025 8.125% Notes, pursuant to which the Company and the holders of the 2025 8.125% Notes agreed to exchange the 2025 8.125% Notes for the 2027 Notes, effecting amendments solely to (i) extend the February 1, 2025 maturity date of the 2025 8.125% Notes to the new maturity date of February 1, 2027 (the “New Maturity Date”) and (ii) provide that the 2027 Notes will be redeemable in whole, but not in part, at any time, at the option of the Company, from November 1, 2026 to the New Maturity Date, at a redemption price of 100% of the outstanding principal amount being redeemed plus any accrued but unpaid interest, to but excluding the redemption date. The Notes bear interest at a rate of 8.125% per year payable semiannually on February 1 and August 1 each year.</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Notes</w:t>
      </w:r>
    </w:p>
    <w:p>
      <w:pPr>
        <w:spacing w:after="0" w:line="24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On March 31, 2022, the Company completed a private placement of $15.0 million aggregate principal amount of its 2025 5.00% Notes. The offering was consummated pursuant to the terms of a purchase agreement dated March 31, 2022 among the Company and an accredited investor, which provided for the 2025 5.00% Notes to be issued to the purchaser in a transaction that relied on Section 4(a)(2) of the Securities Act to be exempt from registration under the Securities Act. The net proceeds from the sale of the notes were approximately $14.5 million, after deducting structuring fees and estimated offering expenses. On May 2, 2022, the Company issued an additional $15.0 million in aggregate principal amount of the 2025 5.0% Notes. The 2025 5.00% Notes were issued under the Base Indenture and the Tenth Supplemental Indenture, dated as of March 31, 2022. The 2025 5.00% Notes matured on March 31, 2025.</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SPV I, II, and III Facilities</w:t>
      </w:r>
    </w:p>
    <w:p>
      <w:pPr>
        <w:spacing w:after="0" w:line="218"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Newtek ALP Holdings’ subsidiaries (our indirect subsidiaries) SPV I, II, and III maintain credit facilities with third party lenders. SPV I has a Capital One facility with maximum borrowings of $60.0 million. On July 28, 2025, the SPV I facility was amended and upsized to maximum borrowings of $100.0 million; Capital One’s commitment terminates in July 2027, with all amounts due under the SPV I Facility maturing in July 2028. NOTE 19—SUBSEQUENT EVENTS-SPV I Facility, At June 30, 2025, total principal owed by SPV I was $7.5 million. SPV II has a Deutsche Bank facility with maximum borrowings $170.0 million. The Deutsche Bank Facility matures in December 2027. At June 30, 2025, total principal owed by SPV II was $38.3 million. SPV III has a One Florida Bank facility with maximum borrowings of $30.0 million. On August 7, 2025, the One Florida Bank Facility was amended and upsized to maximum borrowings of $35.0 million; One Florida Bank’s facility matures in August 2028. At June 30, 2025, total principal owed by SPV III was $30.0 million.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NMS Webster Bank Facility</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NMS has a term loan facility with Webster Bank with an aggregate principal amount up to $54.9 million. The Webster Facility matures in November 2027.</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2025, total principal outstanding was $40.9 million.</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Securitization Transactions</w:t>
      </w:r>
    </w:p>
    <w:p>
      <w:pPr>
        <w:spacing w:after="0" w:line="218"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8"/>
          <w:szCs w:val="18"/>
          <w:color w:val="auto"/>
        </w:rPr>
        <w:t>On April 23, 2025, the Company’s subsidiary Newtek ALP Holdings closed a securitization pursuant to which it sold $155,930,000 of Class A Notes, $23,820,000 of Class B Notes, and $4,330,000 of a Class C Note (collectively, the “2025-1 Notes”) issued by NALP Business Loan Trust 2025-1 (the “Securitization Trust”). The 2025-1 Notes were backed by $216,564,700 of collateral, consisting of Newtek ALP Holdings originated ALP loans. The Class A Notes received a Morningstar DBRS rating of “A (low) (sf)” and were priced at a yield of 6.338%; the Class B Notes received a Morningstar DBRS rating of “BBB (sf)” and were priced at a yield of 7.838%; and the Class C Note received a Morningstar DBRS rating of “BB (sf)” and was priced at a yield of 10.338%. The 2025-1 Notes had a weighted average yield of 6.62% and an 85% advance rate.</w:t>
      </w:r>
    </w:p>
    <w:p>
      <w:pPr>
        <w:spacing w:after="0" w:line="207"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From 2010 through June 2023, NSBF engaged in thirteen (13) securitizations of the unguaranteed portions of its SBA 7(a) loans. In the securitizations, NSBF used a special purpose entity (the “Trust”) which is considered a variable interest entity. Applying the consolidation requirements for VIEs under the accounting rules in ASC Topic 860, Transfers and Servicing, and ASC Topic 810, Consolidation, which became effective January 1, 2010, the Company determined that as the primary beneficiary of the securitization vehicle, based on its power to direct activities through its role as servicer for the Trust and its obligation to absorb losses and right to receive benefits, it needed to consolidate the Trusts. NSBF therefore consolidated the entity using the carrying amounts of the Trust’s assets and liabilities. NSBF reflects the legacy portfolio of SBA 7(a) loans and reflects the associated financing in Notes Payable - Securitization trusts on the Consolidated Statements of Financial Condition.</w:t>
      </w:r>
    </w:p>
    <w:p>
      <w:pPr>
        <w:spacing w:after="0" w:line="215"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In June 2023, NSBF completed its thirteenth securitization which resulted in the transfer of $103.9 million of unguaranteed portions of SBA loans to the 2023-1 Trust. The 2023-1 Trust in turn issued securitization notes for the par amount of $103.9 million, consisting of $84.3 million of Class A notes and $19.6 million Class B notes, against the 2023-1 Trust assets in a private placement. The Class A and Class B notes received an “A-” and “BBB-” rating by S&amp;P, respectively, and the final maturity date of the notes is October 2049. The Class A and Class B notes bear interest at an average rate of 30-day average compounded SOFR plus 3.24% across both classes. At such time as the sum of the principal amount of the Class A Notes and the Class B Notes is less than or equal to 20.00% of the sum of the principal amount of the Class A Notes and Class B Notes as of the closing date of the transaction, NSBF has the right, with the consent of the SBA, to terminate the 2023-1 Trust by purchasing the 2023-1 Trust assets, with the Class A and B noteholders receiving the redemption price from the proceeds.</w:t>
      </w:r>
    </w:p>
    <w:p>
      <w:pPr>
        <w:spacing w:after="0" w:line="219"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In September 2022, NSBF completed its twelfth securitization which resulted in the transfer of $116.2 million of unguaranteed portions of SBA loans to the 2022-1 Trust. The 2022-1 Trust in turn issued securitization notes for the par amount of $116.2 million, consisting of $95.4 million of Class A notes and $20.8 million Class B notes, against the 2022-1 Trust assets in a private placement. The Class A and Class B notes received an “A-” and “BBB-” rating by S&amp;P, respectively, and the final maturity date of the notes is October 2049. The Class A and Class B notes bear interest at an average rate of 30-day average compounded SOFR plus 2.97% across both classes. At such time as the sum of the principal amount of the Class A Notes and the Class B Notes is less than or equal to 20.00% of the sum of the principal amount of the Class A Notes and Class B Notes as of the closing date of the transaction, NSBF has the right, with the consent of the SBA, to terminate the 2022-1 Trust by purchasing the 2022-1 Trust assets, with the Class A and B noteholders receiving the redemption price from the proceeds.</w:t>
      </w:r>
    </w:p>
    <w:p>
      <w:pPr>
        <w:spacing w:after="0" w:line="21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7"/>
          <w:szCs w:val="17"/>
          <w:color w:val="auto"/>
        </w:rPr>
        <w:t>In December 2021, NSBF completed its eleventh securitization which resulted in the transfer of $103.4 million of unguaranteed portions of SBA loans to the 2021-1 Trust. The 2021-1 Trust in turn issued securitization notes for the par amount of $103.4 million, consisting of $79.7 million of Class A notes and $23.8 million Class B notes, against the 2021-1 Trust assets in a private placement. The Class A and Class B notes received an “A” and “BBB-” rating by S&amp;P, respectively, and the final maturity date of the notes is December 2048. The Class A and Class B notes bear interest at an average rate of adjusted SOFR plus 1.92% across both classes. At such time as the sum of the principal amount of the Class A Notes and the Class B Notes is less than or equal to 20.00% of the sum of the principal amount of the Class A Notes and Class B Notes as of the closing date of the transaction, NSBF has the right, with the consent of the SBA, to terminate the 2021-1 Trust by purchasing the 2021-1 Trust assets, with the Class A and B noteholders receiving the redemption price from the proceeds.</w:t>
      </w:r>
    </w:p>
    <w:p>
      <w:pPr>
        <w:spacing w:after="0" w:line="20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 October 2019, NSBF completed its tenth securitization which resulted in the transfer of $118.9 million of unguaranteed portions of SBA loans to the 2019-1 Trust. The 2019-1 Trust in turn issued securitization notes for the par amount of $118.9 million, consisting of $93.5 million of Class A notes and $25.4 million Class B notes, against the 2019-1 Trust assets in a private placement. The Class A and Class B notes received an “A” and “BBB-” rating by S&amp;P, respectively, and the final maturity date of the notes is December 2044. The Class A and Class B notes bear interest at an average rate of adjusted SOFR plus 1.83% across both classes. In October, 2024, the 2019-1 Trust was terminated as a result of NSBF purchasing the 2019-1 Trust assets, with the 2019-1 Trust’s noteholders receiving the redemption price.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color w:val="auto"/>
        </w:rPr>
        <w:t>In November 2018, NSBF completed its ninth securitization which resulted in the transfer of $108.6 million of unguaranteed portions of SBA loans to the 2018-1 Trust. The 2018-1 Trust in turn issued securitization notes for the par amount of $108.6 million, consisting of $82.9 million Class A notes and $25.7 million of Class B notes, against the assets in a private placement. The Class A and Class B notes received an “A” and “BBB-” rating by S&amp;P, respectively, and the final maturity date of the notes is February 2044. In October, 2024, the 2018-1 Trust was terminated as a result of NSBF purchasing the 2018-1 Trust assets, with the 2018-1 Trust’s noteholders receiving the redemption price.</w:t>
      </w:r>
    </w:p>
    <w:p>
      <w:pPr>
        <w:spacing w:after="0" w:line="213" w:lineRule="exact"/>
        <w:rPr>
          <w:sz w:val="20"/>
          <w:szCs w:val="20"/>
          <w:color w:val="auto"/>
        </w:rPr>
      </w:pPr>
    </w:p>
    <w:p>
      <w:pPr>
        <w:jc w:val="both"/>
        <w:ind w:right="180"/>
        <w:spacing w:after="0" w:line="251" w:lineRule="auto"/>
        <w:rPr>
          <w:sz w:val="20"/>
          <w:szCs w:val="20"/>
          <w:color w:val="auto"/>
        </w:rPr>
      </w:pPr>
      <w:r>
        <w:rPr>
          <w:rFonts w:ascii="Times New Roman" w:cs="Times New Roman" w:eastAsia="Times New Roman" w:hAnsi="Times New Roman"/>
          <w:sz w:val="18"/>
          <w:szCs w:val="18"/>
          <w:color w:val="auto"/>
        </w:rPr>
        <w:t>In December 2017, NSBF completed its eighth securitization which resulted in the transfer of $76.2 million of unguaranteed portions of SBA loans to the 2017-1 Trust. The 2017-1 Trust in turn issued securitization notes for the par amount of $75.4 million, consisting of $58.1 million Class A notes and $17.3 million of Class B notes, against the assets in a private placement. The Class A and Class B notes received an “A” and “BBB-” rating by S&amp;P, respectively, and the final maturity date of the notes is February 2043. On February 27, 2023, the 2017-1 Trust was terminated as a result of NSBF purchasing the 2017-1 Trust assets, with the 2017-1 Trust’s noteholders receiving the redemption price.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Capital</w:t>
      </w:r>
    </w:p>
    <w:p>
      <w:pPr>
        <w:spacing w:after="0" w:line="244"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8"/>
          <w:szCs w:val="18"/>
          <w:color w:val="auto"/>
        </w:rPr>
        <w:t>The Company strives to maintain prudent capital levels to absorb risk and maximizing returns to shareholders. The Company and Newtek Bank are primarily constrained by the Total Capital and Leverage ratios given the mix of assets vis-a-vis capital.</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amounts and ratios for the Company as of June 30, 2025 and 2024 are presented in the table below:</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3"/>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gridSpan w:val="3"/>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w w:val="99"/>
              </w:rPr>
              <w:t>For Capital Adequacy Purposes</w:t>
            </w:r>
            <w:r>
              <w:rPr>
                <w:rFonts w:ascii="Times New Roman" w:cs="Times New Roman" w:eastAsia="Times New Roman" w:hAnsi="Times New Roman"/>
                <w:sz w:val="18"/>
                <w:szCs w:val="18"/>
                <w:b w:val="1"/>
                <w:bCs w:val="1"/>
                <w:color w:val="auto"/>
                <w:w w:val="99"/>
                <w:vertAlign w:val="superscript"/>
              </w:rPr>
              <w:t>1</w:t>
            </w:r>
          </w:p>
        </w:tc>
        <w:tc>
          <w:tcPr>
            <w:tcW w:w="100" w:type="dxa"/>
            <w:vAlign w:val="bottom"/>
            <w:vMerge w:val="restart"/>
          </w:tcPr>
          <w:p>
            <w:pPr>
              <w:spacing w:after="0"/>
              <w:rPr>
                <w:sz w:val="13"/>
                <w:szCs w:val="13"/>
                <w:color w:val="auto"/>
              </w:rPr>
            </w:pPr>
          </w:p>
        </w:tc>
        <w:tc>
          <w:tcPr>
            <w:tcW w:w="21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For Consideration as Well-</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vMerge w:val="continue"/>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420" w:type="dxa"/>
            <w:vAlign w:val="bottom"/>
            <w:tcBorders>
              <w:bottom w:val="single" w:sz="8" w:color="auto"/>
            </w:tcBorders>
            <w:gridSpan w:val="3"/>
          </w:tcPr>
          <w:p>
            <w:pPr>
              <w:jc w:val="center"/>
              <w:ind w:left="597"/>
              <w:spacing w:after="0"/>
              <w:rPr>
                <w:sz w:val="20"/>
                <w:szCs w:val="20"/>
                <w:color w:val="auto"/>
              </w:rPr>
            </w:pPr>
            <w:r>
              <w:rPr>
                <w:rFonts w:ascii="Times New Roman" w:cs="Times New Roman" w:eastAsia="Times New Roman" w:hAnsi="Times New Roman"/>
                <w:sz w:val="14"/>
                <w:szCs w:val="14"/>
                <w:b w:val="1"/>
                <w:bCs w:val="1"/>
                <w:color w:val="auto"/>
              </w:rPr>
              <w:t>Capitalized</w:t>
            </w: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40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NewtekOne, Inc. - June 30, 2025</w:t>
            </w:r>
          </w:p>
        </w:tc>
        <w:tc>
          <w:tcPr>
            <w:tcW w:w="200" w:type="dxa"/>
            <w:vAlign w:val="bottom"/>
          </w:tcPr>
          <w:p>
            <w:pPr>
              <w:spacing w:after="0"/>
              <w:rPr>
                <w:sz w:val="17"/>
                <w:szCs w:val="17"/>
                <w:color w:val="auto"/>
              </w:rPr>
            </w:pP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Ratio</w:t>
            </w:r>
          </w:p>
        </w:tc>
        <w:tc>
          <w:tcPr>
            <w:tcW w:w="120" w:type="dxa"/>
            <w:vAlign w:val="bottom"/>
          </w:tcPr>
          <w:p>
            <w:pPr>
              <w:spacing w:after="0"/>
              <w:rPr>
                <w:sz w:val="17"/>
                <w:szCs w:val="17"/>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Ratio</w:t>
            </w:r>
          </w:p>
        </w:tc>
        <w:tc>
          <w:tcPr>
            <w:tcW w:w="142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Ratio</w:t>
            </w:r>
          </w:p>
        </w:tc>
        <w:tc>
          <w:tcPr>
            <w:tcW w:w="0" w:type="dxa"/>
            <w:vAlign w:val="bottom"/>
          </w:tcPr>
          <w:p>
            <w:pPr>
              <w:spacing w:after="0"/>
              <w:rPr>
                <w:sz w:val="1"/>
                <w:szCs w:val="1"/>
                <w:color w:val="auto"/>
              </w:rPr>
            </w:pPr>
          </w:p>
        </w:tc>
      </w:tr>
      <w:tr>
        <w:trPr>
          <w:trHeight w:val="218"/>
        </w:trPr>
        <w:tc>
          <w:tcPr>
            <w:tcW w:w="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6"/>
              </w:rPr>
              <w:t>Tier 1</w:t>
            </w:r>
          </w:p>
        </w:tc>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(to Average Assets)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256,357</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83,816</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5"/>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Equity Tier 1 (to Risk-Weighted Assets)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71,595</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tcPr>
          <w:p>
            <w:pPr>
              <w:spacing w:after="0"/>
              <w:rPr>
                <w:sz w:val="19"/>
                <w:szCs w:val="19"/>
                <w:color w:val="auto"/>
              </w:rPr>
            </w:pPr>
          </w:p>
        </w:tc>
        <w:tc>
          <w:tcPr>
            <w:tcW w:w="142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6"/>
              </w:rPr>
              <w:t>N/A</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5"/>
        </w:trPr>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6"/>
              </w:rPr>
              <w:t>Tier 1</w:t>
            </w:r>
          </w:p>
        </w:tc>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(to Risk-Weighted Assets)</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95,460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color w:val="auto"/>
                <w:w w:val="96"/>
              </w:rPr>
              <w:t>N/A</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5"/>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127,280</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tcPr>
          <w:p>
            <w:pPr>
              <w:spacing w:after="0"/>
              <w:rPr>
                <w:sz w:val="19"/>
                <w:szCs w:val="19"/>
                <w:color w:val="auto"/>
              </w:rPr>
            </w:pPr>
          </w:p>
        </w:tc>
        <w:tc>
          <w:tcPr>
            <w:tcW w:w="142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6"/>
              </w:rPr>
              <w:t>N/A</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5"/>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NewtekOne, Inc. - June 30, 2024</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6"/>
              </w:rPr>
              <w:t>Tier 1</w:t>
            </w: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(to Average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57,182</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Pr>
          <w:p>
            <w:pPr>
              <w:spacing w:after="0"/>
              <w:rPr>
                <w:sz w:val="19"/>
                <w:szCs w:val="19"/>
                <w:color w:val="auto"/>
              </w:rPr>
            </w:pPr>
          </w:p>
        </w:tc>
        <w:tc>
          <w:tcPr>
            <w:tcW w:w="142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6"/>
              </w:rPr>
              <w:t>N/A</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5"/>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Equity Tier 1 (to Risk-Weighted Assets)</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54,859</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color w:val="auto"/>
                <w:w w:val="96"/>
              </w:rPr>
              <w:t>N/A</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5"/>
        </w:trPr>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6"/>
              </w:rPr>
              <w:t>Tier 1</w:t>
            </w: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(to Risk-Weighted Assets)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73,146</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tcPr>
          <w:p>
            <w:pPr>
              <w:spacing w:after="0"/>
              <w:rPr>
                <w:sz w:val="19"/>
                <w:szCs w:val="19"/>
                <w:color w:val="auto"/>
              </w:rPr>
            </w:pPr>
          </w:p>
        </w:tc>
        <w:tc>
          <w:tcPr>
            <w:tcW w:w="142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6"/>
              </w:rPr>
              <w:t>N/A</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5"/>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97,528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color w:val="auto"/>
                <w:w w:val="96"/>
              </w:rPr>
              <w:t>N/A</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100" w:hanging="94"/>
        <w:spacing w:after="0"/>
        <w:tabs>
          <w:tab w:leader="none" w:pos="100" w:val="left"/>
        </w:tabs>
        <w:numPr>
          <w:ilvl w:val="0"/>
          <w:numId w:val="5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Exclusive of the capital conservation buffer of 2.5% of risk-weighted assets.</w:t>
      </w:r>
    </w:p>
    <w:p>
      <w:pPr>
        <w:spacing w:after="0" w:line="220"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8"/>
          <w:szCs w:val="18"/>
          <w:color w:val="auto"/>
        </w:rPr>
        <w:t>Capital amounts and ratios for Newtek Bank as of June 30, 2025, and 2024 are presented in the table below. As of June 30, 2025 and 2024, Newtek Bank was categorized as “well-capitalized” under the prompt corrective action measures and met the capital conservation buffer requirements.</w:t>
      </w:r>
    </w:p>
    <w:tbl>
      <w:tblPr>
        <w:tblLayout w:type="fixed"/>
        <w:tblInd w:w="0" w:type="dxa"/>
        <w:tblCellMar>
          <w:top w:w="0" w:type="dxa"/>
          <w:left w:w="0" w:type="dxa"/>
          <w:bottom w:w="0" w:type="dxa"/>
          <w:right w:w="0" w:type="dxa"/>
        </w:tblCellMar>
      </w:tblPr>
      <w:tr>
        <w:trPr>
          <w:trHeight w:val="145"/>
        </w:trPr>
        <w:tc>
          <w:tcPr>
            <w:tcW w:w="4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3"/>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gridSpan w:val="3"/>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w w:val="98"/>
              </w:rPr>
              <w:t>For Capital Adequacy Purposes</w:t>
            </w:r>
            <w:r>
              <w:rPr>
                <w:rFonts w:ascii="Times New Roman" w:cs="Times New Roman" w:eastAsia="Times New Roman" w:hAnsi="Times New Roman"/>
                <w:sz w:val="18"/>
                <w:szCs w:val="18"/>
                <w:b w:val="1"/>
                <w:bCs w:val="1"/>
                <w:color w:val="auto"/>
                <w:w w:val="98"/>
                <w:vertAlign w:val="superscript"/>
              </w:rPr>
              <w:t>1</w:t>
            </w:r>
          </w:p>
        </w:tc>
        <w:tc>
          <w:tcPr>
            <w:tcW w:w="8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2060" w:type="dxa"/>
            <w:vAlign w:val="bottom"/>
            <w:gridSpan w:val="4"/>
          </w:tcPr>
          <w:p>
            <w:pPr>
              <w:jc w:val="center"/>
              <w:ind w:right="74"/>
              <w:spacing w:after="0" w:line="145" w:lineRule="exact"/>
              <w:rPr>
                <w:sz w:val="20"/>
                <w:szCs w:val="20"/>
                <w:color w:val="auto"/>
              </w:rPr>
            </w:pPr>
            <w:r>
              <w:rPr>
                <w:rFonts w:ascii="Times New Roman" w:cs="Times New Roman" w:eastAsia="Times New Roman" w:hAnsi="Times New Roman"/>
                <w:sz w:val="14"/>
                <w:szCs w:val="14"/>
                <w:b w:val="1"/>
                <w:bCs w:val="1"/>
                <w:color w:val="auto"/>
                <w:w w:val="99"/>
              </w:rPr>
              <w:t>For Consideration as Well-</w:t>
            </w:r>
          </w:p>
        </w:tc>
        <w:tc>
          <w:tcPr>
            <w:tcW w:w="0" w:type="dxa"/>
            <w:vAlign w:val="bottom"/>
          </w:tcPr>
          <w:p>
            <w:pPr>
              <w:spacing w:after="0"/>
              <w:rPr>
                <w:sz w:val="1"/>
                <w:szCs w:val="1"/>
                <w:color w:val="auto"/>
              </w:rPr>
            </w:pPr>
          </w:p>
        </w:tc>
      </w:tr>
      <w:tr>
        <w:trPr>
          <w:trHeight w:val="198"/>
        </w:trPr>
        <w:tc>
          <w:tcPr>
            <w:tcW w:w="46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vMerge w:val="continue"/>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w w:val="99"/>
              </w:rPr>
              <w:t>Capitalized</w:t>
            </w: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32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Newtek Bank - June 30, 2025</w:t>
            </w:r>
          </w:p>
        </w:tc>
        <w:tc>
          <w:tcPr>
            <w:tcW w:w="180" w:type="dxa"/>
            <w:vAlign w:val="bottom"/>
          </w:tcPr>
          <w:p>
            <w:pPr>
              <w:spacing w:after="0"/>
              <w:rPr>
                <w:sz w:val="17"/>
                <w:szCs w:val="17"/>
                <w:color w:val="auto"/>
              </w:rPr>
            </w:pP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gridSpan w:val="3"/>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Ratio</w:t>
            </w: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Ratio</w:t>
            </w:r>
          </w:p>
        </w:tc>
        <w:tc>
          <w:tcPr>
            <w:tcW w:w="180" w:type="dxa"/>
            <w:vAlign w:val="bottom"/>
          </w:tcPr>
          <w:p>
            <w:pPr>
              <w:spacing w:after="0"/>
              <w:rPr>
                <w:sz w:val="17"/>
                <w:szCs w:val="17"/>
                <w:color w:val="auto"/>
              </w:rPr>
            </w:pPr>
          </w:p>
        </w:tc>
        <w:tc>
          <w:tcPr>
            <w:tcW w:w="13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Ratio</w:t>
            </w:r>
          </w:p>
        </w:tc>
        <w:tc>
          <w:tcPr>
            <w:tcW w:w="0" w:type="dxa"/>
            <w:vAlign w:val="bottom"/>
          </w:tcPr>
          <w:p>
            <w:pPr>
              <w:spacing w:after="0"/>
              <w:rPr>
                <w:sz w:val="1"/>
                <w:szCs w:val="1"/>
                <w:color w:val="auto"/>
              </w:rPr>
            </w:pPr>
          </w:p>
        </w:tc>
      </w:tr>
      <w:tr>
        <w:trPr>
          <w:trHeight w:val="218"/>
        </w:trPr>
        <w:tc>
          <w:tcPr>
            <w:tcW w:w="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6"/>
              </w:rPr>
              <w:t>Tier 1</w:t>
            </w:r>
          </w:p>
        </w:tc>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(to Average Assets)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136,358</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47,987</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59,984</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25"/>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Equity Tier 1 (to Risk-Weighted Assets)</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136,358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47,347</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68,390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25"/>
        </w:trPr>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6"/>
              </w:rPr>
              <w:t>Tier 1</w:t>
            </w:r>
          </w:p>
        </w:tc>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(to Risk-Weighted Assets)</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136,358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63,129</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84,173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25"/>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149,880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84,173</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105,216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5"/>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Newtek Bank - June 30, 2024</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6"/>
              </w:rPr>
              <w:t>Tier 1</w:t>
            </w:r>
          </w:p>
        </w:tc>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(to Average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106,760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31,400</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39,250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25"/>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Equity Tier 1 (to Risk-Weighted Assets)</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106,760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25"/>
        </w:trPr>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6"/>
              </w:rPr>
              <w:t>Tier 1</w:t>
            </w:r>
          </w:p>
        </w:tc>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(to Risk-Weighted Assets)</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106,760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37,460</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49,946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25"/>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114,750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50,164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62,705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100" w:hanging="94"/>
        <w:spacing w:after="0"/>
        <w:tabs>
          <w:tab w:leader="none" w:pos="100" w:val="left"/>
        </w:tabs>
        <w:numPr>
          <w:ilvl w:val="0"/>
          <w:numId w:val="6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Exclusive of the capital conservation buffer of 2.5% of risk-weighted assets.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and Liquidity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available sources of liquidity as of June 30, 2025 and December 31, 2024:</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3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4"/>
          </w:tcPr>
          <w:p>
            <w:pPr>
              <w:jc w:val="right"/>
              <w:ind w:right="1212"/>
              <w:spacing w:after="0"/>
              <w:rPr>
                <w:sz w:val="20"/>
                <w:szCs w:val="20"/>
                <w:color w:val="auto"/>
              </w:rPr>
            </w:pPr>
            <w:r>
              <w:rPr>
                <w:rFonts w:ascii="Times New Roman" w:cs="Times New Roman" w:eastAsia="Times New Roman" w:hAnsi="Times New Roman"/>
                <w:sz w:val="18"/>
                <w:szCs w:val="18"/>
                <w:b w:val="1"/>
                <w:bCs w:val="1"/>
                <w:color w:val="auto"/>
              </w:rPr>
              <w:t>Availability as of</w:t>
            </w:r>
          </w:p>
        </w:tc>
      </w:tr>
      <w:tr>
        <w:trPr>
          <w:trHeight w:val="218"/>
        </w:trPr>
        <w:tc>
          <w:tcPr>
            <w:tcW w:w="7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60" w:type="dxa"/>
            <w:vAlign w:val="bottom"/>
          </w:tcPr>
          <w:p>
            <w:pPr>
              <w:spacing w:after="0"/>
              <w:rPr>
                <w:sz w:val="18"/>
                <w:szCs w:val="18"/>
                <w:color w:val="auto"/>
              </w:rPr>
            </w:pPr>
          </w:p>
        </w:tc>
        <w:tc>
          <w:tcPr>
            <w:tcW w:w="172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8"/>
        </w:trPr>
        <w:tc>
          <w:tcPr>
            <w:tcW w:w="7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Unrestricted cash</w:t>
            </w:r>
          </w:p>
        </w:tc>
        <w:tc>
          <w:tcPr>
            <w:tcW w:w="28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10,124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6,941</w:t>
            </w:r>
          </w:p>
        </w:tc>
      </w:tr>
      <w:tr>
        <w:trPr>
          <w:trHeight w:val="436"/>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Lines of credit at other commercial banks</w:t>
            </w:r>
            <w:r>
              <w:rPr>
                <w:rFonts w:ascii="Times New Roman" w:cs="Times New Roman" w:eastAsia="Times New Roman" w:hAnsi="Times New Roman"/>
                <w:sz w:val="22"/>
                <w:szCs w:val="22"/>
                <w:color w:val="auto"/>
                <w:vertAlign w:val="superscript"/>
              </w:rPr>
              <w:t>1</w:t>
            </w:r>
          </w:p>
        </w:tc>
        <w:tc>
          <w:tcPr>
            <w:tcW w:w="280" w:type="dxa"/>
            <w:vAlign w:val="bottom"/>
          </w:tcPr>
          <w:p>
            <w:pPr>
              <w:spacing w:after="0"/>
              <w:rPr>
                <w:sz w:val="24"/>
                <w:szCs w:val="24"/>
                <w:color w:val="auto"/>
              </w:rPr>
            </w:pP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9,196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60,903</w:t>
            </w:r>
          </w:p>
        </w:tc>
      </w:tr>
      <w:tr>
        <w:trPr>
          <w:trHeight w:val="225"/>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Newtek Bank:</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436"/>
        </w:trPr>
        <w:tc>
          <w:tcPr>
            <w:tcW w:w="7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bearing deposits in banks</w:t>
            </w:r>
          </w:p>
        </w:tc>
        <w:tc>
          <w:tcPr>
            <w:tcW w:w="280" w:type="dxa"/>
            <w:vAlign w:val="bottom"/>
          </w:tcPr>
          <w:p>
            <w:pPr>
              <w:spacing w:after="0"/>
              <w:rPr>
                <w:sz w:val="24"/>
                <w:szCs w:val="24"/>
                <w:color w:val="auto"/>
              </w:rPr>
            </w:pP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180,013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346,207</w:t>
            </w:r>
          </w:p>
        </w:tc>
      </w:tr>
      <w:tr>
        <w:trPr>
          <w:trHeight w:val="225"/>
        </w:trPr>
        <w:tc>
          <w:tcPr>
            <w:tcW w:w="7360" w:type="dxa"/>
            <w:vAlign w:val="bottom"/>
            <w:shd w:val="clear" w:color="auto" w:fill="CCEEFF"/>
          </w:tcPr>
          <w:p>
            <w:pPr>
              <w:ind w:left="240"/>
              <w:spacing w:after="0" w:line="225" w:lineRule="exact"/>
              <w:rPr>
                <w:sz w:val="20"/>
                <w:szCs w:val="20"/>
                <w:color w:val="auto"/>
              </w:rPr>
            </w:pPr>
            <w:r>
              <w:rPr>
                <w:rFonts w:ascii="Times New Roman" w:cs="Times New Roman" w:eastAsia="Times New Roman" w:hAnsi="Times New Roman"/>
                <w:sz w:val="18"/>
                <w:szCs w:val="18"/>
                <w:color w:val="auto"/>
              </w:rPr>
              <w:t>FHLB borrowing availability</w:t>
            </w:r>
            <w:r>
              <w:rPr>
                <w:rFonts w:ascii="Times New Roman" w:cs="Times New Roman" w:eastAsia="Times New Roman" w:hAnsi="Times New Roman"/>
                <w:sz w:val="22"/>
                <w:szCs w:val="22"/>
                <w:color w:val="auto"/>
                <w:vertAlign w:val="superscript"/>
              </w:rPr>
              <w:t>1</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57,908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39,780</w:t>
            </w:r>
          </w:p>
        </w:tc>
      </w:tr>
      <w:tr>
        <w:trPr>
          <w:trHeight w:val="225"/>
        </w:trPr>
        <w:tc>
          <w:tcPr>
            <w:tcW w:w="7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Lines of credit at other financial institutions</w:t>
            </w: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30,000</w:t>
            </w:r>
          </w:p>
        </w:tc>
      </w:tr>
      <w:tr>
        <w:trPr>
          <w:trHeight w:val="243"/>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liquidity sources</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287,241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483,831</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39" w:lineRule="exact"/>
        <w:rPr>
          <w:sz w:val="20"/>
          <w:szCs w:val="20"/>
          <w:color w:val="auto"/>
        </w:rPr>
      </w:pPr>
    </w:p>
    <w:p>
      <w:pPr>
        <w:ind w:left="180" w:hanging="174"/>
        <w:spacing w:after="0"/>
        <w:tabs>
          <w:tab w:leader="none" w:pos="180" w:val="left"/>
        </w:tabs>
        <w:numPr>
          <w:ilvl w:val="0"/>
          <w:numId w:val="6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Availability as of June 30, 2025 and December 31, 2024 is based on collateral pledged as of that date.</w:t>
      </w:r>
    </w:p>
    <w:p>
      <w:pPr>
        <w:spacing w:after="0" w:line="220"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8"/>
          <w:szCs w:val="18"/>
          <w:color w:val="auto"/>
        </w:rPr>
        <w:t>The Company has restricted cash of $23.2 million as of June 30, 2025. NSBF holds $6.8 million of the Company’s restricted cash, which includes reserves in the event payments are insufficient to cover interest and/or principal with respect to securitizations and loan principal and interest collected which are due to loan participants. In addition, the Company has funded a $10.0 million account at Newtek Bank to fund certain of NSBF’s potential obligations to the SBA pursuant to the Wind-down Agreement. of which the Company is a guarantor. The majority of the Company’s remaining restricted cash is held by the parent company.</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The Company generated and used cash as follows:</w:t>
            </w:r>
          </w:p>
        </w:tc>
        <w:tc>
          <w:tcPr>
            <w:tcW w:w="1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344"/>
        </w:trPr>
        <w:tc>
          <w:tcPr>
            <w:tcW w:w="7420" w:type="dxa"/>
            <w:vAlign w:val="bottom"/>
          </w:tcPr>
          <w:p>
            <w:pPr>
              <w:spacing w:after="0"/>
              <w:rPr>
                <w:sz w:val="24"/>
                <w:szCs w:val="24"/>
                <w:color w:val="auto"/>
              </w:rPr>
            </w:pPr>
          </w:p>
        </w:tc>
        <w:tc>
          <w:tcPr>
            <w:tcW w:w="3080" w:type="dxa"/>
            <w:vAlign w:val="bottom"/>
            <w:tcBorders>
              <w:bottom w:val="single" w:sz="8" w:color="auto"/>
            </w:tcBorders>
            <w:gridSpan w:val="4"/>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700" w:type="dxa"/>
            <w:vAlign w:val="bottom"/>
            <w:tcBorders>
              <w:bottom w:val="single" w:sz="8" w:color="auto"/>
            </w:tcBorders>
          </w:tcPr>
          <w:p>
            <w:pPr>
              <w:spacing w:after="0"/>
              <w:rPr>
                <w:sz w:val="24"/>
                <w:szCs w:val="24"/>
                <w:color w:val="auto"/>
              </w:rPr>
            </w:pPr>
          </w:p>
        </w:tc>
      </w:tr>
      <w:tr>
        <w:trPr>
          <w:trHeight w:val="218"/>
        </w:trPr>
        <w:tc>
          <w:tcPr>
            <w:tcW w:w="74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bottom w:val="single" w:sz="8" w:color="auto"/>
            </w:tcBorders>
          </w:tcPr>
          <w:p>
            <w:pPr>
              <w:spacing w:after="0"/>
              <w:rPr>
                <w:sz w:val="18"/>
                <w:szCs w:val="18"/>
                <w:color w:val="auto"/>
              </w:rPr>
            </w:pPr>
          </w:p>
        </w:tc>
      </w:tr>
      <w:tr>
        <w:trPr>
          <w:trHeight w:val="218"/>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100" w:type="dxa"/>
            <w:vAlign w:val="bottom"/>
            <w:shd w:val="clear" w:color="auto" w:fill="CCEEFF"/>
          </w:tcPr>
          <w:p>
            <w:pPr>
              <w:jc w:val="right"/>
              <w:ind w:right="9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(260,518)</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(35,751)</w:t>
            </w:r>
          </w:p>
        </w:tc>
      </w:tr>
      <w:tr>
        <w:trPr>
          <w:trHeight w:val="225"/>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0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(124,076)</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(97,763)</w:t>
            </w:r>
          </w:p>
        </w:tc>
      </w:tr>
      <w:tr>
        <w:trPr>
          <w:trHeight w:val="225"/>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216,509</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155,846</w:t>
            </w:r>
          </w:p>
        </w:tc>
      </w:tr>
      <w:tr>
        <w:trPr>
          <w:trHeight w:val="218"/>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restricted cash</w:t>
            </w:r>
          </w:p>
        </w:tc>
        <w:tc>
          <w:tcPr>
            <w:tcW w:w="1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(168,085)</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22,332</w:t>
            </w:r>
          </w:p>
        </w:tc>
      </w:tr>
      <w:tr>
        <w:trPr>
          <w:trHeight w:val="225"/>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restricted cash—beginning of period (NOTE 2)</w:t>
            </w:r>
          </w:p>
        </w:tc>
        <w:tc>
          <w:tcPr>
            <w:tcW w:w="1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381,374</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184,006</w:t>
            </w:r>
          </w:p>
        </w:tc>
      </w:tr>
      <w:tr>
        <w:trPr>
          <w:trHeight w:val="218"/>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restricted cash—end of period (NOTE 2)</w:t>
            </w:r>
          </w:p>
        </w:tc>
        <w:tc>
          <w:tcPr>
            <w:tcW w:w="1100" w:type="dxa"/>
            <w:vAlign w:val="bottom"/>
            <w:tcBorders>
              <w:bottom w:val="single" w:sz="8" w:color="auto"/>
            </w:tcBorders>
          </w:tcPr>
          <w:p>
            <w:pPr>
              <w:jc w:val="right"/>
              <w:ind w:right="9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213,289</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206,338</w:t>
            </w:r>
          </w:p>
        </w:tc>
      </w:tr>
      <w:tr>
        <w:trPr>
          <w:trHeight w:val="20"/>
        </w:trPr>
        <w:tc>
          <w:tcPr>
            <w:tcW w:w="74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ind w:right="160"/>
        <w:spacing w:after="0" w:line="300" w:lineRule="auto"/>
        <w:rPr>
          <w:sz w:val="20"/>
          <w:szCs w:val="20"/>
          <w:color w:val="auto"/>
        </w:rPr>
      </w:pPr>
      <w:r>
        <w:rPr>
          <w:rFonts w:ascii="Times New Roman" w:cs="Times New Roman" w:eastAsia="Times New Roman" w:hAnsi="Times New Roman"/>
          <w:sz w:val="17"/>
          <w:szCs w:val="17"/>
          <w:color w:val="auto"/>
        </w:rPr>
        <w:t>During the six months ended June 30, 2025, operating activities used cash of $260.5 million, consisting primarily of $508.4 million of funding loans held for sale. This use of cash was offset by (i) $217.3 million of proceeds from the sale of loans; and (ii) $32.8 million from the payment of settlement receivables.</w:t>
      </w:r>
    </w:p>
    <w:p>
      <w:pPr>
        <w:spacing w:after="0" w:line="146" w:lineRule="exact"/>
        <w:rPr>
          <w:sz w:val="20"/>
          <w:szCs w:val="20"/>
          <w:color w:val="auto"/>
        </w:rPr>
      </w:pPr>
    </w:p>
    <w:p>
      <w:pPr>
        <w:jc w:val="both"/>
        <w:ind w:right="280"/>
        <w:spacing w:after="0" w:line="258" w:lineRule="auto"/>
        <w:rPr>
          <w:sz w:val="20"/>
          <w:szCs w:val="20"/>
          <w:color w:val="auto"/>
        </w:rPr>
      </w:pPr>
      <w:r>
        <w:rPr>
          <w:rFonts w:ascii="Times New Roman" w:cs="Times New Roman" w:eastAsia="Times New Roman" w:hAnsi="Times New Roman"/>
          <w:sz w:val="18"/>
          <w:szCs w:val="18"/>
          <w:color w:val="auto"/>
        </w:rPr>
        <w:t>Cash used by investing activities was $124.1 million primarily comprised (i) $171.6 million in the net increase in loans held for investment, at cost; and (ii) $3.9 million in purchases of available-for-sale securities. These uses were partially offset by (i) a $34.0 million net decrease in loans held for investment, at fair value; and (ii) $14.0 million in maturities of available-for-sale securities.</w:t>
      </w:r>
    </w:p>
    <w:p>
      <w:pPr>
        <w:spacing w:after="0" w:line="179"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17"/>
          <w:szCs w:val="17"/>
          <w:color w:val="auto"/>
        </w:rPr>
        <w:t>Net cash provided by financing activities was $216.5 million consisting primarily of a (i) $84.0 million of borrowings on bank notes payable; and (ii) $30.0 million of net proceeds from the 2030 Notes. These sources of cash were offset by (i) $30.0 million maturity of the 2025 5.0% Notes; (ii) $29.6 million of principal payments related to securitization notes payable; (iii) $110.2 million net decrease in deposits; and (iv) $10.5 million of dividends paid.</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18"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8"/>
          <w:szCs w:val="18"/>
          <w:color w:val="auto"/>
        </w:rPr>
        <w:t>The following table represents the Company’s obligations and commitments as of June 30, 2025. Amounts represent principal only and are not shown net of unamortized debt issuance costs. See NOTE 11—BORROWINGS.</w:t>
      </w:r>
    </w:p>
    <w:p>
      <w:pPr>
        <w:spacing w:after="0" w:line="295" w:lineRule="exact"/>
        <w:rPr>
          <w:sz w:val="20"/>
          <w:szCs w:val="20"/>
          <w:color w:val="auto"/>
        </w:rPr>
      </w:pPr>
    </w:p>
    <w:tbl>
      <w:tblPr>
        <w:tblLayout w:type="fixed"/>
        <w:tblInd w:w="80" w:type="dxa"/>
        <w:tblCellMar>
          <w:top w:w="0" w:type="dxa"/>
          <w:left w:w="0" w:type="dxa"/>
          <w:bottom w:w="0" w:type="dxa"/>
          <w:right w:w="0" w:type="dxa"/>
        </w:tblCellMar>
      </w:tblPr>
      <w:tr>
        <w:trPr>
          <w:trHeight w:val="186"/>
        </w:trPr>
        <w:tc>
          <w:tcPr>
            <w:tcW w:w="14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32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ind w:left="180"/>
              <w:spacing w:after="0" w:line="139" w:lineRule="exact"/>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2"/>
                <w:szCs w:val="12"/>
                <w:color w:val="auto"/>
              </w:rPr>
            </w:pPr>
          </w:p>
        </w:tc>
        <w:tc>
          <w:tcPr>
            <w:tcW w:w="880" w:type="dxa"/>
            <w:vAlign w:val="bottom"/>
          </w:tcPr>
          <w:p>
            <w:pPr>
              <w:jc w:val="right"/>
              <w:ind w:right="353"/>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ind w:right="273"/>
              <w:spacing w:after="0" w:line="139"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ind w:right="293"/>
              <w:spacing w:after="0" w:line="139" w:lineRule="exact"/>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ind w:right="273"/>
              <w:spacing w:after="0" w:line="139" w:lineRule="exact"/>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ind w:right="273"/>
              <w:spacing w:after="0" w:line="139" w:lineRule="exact"/>
              <w:rPr>
                <w:sz w:val="20"/>
                <w:szCs w:val="20"/>
                <w:color w:val="auto"/>
              </w:rPr>
            </w:pPr>
            <w:r>
              <w:rPr>
                <w:rFonts w:ascii="Times New Roman" w:cs="Times New Roman" w:eastAsia="Times New Roman" w:hAnsi="Times New Roman"/>
                <w:sz w:val="14"/>
                <w:szCs w:val="14"/>
                <w:b w:val="1"/>
                <w:bCs w:val="1"/>
                <w:color w:val="auto"/>
              </w:rPr>
              <w:t>2029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73"/>
              <w:spacing w:after="0" w:line="139" w:lineRule="exact"/>
              <w:rPr>
                <w:sz w:val="20"/>
                <w:szCs w:val="20"/>
                <w:color w:val="auto"/>
              </w:rPr>
            </w:pPr>
            <w:r>
              <w:rPr>
                <w:rFonts w:ascii="Times New Roman" w:cs="Times New Roman" w:eastAsia="Times New Roman" w:hAnsi="Times New Roman"/>
                <w:sz w:val="14"/>
                <w:szCs w:val="14"/>
                <w:b w:val="1"/>
                <w:bCs w:val="1"/>
                <w:color w:val="auto"/>
              </w:rPr>
              <w:t>Thereafter</w:t>
            </w:r>
          </w:p>
        </w:tc>
        <w:tc>
          <w:tcPr>
            <w:tcW w:w="0" w:type="dxa"/>
            <w:vAlign w:val="bottom"/>
          </w:tcPr>
          <w:p>
            <w:pPr>
              <w:spacing w:after="0"/>
              <w:rPr>
                <w:sz w:val="1"/>
                <w:szCs w:val="1"/>
                <w:color w:val="auto"/>
              </w:rPr>
            </w:pPr>
          </w:p>
        </w:tc>
      </w:tr>
      <w:tr>
        <w:trPr>
          <w:trHeight w:val="33"/>
        </w:trPr>
        <w:tc>
          <w:tcPr>
            <w:tcW w:w="146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Deposits:</w:t>
            </w:r>
          </w:p>
        </w:tc>
        <w:tc>
          <w:tcPr>
            <w:tcW w:w="1760" w:type="dxa"/>
            <w:vAlign w:val="bottom"/>
            <w:vMerge w:val="restart"/>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1460" w:type="dxa"/>
            <w:vAlign w:val="bottom"/>
            <w:vMerge w:val="continue"/>
          </w:tcPr>
          <w:p>
            <w:pPr>
              <w:spacing w:after="0"/>
              <w:rPr>
                <w:sz w:val="17"/>
                <w:szCs w:val="17"/>
                <w:color w:val="auto"/>
              </w:rPr>
            </w:pPr>
          </w:p>
        </w:tc>
        <w:tc>
          <w:tcPr>
            <w:tcW w:w="17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Demand</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Checking</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Money market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Savings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Time deposits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437,148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5"/>
        </w:trPr>
        <w:tc>
          <w:tcPr>
            <w:tcW w:w="3220" w:type="dxa"/>
            <w:vAlign w:val="bottom"/>
            <w:gridSpan w:val="2"/>
          </w:tcPr>
          <w:p>
            <w:pPr>
              <w:spacing w:after="0" w:line="225" w:lineRule="exact"/>
              <w:rPr>
                <w:sz w:val="20"/>
                <w:szCs w:val="20"/>
                <w:color w:val="auto"/>
              </w:rPr>
            </w:pPr>
            <w:r>
              <w:rPr>
                <w:rFonts w:ascii="Times New Roman" w:cs="Times New Roman" w:eastAsia="Times New Roman" w:hAnsi="Times New Roman"/>
                <w:sz w:val="18"/>
                <w:szCs w:val="18"/>
                <w:color w:val="auto"/>
              </w:rPr>
              <w:t>Webster NMS Note</w:t>
            </w:r>
            <w:r>
              <w:rPr>
                <w:rFonts w:ascii="Times New Roman" w:cs="Times New Roman" w:eastAsia="Times New Roman" w:hAnsi="Times New Roman"/>
                <w:sz w:val="22"/>
                <w:szCs w:val="22"/>
                <w:color w:val="auto"/>
                <w:vertAlign w:val="superscript"/>
              </w:rPr>
              <w:t>1</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FHLB Advances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220" w:type="dxa"/>
            <w:vAlign w:val="bottom"/>
            <w:gridSpan w:val="2"/>
          </w:tcPr>
          <w:p>
            <w:pPr>
              <w:spacing w:after="0" w:line="225" w:lineRule="exact"/>
              <w:rPr>
                <w:sz w:val="20"/>
                <w:szCs w:val="20"/>
                <w:color w:val="auto"/>
              </w:rPr>
            </w:pPr>
            <w:r>
              <w:rPr>
                <w:rFonts w:ascii="Times New Roman" w:cs="Times New Roman" w:eastAsia="Times New Roman" w:hAnsi="Times New Roman"/>
                <w:sz w:val="18"/>
                <w:szCs w:val="18"/>
                <w:color w:val="auto"/>
              </w:rPr>
              <w:t>SPV I Capital One Facility</w:t>
            </w:r>
            <w:r>
              <w:rPr>
                <w:rFonts w:ascii="Times New Roman" w:cs="Times New Roman" w:eastAsia="Times New Roman" w:hAnsi="Times New Roman"/>
                <w:sz w:val="22"/>
                <w:szCs w:val="22"/>
                <w:color w:val="auto"/>
                <w:vertAlign w:val="superscript"/>
              </w:rPr>
              <w:t>1</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220" w:type="dxa"/>
            <w:vAlign w:val="bottom"/>
            <w:gridSpan w:val="2"/>
            <w:shd w:val="clear" w:color="auto" w:fill="CCEEFF"/>
          </w:tcPr>
          <w:p>
            <w:pPr>
              <w:spacing w:after="0" w:line="225" w:lineRule="exact"/>
              <w:rPr>
                <w:sz w:val="20"/>
                <w:szCs w:val="20"/>
                <w:color w:val="auto"/>
              </w:rPr>
            </w:pPr>
            <w:r>
              <w:rPr>
                <w:rFonts w:ascii="Times New Roman" w:cs="Times New Roman" w:eastAsia="Times New Roman" w:hAnsi="Times New Roman"/>
                <w:sz w:val="18"/>
                <w:szCs w:val="18"/>
                <w:color w:val="auto"/>
              </w:rPr>
              <w:t>SPV II Deutsche Bank Facility</w:t>
            </w:r>
            <w:r>
              <w:rPr>
                <w:rFonts w:ascii="Times New Roman" w:cs="Times New Roman" w:eastAsia="Times New Roman" w:hAnsi="Times New Roman"/>
                <w:sz w:val="22"/>
                <w:szCs w:val="22"/>
                <w:color w:val="auto"/>
                <w:vertAlign w:val="superscript"/>
              </w:rPr>
              <w:t>1</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220" w:type="dxa"/>
            <w:vAlign w:val="bottom"/>
            <w:gridSpan w:val="2"/>
          </w:tcPr>
          <w:p>
            <w:pPr>
              <w:spacing w:after="0" w:line="225" w:lineRule="exact"/>
              <w:rPr>
                <w:sz w:val="20"/>
                <w:szCs w:val="20"/>
                <w:color w:val="auto"/>
              </w:rPr>
            </w:pPr>
            <w:r>
              <w:rPr>
                <w:rFonts w:ascii="Times New Roman" w:cs="Times New Roman" w:eastAsia="Times New Roman" w:hAnsi="Times New Roman"/>
                <w:sz w:val="18"/>
                <w:szCs w:val="18"/>
                <w:color w:val="auto"/>
              </w:rPr>
              <w:t>SPV III One Florida Bank Facility</w:t>
            </w:r>
            <w:r>
              <w:rPr>
                <w:rFonts w:ascii="Times New Roman" w:cs="Times New Roman" w:eastAsia="Times New Roman" w:hAnsi="Times New Roman"/>
                <w:sz w:val="22"/>
                <w:szCs w:val="22"/>
                <w:color w:val="auto"/>
                <w:vertAlign w:val="superscript"/>
              </w:rPr>
              <w:t>1</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Securitization Notes Payable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159,635</w:t>
            </w:r>
          </w:p>
        </w:tc>
        <w:tc>
          <w:tcPr>
            <w:tcW w:w="0" w:type="dxa"/>
            <w:vAlign w:val="bottom"/>
          </w:tcPr>
          <w:p>
            <w:pPr>
              <w:spacing w:after="0"/>
              <w:rPr>
                <w:sz w:val="1"/>
                <w:szCs w:val="1"/>
                <w:color w:val="auto"/>
              </w:rPr>
            </w:pPr>
          </w:p>
        </w:tc>
      </w:tr>
      <w:tr>
        <w:trPr>
          <w:trHeight w:val="225"/>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Company Notes:</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2026 Notes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0A2299"/>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220" w:type="dxa"/>
            <w:vAlign w:val="bottom"/>
            <w:gridSpan w:val="2"/>
          </w:tcPr>
          <w:p>
            <w:pPr>
              <w:ind w:left="220"/>
              <w:spacing w:after="0" w:line="225" w:lineRule="exact"/>
              <w:rPr>
                <w:sz w:val="20"/>
                <w:szCs w:val="20"/>
                <w:color w:val="auto"/>
              </w:rPr>
            </w:pPr>
            <w:r>
              <w:rPr>
                <w:rFonts w:ascii="Times New Roman" w:cs="Times New Roman" w:eastAsia="Times New Roman" w:hAnsi="Times New Roman"/>
                <w:sz w:val="18"/>
                <w:szCs w:val="18"/>
                <w:color w:val="auto"/>
              </w:rPr>
              <w:t>2027 Notes</w:t>
            </w:r>
            <w:r>
              <w:rPr>
                <w:rFonts w:ascii="Times New Roman" w:cs="Times New Roman" w:eastAsia="Times New Roman" w:hAnsi="Times New Roman"/>
                <w:sz w:val="22"/>
                <w:szCs w:val="22"/>
                <w:color w:val="auto"/>
                <w:vertAlign w:val="superscript"/>
              </w:rPr>
              <w:t>2</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2028 Notes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2029 8.625% Notes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2029 8.50% Notes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71,875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2030 Notes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25"/>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Employment Agreements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0" w:type="dxa"/>
            <w:vAlign w:val="bottom"/>
          </w:tcPr>
          <w:p>
            <w:pPr>
              <w:spacing w:after="0"/>
              <w:rPr>
                <w:sz w:val="1"/>
                <w:szCs w:val="1"/>
                <w:color w:val="auto"/>
              </w:rPr>
            </w:pPr>
          </w:p>
        </w:tc>
      </w:tr>
      <w:tr>
        <w:trPr>
          <w:trHeight w:val="243"/>
        </w:trPr>
        <w:tc>
          <w:tcPr>
            <w:tcW w:w="322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1,756,221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868,274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349,672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148,406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50,734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147,241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191,894</w:t>
            </w:r>
          </w:p>
        </w:tc>
        <w:tc>
          <w:tcPr>
            <w:tcW w:w="0" w:type="dxa"/>
            <w:vAlign w:val="bottom"/>
          </w:tcPr>
          <w:p>
            <w:pPr>
              <w:spacing w:after="0"/>
              <w:rPr>
                <w:sz w:val="1"/>
                <w:szCs w:val="1"/>
                <w:color w:val="auto"/>
              </w:rPr>
            </w:pPr>
          </w:p>
        </w:tc>
      </w:tr>
      <w:tr>
        <w:trPr>
          <w:trHeight w:val="20"/>
        </w:trPr>
        <w:tc>
          <w:tcPr>
            <w:tcW w:w="14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 w:lineRule="exact"/>
        <w:rPr>
          <w:sz w:val="20"/>
          <w:szCs w:val="20"/>
          <w:color w:val="auto"/>
        </w:rPr>
      </w:pPr>
    </w:p>
    <w:p>
      <w:pPr>
        <w:ind w:left="180" w:hanging="174"/>
        <w:spacing w:after="0"/>
        <w:tabs>
          <w:tab w:leader="none" w:pos="180" w:val="left"/>
        </w:tabs>
        <w:numPr>
          <w:ilvl w:val="0"/>
          <w:numId w:val="6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Guaranteed by the parent company</w:t>
      </w:r>
    </w:p>
    <w:p>
      <w:pPr>
        <w:spacing w:after="0" w:line="3" w:lineRule="exact"/>
        <w:rPr>
          <w:sz w:val="20"/>
          <w:szCs w:val="20"/>
          <w:color w:val="auto"/>
        </w:rPr>
      </w:pPr>
    </w:p>
    <w:p>
      <w:pPr>
        <w:ind w:left="160" w:right="280" w:hanging="154"/>
        <w:spacing w:after="0" w:line="214" w:lineRule="auto"/>
        <w:tabs>
          <w:tab w:leader="none" w:pos="173" w:val="left"/>
        </w:tabs>
        <w:numPr>
          <w:ilvl w:val="0"/>
          <w:numId w:val="6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Effective December 11, 2024, the Company entered into the Amendment and Exchange Agreements with each of the holders of the 2025 8.125% Notes, pursuant to which the Company and the holders of the 2025 8.125% Notes agreed to exchange the 2025 8.125% Notes for the 2027 Notes.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24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The Company is a guarantor on several warehouse lines of credit as noted in the above table under Contractual Obligations. Refer to NOTE 11— BORROWINGS to the consolidated financial statements for the amounts outstanding, line availability, and term. The Company is also a guarantor on an NMS term loan facility. At June 30, 2025, the Company determined that it is not probable that payments would be required to be made under the guarantees. The Company is also a guarantor on certain of NSBF’s potential obligations to the SBA pursuant to the Wind-down Agreement. Specifically, pursuant to the Wind-down Agreement, the Company has guaranteed NSBF’s obligations to the SBA for post-purchase repairs or denials on the guaranteed portion of 7(a) Loans sold by NSBF on the secondary market or servicing/liquidation post-purchase repairs or denial, and has funded a $10.0 million account at Newtek Bank to secure these potential obligations.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44"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and related disclosures in conformity with GAAP requires management to make estimates and assumptions that affect the reported amounts of assets and liabilities, disclosure of contingent assets and liabilities at the date of the financial statements and revenues and expenses during the periods reported. Actual results could materially differ from those estimates. We have identified the following items as critical accounting policies for the quarterly period ended June 30, 2025.</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Loans at Fair Value</w:t>
      </w:r>
    </w:p>
    <w:p>
      <w:pPr>
        <w:spacing w:after="0" w:line="233" w:lineRule="exact"/>
        <w:rPr>
          <w:sz w:val="20"/>
          <w:szCs w:val="20"/>
          <w:color w:val="auto"/>
        </w:rPr>
      </w:pPr>
    </w:p>
    <w:p>
      <w:pPr>
        <w:ind w:right="80"/>
        <w:spacing w:after="0" w:line="22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(i.e., the “exit price”) in an orderly transaction between market participants at the measurement date. In determining fair value, management used various valuation approaches. ASC 820 establishes a fair value hierarchy that prioritizes the inputs to valuation techniques used to measure fair value into three levels for disclosure purposes. We consider our loans HFI, at fair value and HFS, at fair value to be Level 3 within the fair value hierarchy as described in Note 10. Determining the fair value of the Level 3 loans held for sale and loans held for investment, which are measured at fair value requires management to make significant judgments about the valuation methodologies and inputs and assumptions used in the fair value calculation, including, but not limited to, historical credit losses, discounts for lack of marketability, underlying cash flows, and the impact of economic conditions.</w:t>
      </w:r>
    </w:p>
    <w:p>
      <w:pPr>
        <w:spacing w:after="0" w:line="20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On a quarterly basis, management determines the fair values of the retained unguaranteed portions of SBA 7(a) loans HFI, and unrealized changes in FV are recognized in the income statement. The loans within this portfolio were originated by NSBF. NSBF ceased originating new loans in April 2023 when all new SBA 7(a) loan originations were transitioned to Newtek Bank. (See </w:t>
      </w:r>
      <w:r>
        <w:rPr>
          <w:rFonts w:ascii="Times New Roman" w:cs="Times New Roman" w:eastAsia="Times New Roman" w:hAnsi="Times New Roman"/>
          <w:sz w:val="18"/>
          <w:szCs w:val="18"/>
          <w:i w:val="1"/>
          <w:iCs w:val="1"/>
          <w:color w:val="auto"/>
        </w:rPr>
        <w:t>Historical Business Regulation and Taxation,</w:t>
      </w:r>
      <w:r>
        <w:rPr>
          <w:rFonts w:ascii="Times New Roman" w:cs="Times New Roman" w:eastAsia="Times New Roman" w:hAnsi="Times New Roman"/>
          <w:sz w:val="18"/>
          <w:szCs w:val="18"/>
          <w:color w:val="auto"/>
        </w:rPr>
        <w:t xml:space="preserve"> for a discussion of the wind-down of NSBF’s operations.)</w:t>
      </w:r>
    </w:p>
    <w:p>
      <w:pPr>
        <w:spacing w:after="0" w:line="21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originated SBA 504 loans HFS prior to the Acquisition through its nonbank subsidiaries. SBA 504 loans HFS held at NALH are accounted for under the FV option. Additionally, the existing government guaranteed portion of SBA 7(a) loans held at NSBF and certain SBA 504 loans held at Newtek Bank are also HFS at FV.</w:t>
      </w:r>
    </w:p>
    <w:p>
      <w:pPr>
        <w:spacing w:after="0" w:line="205" w:lineRule="exact"/>
        <w:rPr>
          <w:sz w:val="20"/>
          <w:szCs w:val="20"/>
          <w:color w:val="auto"/>
        </w:rPr>
      </w:pPr>
    </w:p>
    <w:p>
      <w:pPr>
        <w:ind w:right="500"/>
        <w:spacing w:after="0" w:line="300" w:lineRule="auto"/>
        <w:rPr>
          <w:sz w:val="20"/>
          <w:szCs w:val="20"/>
          <w:color w:val="auto"/>
        </w:rPr>
      </w:pPr>
      <w:r>
        <w:rPr>
          <w:rFonts w:ascii="Times New Roman" w:cs="Times New Roman" w:eastAsia="Times New Roman" w:hAnsi="Times New Roman"/>
          <w:sz w:val="17"/>
          <w:szCs w:val="17"/>
          <w:color w:val="auto"/>
        </w:rPr>
        <w:t>The Company also originates ALP loans (formerly referred to as our nonconforming conventional loans), which are either HFS or HFI, via its nonbank subsidiary. ALP loans are carried at FV. ALP loans are held at NALH, NCL JV, and TSO JV and are also accounted for under the FV option.</w:t>
      </w:r>
    </w:p>
    <w:p>
      <w:pPr>
        <w:spacing w:after="0" w:line="17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8"/>
          <w:szCs w:val="18"/>
          <w:color w:val="auto"/>
        </w:rPr>
        <w:t>The fair value hierarchy gives the highest priority (Level 1) to quoted prices in active markets for identical assets or liabilities and gives the lowest priority to unobservable inputs (Level 3). The levels of the fair value hierarchy are as follows:</w:t>
      </w:r>
    </w:p>
    <w:p>
      <w:pPr>
        <w:spacing w:after="0" w:line="88" w:lineRule="exact"/>
        <w:rPr>
          <w:sz w:val="20"/>
          <w:szCs w:val="20"/>
          <w:color w:val="auto"/>
        </w:rPr>
      </w:pPr>
    </w:p>
    <w:p>
      <w:pPr>
        <w:jc w:val="both"/>
        <w:ind w:left="980" w:right="200" w:hanging="784"/>
        <w:spacing w:after="0" w:line="221"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Level 1</w:t>
      </w:r>
      <w:r>
        <w:rPr>
          <w:sz w:val="20"/>
          <w:szCs w:val="20"/>
          <w:color w:val="auto"/>
        </w:rPr>
        <w:tab/>
      </w:r>
      <w:r>
        <w:rPr>
          <w:rFonts w:ascii="Times New Roman" w:cs="Times New Roman" w:eastAsia="Times New Roman" w:hAnsi="Times New Roman"/>
          <w:sz w:val="18"/>
          <w:szCs w:val="18"/>
          <w:color w:val="auto"/>
        </w:rPr>
        <w:t>Quoted prices in active markets for identical assets or liabilities. Level 1 assets and liabilities include debt and equity securities and derivative contracts that are traded in an active exchange market, as well as certain U.S. Treasury, other U.S. Government and agency mortgage-backed debt securities that are highly liquid and are actively traded in over-the-counter markets.</w:t>
      </w:r>
    </w:p>
    <w:p>
      <w:pPr>
        <w:spacing w:after="0" w:line="63" w:lineRule="exact"/>
        <w:rPr>
          <w:sz w:val="20"/>
          <w:szCs w:val="20"/>
          <w:color w:val="auto"/>
        </w:rPr>
      </w:pPr>
    </w:p>
    <w:p>
      <w:pPr>
        <w:jc w:val="both"/>
        <w:ind w:left="980" w:right="60" w:hanging="784"/>
        <w:spacing w:after="0" w:line="224"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Level 2</w:t>
      </w:r>
      <w:r>
        <w:rPr>
          <w:sz w:val="20"/>
          <w:szCs w:val="20"/>
          <w:color w:val="auto"/>
        </w:rPr>
        <w:tab/>
      </w:r>
      <w:r>
        <w:rPr>
          <w:rFonts w:ascii="Times New Roman" w:cs="Times New Roman" w:eastAsia="Times New Roman" w:hAnsi="Times New Roman"/>
          <w:sz w:val="17"/>
          <w:szCs w:val="17"/>
          <w:color w:val="auto"/>
        </w:rPr>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Level 2 assets and liabilities include debt securities with quoted prices that are traded less frequently than exchange-traded instruments and derivative</w:t>
      </w:r>
    </w:p>
    <w:p>
      <w:pPr>
        <w:spacing w:after="0" w:line="3" w:lineRule="exact"/>
        <w:rPr>
          <w:sz w:val="20"/>
          <w:szCs w:val="20"/>
          <w:color w:val="auto"/>
        </w:rPr>
      </w:pPr>
    </w:p>
    <w:p>
      <w:pPr>
        <w:ind w:left="980"/>
        <w:spacing w:after="0" w:line="213" w:lineRule="auto"/>
        <w:rPr>
          <w:sz w:val="20"/>
          <w:szCs w:val="20"/>
          <w:color w:val="auto"/>
        </w:rPr>
      </w:pPr>
      <w:r>
        <w:rPr>
          <w:rFonts w:ascii="Times New Roman" w:cs="Times New Roman" w:eastAsia="Times New Roman" w:hAnsi="Times New Roman"/>
          <w:sz w:val="18"/>
          <w:szCs w:val="18"/>
          <w:color w:val="auto"/>
        </w:rPr>
        <w:t>contracts whose value is determined using a pricing model with inputs that are observable in the market or can be derived principally from or corroborated by observable market data. This category generally includes certain U.S. Government and agency mortgage-backed debt securities, derivative contracts and loans held-for-sale.</w:t>
      </w:r>
    </w:p>
    <w:p>
      <w:pPr>
        <w:spacing w:after="0" w:line="61" w:lineRule="exact"/>
        <w:rPr>
          <w:sz w:val="20"/>
          <w:szCs w:val="20"/>
          <w:color w:val="auto"/>
        </w:rPr>
      </w:pPr>
    </w:p>
    <w:p>
      <w:pPr>
        <w:ind w:left="980" w:right="120" w:hanging="784"/>
        <w:spacing w:after="0" w:line="224"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Level 3</w:t>
      </w:r>
      <w:r>
        <w:rPr>
          <w:sz w:val="20"/>
          <w:szCs w:val="20"/>
          <w:color w:val="auto"/>
        </w:rPr>
        <w:tab/>
      </w:r>
      <w:r>
        <w:rPr>
          <w:rFonts w:ascii="Times New Roman" w:cs="Times New Roman" w:eastAsia="Times New Roman" w:hAnsi="Times New Roman"/>
          <w:sz w:val="17"/>
          <w:szCs w:val="17"/>
          <w:color w:val="auto"/>
        </w:rPr>
        <w:t>Unobservable inputs that are supported by little or no market activity and that are significant to the fair value of the assets or liabilities.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w:t>
      </w:r>
    </w:p>
    <w:p>
      <w:pPr>
        <w:spacing w:after="0" w:line="3" w:lineRule="exact"/>
        <w:rPr>
          <w:sz w:val="20"/>
          <w:szCs w:val="20"/>
          <w:color w:val="auto"/>
        </w:rPr>
      </w:pPr>
    </w:p>
    <w:p>
      <w:pPr>
        <w:ind w:left="980" w:right="140"/>
        <w:spacing w:after="0" w:line="233" w:lineRule="auto"/>
        <w:rPr>
          <w:sz w:val="20"/>
          <w:szCs w:val="20"/>
          <w:color w:val="auto"/>
        </w:rPr>
      </w:pPr>
      <w:r>
        <w:rPr>
          <w:rFonts w:ascii="Times New Roman" w:cs="Times New Roman" w:eastAsia="Times New Roman" w:hAnsi="Times New Roman"/>
          <w:sz w:val="17"/>
          <w:szCs w:val="17"/>
          <w:color w:val="auto"/>
        </w:rPr>
        <w:t>This category generally includes certain private equity investments, retained residual interests in securitizations, residential mortgage servicing assets, warrant liabilities, joint ventures, guaranteed loans held at fair value, and highly structured or long-term derivative contracts.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Instruments</w:t>
      </w:r>
    </w:p>
    <w:p>
      <w:pPr>
        <w:spacing w:after="0" w:line="24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Level 1 assets and liabilities were valued using quoted market prices. Level 2 assets and liabilities were valued using market consensus prices that are corroborated by observable market data and quoted market prices for similar assets and liabilities. Level 3 assets and liabilities were valued at fair value as determined in good faith by the Board, based on input of management, the audit committee and independent valuation firms that were engaged at the direction of the Board to assist in the valuation of certain portfolio investments without a readily available market quotation at least once during a trailing twelve-month period under a valuation policy and a consistently applied valuation process.</w:t>
      </w:r>
    </w:p>
    <w:p>
      <w:pPr>
        <w:spacing w:after="0" w:line="187"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8"/>
          <w:szCs w:val="18"/>
          <w:color w:val="auto"/>
        </w:rPr>
        <w:t>Due to the inherent uncertainty of determining the fair value of Level 3 investments that do not have a readily available market value, the fair value of the investments may differ significantly from the values that would have been used had a ready market existed for such investments and may differ materially from the values that may ultimately be received or settled. Further, such investments are generally subject to legal and other restrictions or otherwise are less liquid than publicly traded instruments. If the Company were required to liquidate a portfolio investment in a forced or liquidation sale, the Company may realize significantly less than the value at which such investment had previously been recorded.</w:t>
      </w: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The Company’s investments are subject to market risk. Market risk is the potential for changes in the value due to market changes. Market risk is directly impacted by the volatility and liquidity in the markets in which the investments are traded. See NOTE 9—FAIR VALUE MEASUREMENTS for a detailed discussion of determining fair value, including pricing validation processes.</w:t>
      </w:r>
    </w:p>
    <w:p>
      <w:pPr>
        <w:spacing w:after="0" w:line="205"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8"/>
          <w:szCs w:val="18"/>
          <w:color w:val="auto"/>
        </w:rPr>
        <w:t>We believe our portfolio as of June 30, 2025 and December 31, 2024 approximates fair value as of those dates based on the markets in which we operate and other conditions in existence on those reporting dates.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33"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8"/>
          <w:szCs w:val="18"/>
          <w:color w:val="auto"/>
        </w:rPr>
        <w:t xml:space="preserve">The allowance for credit losses consists of the allowance for credit losses and the reserve for unfunded commitments. As a result of the Company’s Acquisition the adoption of ASU 2016-13, </w:t>
      </w:r>
      <w:r>
        <w:rPr>
          <w:rFonts w:ascii="Times New Roman" w:cs="Times New Roman" w:eastAsia="Times New Roman" w:hAnsi="Times New Roman"/>
          <w:sz w:val="18"/>
          <w:szCs w:val="18"/>
          <w:i w:val="1"/>
          <w:iCs w:val="1"/>
          <w:color w:val="auto"/>
        </w:rPr>
        <w:t>Financial Instruments - Credit Losses (Topic 326): Measurement of Credit Losses on Financial Instruments</w:t>
      </w:r>
      <w:r>
        <w:rPr>
          <w:rFonts w:ascii="Times New Roman" w:cs="Times New Roman" w:eastAsia="Times New Roman" w:hAnsi="Times New Roman"/>
          <w:sz w:val="18"/>
          <w:szCs w:val="18"/>
          <w:color w:val="auto"/>
        </w:rPr>
        <w:t xml:space="preserve"> (“CECL”) and its related amendments, we developed a methodology for estimating the reserve for credit losses. The standard replaced the “incurred loss” approach with an “expected loss” approach known as current expected credit loss. The CECL approach requires an estimate of the credit losses expected over the life of an exposure (or pool of exposures). It removes the incurred loss approach’s threshold that delayed the recognition of a credit loss until it was “probable” a loss event was “incurred.” The estimate of expected credit losses under the CECL approach is based on relevant information about past events, current conditions, and reasonable and supportable forecasts that affect the collectability of the reported amounts. Historical loss experience is generally the starting point for estimating expected credit losses. The Company then considers whether the historical loss experience should be adjusted for asset-specific risk characteristics or current conditions at the reporting date that did not exist over the period from which historical experience was used. Finally, the Company considers forecasts about future economic conditions that are reasonable and supportable. The reserve for unfunded commitments represents the expected credit losses on off-balance sheet commitments such as unfunded commitments to extend credit and standby letters of credit. However, a liability is not recognized for commitments unconditionally cancellable by the Company. The reserve for unfunded commitments is determined by estimating future draws and applying the expected loss rates on those draws.</w:t>
      </w:r>
    </w:p>
    <w:p>
      <w:pPr>
        <w:spacing w:after="0" w:line="218"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8"/>
          <w:szCs w:val="18"/>
          <w:color w:val="auto"/>
        </w:rPr>
        <w:t>Management of the Company considers the accounting policy relating to the allowance for credit losses to be a critical accounting policy given the uncertainty in evaluating the level of the allowance required to cover management’s estimate of all expected credit losses over the expected contractual life of our loan portfolio. Determining the appropriateness of the allowance is complex and requires judgment by management about the effect of matters that are inherently uncertain. Subsequent evaluations of the then-existing loan portfolio and other financial assets to which CECL applies, in light of the factors then prevailing, may result in significant changes in the allowance for credit losses in those future periods. While management’s current evaluation of the allowance for credit losses indicates that the allowance is appropriate, the allowance may need to be increased under adversely different conditions or assumptions. Going forward, the impact of utilizing the CECL approach to calculate the reserve for credit losses will be significantly influenced by the composition, characteristics, and quality of our loan portfolio, as well as the prevailing economic conditions and forecasts utilized. Material changes to these and other relevant factors may result in greater volatility in the reserve for credit losses, and therefore, greater volatility to our reported earnings.</w:t>
      </w:r>
    </w:p>
    <w:p>
      <w:pPr>
        <w:spacing w:after="0" w:line="217"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Consideration of losses occurs when serious doubt regarding the repayment of the loan is present. For real estate loans, current appraisals will aid in determining the amount to be charged off. For commercial loans, collateral valuations and borrower guarantees should be considered; however, weight to these two sources should be limited. Once a deficiency in collateral is determined, a reserve equal to the deficiency should be made immediately to the Allowance for Credit Losses (ACL). A charge off should be made within 90 days if a full analysis confirms the deficiency cannot be covered via additional collateral or resources of the borrower or guarantors.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Nonaccrual Loans</w:t>
      </w:r>
    </w:p>
    <w:p>
      <w:pPr>
        <w:spacing w:after="0" w:line="2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a general rule, the Company does not accrue interest, amortize deferred net loan fees or costs, or accrete discount on any loan (1) which is maintained on a cash basis because of deterioration in the financial condition of the borrower, (2) for which payment in full of principal or interest is not expected, or (3) upon which principal or interest has been in default for a period of 90 days or more unless the asset is both well secured and in the process of collection.</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 loan is “well secured” if it is secured (1) by collateral in the form of liens on or pledges of real or personal property, including securities, that have a realizable value sufficient to discharge the debt (including accrued interest) in full, or (2) by the guarantee of a financially responsible party. A loan is “in the process of collection” if collection of the asset is proceeding in due course either (1) through legal action, including judgment enforcement procedures, or (2) in appropriate circumstances, through collections efforts not involving legal action which are reasonably expected to result in repayment of the debt or in its restoration to a current status in the near future.</w:t>
      </w:r>
    </w:p>
    <w:p>
      <w:pPr>
        <w:spacing w:after="0" w:line="208"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A non-accrual loan may be restored to accrual status when (1) none of its principal and interest is due and unpaid, and the Company expects repayment of the remaining contractual principal and interest, or (2) when it otherwise becomes well secured in the process of collection. If any interest payments received while the asset was in nonaccrual status were applied to reduce the recorded investment in, or the amortized cost basis of, the asset, as applicable, the application of these payments to the asset’s recorded investment or amortize cost basis, as applicable should not be reversed (and interest income should not be credited) when the asset is returned to accrual status.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Servicing Assets</w:t>
      </w:r>
    </w:p>
    <w:p>
      <w:pPr>
        <w:spacing w:after="0" w:line="233"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8"/>
          <w:szCs w:val="18"/>
          <w:color w:val="auto"/>
        </w:rPr>
        <w:t>For the quarterly period ended June 30, 2025, the Company accounted for servicing assets in accordance with ASC Topic 860-50 - Transfers and Servicing - Servicing Assets and Liabilities. The Company and Newtek Bank earn servicing fees primarily from the guaranteed portions of SBA 7(a) loans and to a lesser extent ALP and SBA 504 loans they originate and sell. Servicing assets for loans originated by the Company’s nonbank subsidiaries are measured at FV at each reporting date and the Company reports changes in the FV of servicing assets in earnings in the period in which the changes occur. The valuation model for servicing assets incorporates assumptions including, but not limited to, servicing costs, discount rate, prepayment rate, and default rate. Considerable judgment is required to estimate the fair value of servicing assets and as such these assets are classified as Level 3 in our fair value hierarchy. Servicing assets for loans originated by Newtek Bank are measured at LCM and amortized based on their estimated life and impairment is recorded to the extent the amortized cost exceeds the asset’s FV.</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Recognition</w:t>
      </w:r>
    </w:p>
    <w:p>
      <w:pPr>
        <w:spacing w:after="0" w:line="26"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8"/>
          <w:szCs w:val="18"/>
          <w:color w:val="auto"/>
        </w:rPr>
        <w:t>For the quarterly period ended June 30, 2025, management reviewed all loans that became 90 days or more past due on principal or interest or when there was reasonable doubt that principal or interest would be collected for possible placement on management’s designation of non-accrual status. Interest receivable was analyzed regularly and reserved against when deemed uncollectible. Interest payments received on non-accrual loans were recognized as income or applied to principal depending upon management’s judgment regarding collectability. Non-accrual loans were restored to accrual status when past due principal and interest was paid and, in management’s judgment, were likely to remain current, although there may have been exceptions to this general rule if the loan had sufficient collateral value and was in the process of collection.</w:t>
      </w:r>
    </w:p>
    <w:p>
      <w:pPr>
        <w:spacing w:after="0" w:line="217" w:lineRule="exact"/>
        <w:rPr>
          <w:sz w:val="20"/>
          <w:szCs w:val="20"/>
          <w:color w:val="auto"/>
        </w:rPr>
      </w:pPr>
    </w:p>
    <w:p>
      <w:pPr>
        <w:ind w:right="140"/>
        <w:spacing w:after="0" w:line="300" w:lineRule="auto"/>
        <w:rPr>
          <w:sz w:val="20"/>
          <w:szCs w:val="20"/>
          <w:color w:val="auto"/>
        </w:rPr>
      </w:pPr>
      <w:r>
        <w:rPr>
          <w:rFonts w:ascii="Times New Roman" w:cs="Times New Roman" w:eastAsia="Times New Roman" w:hAnsi="Times New Roman"/>
          <w:sz w:val="17"/>
          <w:szCs w:val="17"/>
          <w:color w:val="auto"/>
        </w:rPr>
        <w:t>For the quarterly period ended June 30, 2025, we received servicing income related to the guaranteed portions of SBA loans which we sell into the secondary market. These recurring fees were earned and recorded daily. Servicing income was earned for the full term of the loan or until the loan is repaid.</w:t>
      </w:r>
    </w:p>
    <w:p>
      <w:pPr>
        <w:spacing w:after="0" w:line="172" w:lineRule="exact"/>
        <w:rPr>
          <w:sz w:val="20"/>
          <w:szCs w:val="20"/>
          <w:color w:val="auto"/>
        </w:rPr>
      </w:pPr>
    </w:p>
    <w:p>
      <w:pPr>
        <w:ind w:right="540"/>
        <w:spacing w:after="0" w:line="270" w:lineRule="auto"/>
        <w:rPr>
          <w:sz w:val="20"/>
          <w:szCs w:val="20"/>
          <w:color w:val="auto"/>
        </w:rPr>
      </w:pPr>
      <w:r>
        <w:rPr>
          <w:rFonts w:ascii="Times New Roman" w:cs="Times New Roman" w:eastAsia="Times New Roman" w:hAnsi="Times New Roman"/>
          <w:sz w:val="18"/>
          <w:szCs w:val="18"/>
          <w:color w:val="auto"/>
        </w:rPr>
        <w:t>For the quarterly period ended June 30, 2025, we received a variety of fees from borrowers in the ordinary course of conducting our business, including packaging fees, legal fees, late fees and prepayment fees. All other income was recorded when earned.</w:t>
      </w:r>
    </w:p>
    <w:p>
      <w:pPr>
        <w:spacing w:after="0" w:line="195"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8"/>
          <w:szCs w:val="18"/>
          <w:color w:val="auto"/>
        </w:rPr>
        <w:t>For the quarterly period ended June 30, 2025, distributions of earnings from our joint ventures were evaluated to determine if the distribution is income, return of capital or realized gain.</w:t>
      </w:r>
    </w:p>
    <w:p>
      <w:pPr>
        <w:spacing w:after="0" w:line="195" w:lineRule="exact"/>
        <w:rPr>
          <w:sz w:val="20"/>
          <w:szCs w:val="20"/>
          <w:color w:val="auto"/>
        </w:rPr>
      </w:pPr>
    </w:p>
    <w:p>
      <w:pPr>
        <w:ind w:right="240"/>
        <w:spacing w:after="0" w:line="239" w:lineRule="auto"/>
        <w:rPr>
          <w:sz w:val="20"/>
          <w:szCs w:val="20"/>
          <w:color w:val="auto"/>
        </w:rPr>
      </w:pPr>
      <w:r>
        <w:rPr>
          <w:rFonts w:ascii="Times New Roman" w:cs="Times New Roman" w:eastAsia="Times New Roman" w:hAnsi="Times New Roman"/>
          <w:sz w:val="18"/>
          <w:szCs w:val="18"/>
          <w:color w:val="auto"/>
        </w:rPr>
        <w:t>Following our January 2023 conversion to a financial holding company, we generate income in the form of interest, servicing and other fee income on the loans we originate. In addition, our portfolio companies became consolidating subsidiaries of the Company in 2023 and therefore, under the new organizational structure, their income is consolidated within the statement of operations along with our joint ventures. With the inclusion of NMS, NIA, and PMT (and the exclusion of NTS following the January 2025 sale of NTS), we now report Electronic payment processing income on our Consolidated Statements of Income and we include insurance commissions income and payroll processing income within Other noninterest income. For the year ended December 31, 2024, we reported Technology and IT support income prior to the sale of NTS. Refer to NOTE 4—INVESTMENTS: Intelligent Protection Management Corp</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Provision for Income Taxes and Related Accounts</w:t>
      </w:r>
    </w:p>
    <w:p>
      <w:pPr>
        <w:spacing w:after="0" w:line="246"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7"/>
          <w:szCs w:val="17"/>
          <w:color w:val="auto"/>
        </w:rPr>
        <w:t>Our income tax expense, deferred tax assets and liabilities, and reserves for unrecognized tax benefits reflect management’s best assessment of estimated current and future taxes to be paid. We are subject to income taxes in the United States. We file income tax returns in approximately 43 jurisdictions: federal, state, and local. The laws and regulations of each jurisdiction are complex and may be subject to different interpretations. Significant judgments and estimates are required in determining consolidated income tax expense for each jurisdiction. Our interpretations of tax laws are subject to audits by various jurisdictions. Potential difference in the interpretation or changes in the tax laws may result in additional accrual of income tax expense or benefit, which could be material to our reported results. We consistently monitor new and reassess existing tax laws for changes and adjust our tax estimates accordingly.</w:t>
      </w:r>
    </w:p>
    <w:p>
      <w:pPr>
        <w:spacing w:after="0" w:line="202"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8"/>
          <w:szCs w:val="18"/>
          <w:color w:val="auto"/>
        </w:rPr>
        <w:t>Our provision for income taxes is comprised of current and deferred income taxes. Deferred income taxes arise from temporary differences between the tax and financial statement recognition of revenue and expense. In evaluating our ability to recover our deferred tax assets within the jurisdiction from which they arise, we consider all available positive and negative evidence, including scheduled reversals of deferred tax liabilities, projected future taxable income, tax planning strategies, and recent results of operations. In projecting future taxable income, we begin with historical results adjusted for changes in accounting policies and incorporate assumptions about the amount of future state, federal, and foreign pretax operating income, the reversal of temporary differences, and the implementation of feasible and prudent tax planning strategies. These assumptions about future taxable income require significant judgment and are consistent with the plans and estimates we are using to manage the underlying businesses. In evaluating the objective evidence that historical results provide, we consider three years of cumulative operating income (loss).</w:t>
      </w:r>
    </w:p>
    <w:p>
      <w:pPr>
        <w:spacing w:after="0" w:line="21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At least annually, we consider existing evidence, both positive and negative, that could impact our view with regard to future realization of deferred tax assets. We currently hold deferred tax asset attributes related to net operating tax loss carryforwards. We perform regular assessments to determine whether our tax attributes are realizable. As of December 31, 2024, we continue to believe it is more likely than not that the benefit for certain state net operating loss carryforwards will not be realized.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regarding our provision for income taxes, refer to NOTE 17—INCOME TAXES.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 and New Accounting Standards</w:t>
      </w:r>
    </w:p>
    <w:p>
      <w:pPr>
        <w:spacing w:after="0" w:line="246" w:lineRule="exact"/>
        <w:rPr>
          <w:sz w:val="20"/>
          <w:szCs w:val="20"/>
          <w:color w:val="auto"/>
        </w:rPr>
      </w:pPr>
    </w:p>
    <w:p>
      <w:pPr>
        <w:ind w:right="660"/>
        <w:spacing w:after="0" w:line="255" w:lineRule="auto"/>
        <w:rPr>
          <w:sz w:val="20"/>
          <w:szCs w:val="20"/>
          <w:color w:val="auto"/>
        </w:rPr>
      </w:pPr>
      <w:r>
        <w:rPr>
          <w:rFonts w:ascii="Times New Roman" w:cs="Times New Roman" w:eastAsia="Times New Roman" w:hAnsi="Times New Roman"/>
          <w:sz w:val="18"/>
          <w:szCs w:val="18"/>
          <w:color w:val="auto"/>
        </w:rPr>
        <w:t>Refer to NOTE 2—SIGNIFICANT ACCOUNTING POLICIES for information on recently adopted accounting pronouncements and new accounting standards.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244" w:lineRule="exact"/>
        <w:rPr>
          <w:sz w:val="20"/>
          <w:szCs w:val="20"/>
          <w:color w:val="auto"/>
        </w:rPr>
      </w:pPr>
    </w:p>
    <w:p>
      <w:pPr>
        <w:ind w:right="220"/>
        <w:spacing w:after="0" w:line="251" w:lineRule="auto"/>
        <w:rPr>
          <w:sz w:val="20"/>
          <w:szCs w:val="20"/>
          <w:color w:val="auto"/>
        </w:rPr>
      </w:pPr>
      <w:r>
        <w:rPr>
          <w:rFonts w:ascii="Times New Roman" w:cs="Times New Roman" w:eastAsia="Times New Roman" w:hAnsi="Times New Roman"/>
          <w:sz w:val="18"/>
          <w:szCs w:val="18"/>
          <w:color w:val="auto"/>
        </w:rPr>
        <w:t>In the normal course of business, the Company enters into various transactions to meet the financing needs of clients, which, in accordance with GAAP, are not included in the consolidated balance sheets. These transactions may include commitments to extend credit, standby letters of credit, and the construction phase of SBA 504 loans, which involve, to varying degrees, elements of credit risk and interest rate risk in excess of the amounts recognized in the consolidated balance sheets. The SBA 504 loans are expected to partially draw, if not fully draw. All off-balance sheet commitments are included in the determination of the amount of risk-based capital that the Company and Newtek Bank are required to hold.</w:t>
      </w:r>
    </w:p>
    <w:p>
      <w:pPr>
        <w:spacing w:after="0" w:line="21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Company’s exposure to credit loss in the event of non-performance by the other party to the financial instrument for commitments to extend credit, standby letters of credit, and commercial letters of credit is represented by the contractual or notional amount of those instruments. The Company manages risk of exposure to credit losses under these commitments by subjecting them to credit approval and monitoring procedures. The Company assesses the credit risk associated with certain commitments to extend credit and establishes a liability for credit losses.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information related to financial instruments can be found in NOTE 13—COMMITMENTS AND CONTINGENCIES.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Residuals in Securitizations, at Fair Value</w:t>
      </w:r>
    </w:p>
    <w:p>
      <w:pPr>
        <w:spacing w:after="0" w:line="2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On April 23, 2025, the Company’s subsidiary Newtek ALP Holdings closed a securitization pursuant to which it sold $155,930,000 of Class A Notes, $23,820,000 of Class B Notes, and $4,330,000 of a Class C Note (collectively, the “2025-1 Notes”) issued by NALP Business Loan Trust 2025-1 (the “Securitization Trust”). The 2025-1 Notes were backed by $216,564,700 of collateral, consisting of Newtek ALP Holdings originated ALP loans. The Class A Notes received a Morningstar DBRS rating of “A (low) (sf)” and were priced at a yield of 6.338%; the Class B Notes received a Morningstar DBRS rating of “BBB (sf)” and were priced at a yield of 7.838%; and the Class C Note received a Morningstar DBRS rating of “BB (sf)” and was priced at a yield of 10.338%. The 2025-1 Notes had a weighted average yield of 6.62% and an 85% advance rate.</w:t>
      </w:r>
    </w:p>
    <w:p>
      <w:pPr>
        <w:spacing w:after="0" w:line="181"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color w:val="auto"/>
        </w:rPr>
        <w:t>The 2025-1 Trust meets the definition of a VIE and the Company holds a variable interest in the 2025-1 Trust, however, the Company is not considered the primary beneficiary of the 2025-1 Trust, because the power over the activities that have the most significant impact on the economic performance of the Securitization Trust is held by a single noteholder who has the ability to remove the Company as decision maker over the activities that most significantly impact the economic performance of the 2025-1 Trust. Consequently the Company is not required to consolidate the 2025-1 Trust. The Company’s beneficial interest in the 2025-1 Trust is evidenced by sole ownership of the Ownership Certificate and its beneficial interest in the credit risk of the securitized ALP Loans. Newtek ALP Holdings, the sponsor of the Securitization Trust, is a wholly owned subsidiary of the Company, therefore the Company effectively owns 100% of the equity interest in the 2025-1Trust.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information related to financial instruments can be found in NOTE 3—SECURITIZATIONS AND VARIABLE INTEREST ENTITIES.</w:t>
      </w:r>
    </w:p>
    <w:p>
      <w:pPr>
        <w:spacing w:after="0" w:line="200" w:lineRule="exact"/>
        <w:rPr>
          <w:sz w:val="20"/>
          <w:szCs w:val="20"/>
          <w:color w:val="auto"/>
        </w:rPr>
      </w:pPr>
    </w:p>
    <w:p>
      <w:pPr>
        <w:spacing w:after="0" w:line="3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SPV I Facility</w:t>
      </w:r>
    </w:p>
    <w:p>
      <w:pPr>
        <w:spacing w:after="0" w:line="21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Newtek ALP Holdings’ subsidiary (our indirect subsidiary) SPV I maintains a credit facility with Capital One which, as of June 30, 2025 had maximum borrowings of $60.0 million. and on July 28, 2025 was upsized to maximum borrowings of $100.0 million. Capital One’s commitments to fund new amounts terminate in July 2027, with all amounts due under the Facility maturing in July 2028.</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NCL JV</w:t>
      </w:r>
    </w:p>
    <w:p>
      <w:pPr>
        <w:spacing w:after="0" w:line="218"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8"/>
          <w:szCs w:val="18"/>
          <w:color w:val="auto"/>
        </w:rPr>
        <w:t>In July 2025, NCL JV notified the trustee of the NCL Business Loan Trust 2022-1 that the NCL Business Loan Trust 2022-1 would be terminated in August 2025 as a result of the Class A Noteholders being re-paid in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00"/>
          </w:cols>
          <w:pgMar w:left="320" w:top="123" w:right="47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31" w:lineRule="exact"/>
        <w:rPr>
          <w:sz w:val="20"/>
          <w:szCs w:val="20"/>
          <w:color w:val="auto"/>
        </w:rPr>
      </w:pPr>
    </w:p>
    <w:p>
      <w:pPr>
        <w:jc w:val="both"/>
        <w:ind w:right="180"/>
        <w:spacing w:after="0" w:line="238" w:lineRule="auto"/>
        <w:rPr>
          <w:sz w:val="20"/>
          <w:szCs w:val="20"/>
          <w:color w:val="auto"/>
        </w:rPr>
      </w:pPr>
      <w:r>
        <w:rPr>
          <w:rFonts w:ascii="Times New Roman" w:cs="Times New Roman" w:eastAsia="Times New Roman" w:hAnsi="Times New Roman"/>
          <w:sz w:val="18"/>
          <w:szCs w:val="18"/>
          <w:color w:val="auto"/>
        </w:rPr>
        <w:t>We consider the principal types of risk in our business activities to be fluctuations in interest rates, the ability to raise funds (deposits, debt, and or equity) to fund our operations, and the availability of the secondary market for our SBA loans. Risk management systems and procedures are designed to identify and analyze our risks, to set appropriate policies and limits and to continually monitor these risks and limits by means of reliable administrative and information systems and other policies and programs.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interest rate profile on loans is based on a mix of fixed and variable rates. The same is true for its sources of funding (deposits, warehouse</w:t>
      </w:r>
    </w:p>
    <w:p>
      <w:pPr>
        <w:spacing w:after="0" w:line="31"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7"/>
          <w:szCs w:val="17"/>
          <w:color w:val="auto"/>
        </w:rPr>
        <w:t>lines of credit, securitization trust notes, public notes, etc.). Some of our assets and liabilities are match funded, meaning that the interest rate and duration profiles are closely linked. Managing interest rate risk with matched funding means that movements in interest rates are expected to largely offset between</w:t>
      </w:r>
    </w:p>
    <w:p>
      <w:pPr>
        <w:ind w:right="400"/>
        <w:spacing w:after="0" w:line="250" w:lineRule="auto"/>
        <w:rPr>
          <w:sz w:val="20"/>
          <w:szCs w:val="20"/>
          <w:color w:val="auto"/>
        </w:rPr>
      </w:pPr>
      <w:r>
        <w:rPr>
          <w:rFonts w:ascii="Times New Roman" w:cs="Times New Roman" w:eastAsia="Times New Roman" w:hAnsi="Times New Roman"/>
          <w:sz w:val="18"/>
          <w:szCs w:val="18"/>
          <w:color w:val="auto"/>
        </w:rPr>
        <w:t>income from assets and expenses on liabilities. For the remainder of our balance sheet, we largely take a portfolio approach to managing interest rate and liquidity risk that is inherently imprecise.</w:t>
      </w:r>
    </w:p>
    <w:p>
      <w:pPr>
        <w:spacing w:after="0" w:line="212"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The Company depends on the availability of secondary market purchasers of our loans held for sale, but primarily for the guaranteed portions of SBA loans and the premium received on such sales to support its lending operations. Sale prices for guaranteed portions of SBA 7(a) loans could be negatively impacted by market conditions, in particular a higher interest rate environment, which typically lead to higher prepayments during the period, resulting in lower sale prices in the secondary market. A reduction in the price of guaranteed portions of SBA 7(a) loans or disruptions in the markets to which we sell could negatively impact our business.</w:t>
      </w:r>
    </w:p>
    <w:p>
      <w:pPr>
        <w:spacing w:after="0" w:line="200"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18"/>
          <w:szCs w:val="18"/>
          <w:color w:val="auto"/>
        </w:rPr>
        <w:t>The Company has cash and cash equivalents, which includes cash and due from banks, restricted cash, and interest bearing deposits in banks, of $213.3 million. We do not purchase or hold derivative financial instruments for trading purposes. All of our transactions are conducted in U.S. dollars and we do not have any foreign currency or foreign exchange risk. We do not trade commodities or have any commodity price risk.</w:t>
      </w:r>
    </w:p>
    <w:p>
      <w:pPr>
        <w:spacing w:after="0" w:line="20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believe that we have placed our cash investments and their equivalents, which include deposits at other institutions, with high credit-quality financial institutions. As of June 30, 2025, cash deposits in excess of insured amounts totaled approximately $26.9 million. The Company and its non-bank subsidiaries have deposit accounts at Newtek Bank that total $72.0 million, of which $69.6 million is uninsured.</w:t>
      </w:r>
    </w:p>
    <w:p>
      <w:pPr>
        <w:spacing w:after="0" w:line="192"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Interest rate risk is a significant market risk and can result from timing and volume differences in the repricing of rate-sensitive assets and liabilities, widening or tightening of credit spreads, changes in the general level of market interest rates and changes in the shape and level of market yield curves. The Company manages the interest rate sensitivity of interest-bearing liabilities and interest-earning assets in an effort to minimize the adverse effects of changes in the interest rate environment balanced against maximizing profit. Management of interest rate risk is carried out primarily through strategies involving cash, loan portfolio, and available funding sources.</w:t>
      </w:r>
    </w:p>
    <w:p>
      <w:pPr>
        <w:spacing w:after="0" w:line="221"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The Newtek Bank board of directors has established an Asset/Liability Committee (the “ALCO Committee”) to oversee the implementation of an effective process for managing the risk profile inherent in Newtek Bank’s balance sheet and related business activities as well as the ongoing monitoring and reporting thereon. Risks inherent in Newtek Bank’s balance sheet include interest rate risk (i.e., the risk to liquidity and capital resulting from changes in interest rates), liquidity risk (the risk to the availability of funds to execute its business strategy and meet its obligations), and similar risks. The ALCO Committee, subject to Newtek Bank board approval, is responsible for establishing policies, risk limits and capital levels (collectively “ALM Policies”) as well overseeing and monitoring compliance therewith. Newtek Bank’s ALM Policies set forth a risk management framework relating to managing liquidity, managing fluctuations in interest rates, capital management, investments, and hedging and the use of derivatives. The ALCO Committee and Newtek Bank’s board may implement additional policies and procedures relating to these areas in order to manage risk to an appropriate level.</w:t>
      </w:r>
    </w:p>
    <w:p>
      <w:pPr>
        <w:spacing w:after="0" w:line="219"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The matching of assets and liabilities may be analyzed by examining the extent to which such assets and liabilities are “interest rate sensitive.” An asset or liability is said to be interest rate sensitive within a specific time period if it will mature or reprice within that time period. The Company analyzes interest rate sensitivity position to manage the risk associated with interest rate movements through the use of two simulation models: economic value of equity (“EVE”) and net interest income (“NII”) simulations. These simulations project both short-term and long-term interest rate risk under a variety of instantaneous parallel rate shocks applied to a static balance sheet. The EVE simulation provides a long-term view of interest rate risk because it analyzes all of the Company’s future cash flows. EVE is defined as the present value of the Company’s assets, less the present value of its liabilities, adjusted for any off-balance sheet items. The results show a theoretical change in the economic value of shareholders’ equity as interest rates change.</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EVE and NII simulations are completed routinely on Newtek Bank’s balance sheet and presented to the ALCO Committee. Other positions outside of Newtek Bank are typically match funded or hedged with instruments that have similar terms and/or interest rate features. The simulations provide an estimate of the impact of changes in interest rates on equity and net interest income under a range of assumptions. The numerous assumptions used in the simulation process are provided to the ALCO Committee on at least an annual basis. Changes to these assumptions can significantly affect the results of the simulation. The simulation incorporates assumptions regarding the potential timing in the repricing of certain assets and liabilities when market rates change and the changes in spreads between different market rates. The simulation analysis incorporates management’s current assessment of the risk that pricing margins will change adversely over time due to competition or other factors. Simulation analysis is only an estimate of interest rate risk exposure at a particular point in time. The Company regularly models various forecasted rate projections with non-parallel shifts that are reflective of potential current rate environment outcomes. Under these scenarios, the Company’s interest rate risk profile may increase in asset sensitivity, decrease in asset sensitivity, or depending on the scenario and timing of anticipated rate changes, may transition to a liability sensitive interest rate risk profile. Regular, robust modeling of various interest rate outcomes allows the Company to properly assess and manage potential risks from various rate shifts.</w:t>
      </w:r>
    </w:p>
    <w:p>
      <w:pPr>
        <w:spacing w:after="0" w:line="2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Estimated Changes in EVE and NII. The table below sets forth, as of June 30, 2025, the estimated changes in our (i) EVE that would result from the designated instantaneous changes in the forward rate curves; and (ii) NII that would result from the designated instantaneous changes in the U.S. Treasury yield curve, Prime Rate and the Secured Overnight Finance Rate. Computations of prospective effects of hypothetical interest rate changes are based on numerous assumptions including relative levels of market interest rates, loan prepayments and deposit decay, and should not be relied on as indicative of actual results.</w:t>
      </w:r>
    </w:p>
    <w:p>
      <w:pPr>
        <w:spacing w:after="0" w:line="249"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2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Basis Point ("bp") Change in</w:t>
            </w:r>
          </w:p>
        </w:tc>
        <w:tc>
          <w:tcPr>
            <w:tcW w:w="5620" w:type="dxa"/>
            <w:vAlign w:val="bottom"/>
            <w:gridSpan w:val="4"/>
          </w:tcPr>
          <w:p>
            <w:pPr>
              <w:ind w:left="1320"/>
              <w:spacing w:after="0"/>
              <w:rPr>
                <w:sz w:val="20"/>
                <w:szCs w:val="20"/>
                <w:color w:val="auto"/>
              </w:rPr>
            </w:pPr>
            <w:r>
              <w:rPr>
                <w:rFonts w:ascii="Times New Roman" w:cs="Times New Roman" w:eastAsia="Times New Roman" w:hAnsi="Times New Roman"/>
                <w:sz w:val="14"/>
                <w:szCs w:val="14"/>
                <w:color w:val="auto"/>
              </w:rPr>
              <w:t>Estimated Increase/Decrease in Net Interest Income</w:t>
            </w:r>
          </w:p>
        </w:tc>
        <w:tc>
          <w:tcPr>
            <w:tcW w:w="2700" w:type="dxa"/>
            <w:vAlign w:val="bottom"/>
          </w:tcPr>
          <w:p>
            <w:pPr>
              <w:jc w:val="right"/>
              <w:ind w:right="198"/>
              <w:spacing w:after="0"/>
              <w:rPr>
                <w:sz w:val="20"/>
                <w:szCs w:val="20"/>
                <w:color w:val="auto"/>
              </w:rPr>
            </w:pPr>
            <w:r>
              <w:rPr>
                <w:rFonts w:ascii="Times New Roman" w:cs="Times New Roman" w:eastAsia="Times New Roman" w:hAnsi="Times New Roman"/>
                <w:sz w:val="14"/>
                <w:szCs w:val="14"/>
                <w:color w:val="auto"/>
              </w:rPr>
              <w:t>Estimated Percentage Change in EVE</w:t>
            </w:r>
          </w:p>
        </w:tc>
        <w:tc>
          <w:tcPr>
            <w:tcW w:w="0" w:type="dxa"/>
            <w:vAlign w:val="bottom"/>
          </w:tcPr>
          <w:p>
            <w:pPr>
              <w:spacing w:after="0"/>
              <w:rPr>
                <w:sz w:val="1"/>
                <w:szCs w:val="1"/>
                <w:color w:val="auto"/>
              </w:rPr>
            </w:pPr>
          </w:p>
        </w:tc>
      </w:tr>
      <w:tr>
        <w:trPr>
          <w:trHeight w:val="24"/>
        </w:trPr>
        <w:tc>
          <w:tcPr>
            <w:tcW w:w="2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w w:val="99"/>
              </w:rPr>
              <w:t>Interest Rates</w:t>
            </w:r>
          </w:p>
        </w:tc>
        <w:tc>
          <w:tcPr>
            <w:tcW w:w="2840" w:type="dxa"/>
            <w:vAlign w:val="bottom"/>
            <w:gridSpan w:val="2"/>
          </w:tcPr>
          <w:p>
            <w:pPr>
              <w:spacing w:after="0"/>
              <w:rPr>
                <w:sz w:val="2"/>
                <w:szCs w:val="2"/>
                <w:color w:val="auto"/>
              </w:rPr>
            </w:pPr>
          </w:p>
        </w:tc>
        <w:tc>
          <w:tcPr>
            <w:tcW w:w="2780" w:type="dxa"/>
            <w:vAlign w:val="bottom"/>
            <w:gridSpan w:val="2"/>
          </w:tcPr>
          <w:p>
            <w:pPr>
              <w:spacing w:after="0"/>
              <w:rPr>
                <w:sz w:val="2"/>
                <w:szCs w:val="2"/>
                <w:color w:val="auto"/>
              </w:rPr>
            </w:pPr>
          </w:p>
        </w:tc>
        <w:tc>
          <w:tcPr>
            <w:tcW w:w="2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760" w:type="dxa"/>
            <w:vAlign w:val="bottom"/>
            <w:gridSpan w:val="2"/>
            <w:vMerge w:val="continue"/>
          </w:tcPr>
          <w:p>
            <w:pPr>
              <w:spacing w:after="0"/>
              <w:rPr>
                <w:sz w:val="16"/>
                <w:szCs w:val="16"/>
                <w:color w:val="auto"/>
              </w:rPr>
            </w:pPr>
          </w:p>
        </w:tc>
        <w:tc>
          <w:tcPr>
            <w:tcW w:w="284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color w:val="auto"/>
              </w:rPr>
              <w:t>12 Months Beginning June 30, 2025</w:t>
            </w:r>
          </w:p>
        </w:tc>
        <w:tc>
          <w:tcPr>
            <w:tcW w:w="2700" w:type="dxa"/>
            <w:vAlign w:val="bottom"/>
            <w:tcBorders>
              <w:top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color w:val="auto"/>
              </w:rPr>
              <w:t>12 Months Beginning June 30, 2026</w:t>
            </w:r>
          </w:p>
        </w:tc>
        <w:tc>
          <w:tcPr>
            <w:tcW w:w="80" w:type="dxa"/>
            <w:vAlign w:val="bottom"/>
          </w:tcPr>
          <w:p>
            <w:pPr>
              <w:spacing w:after="0"/>
              <w:rPr>
                <w:sz w:val="16"/>
                <w:szCs w:val="16"/>
                <w:color w:val="auto"/>
              </w:rPr>
            </w:pPr>
          </w:p>
        </w:tc>
        <w:tc>
          <w:tcPr>
            <w:tcW w:w="2700" w:type="dxa"/>
            <w:vAlign w:val="bottom"/>
            <w:tcBorders>
              <w:top w:val="single" w:sz="8" w:color="auto"/>
            </w:tcBorders>
          </w:tcPr>
          <w:p>
            <w:pPr>
              <w:jc w:val="right"/>
              <w:ind w:right="698"/>
              <w:spacing w:after="0"/>
              <w:rPr>
                <w:sz w:val="20"/>
                <w:szCs w:val="20"/>
                <w:color w:val="auto"/>
              </w:rPr>
            </w:pPr>
            <w:r>
              <w:rPr>
                <w:rFonts w:ascii="Times New Roman" w:cs="Times New Roman" w:eastAsia="Times New Roman" w:hAnsi="Times New Roman"/>
                <w:sz w:val="14"/>
                <w:szCs w:val="14"/>
                <w:color w:val="auto"/>
              </w:rPr>
              <w:t>As of June 30, 2025</w:t>
            </w:r>
          </w:p>
        </w:tc>
        <w:tc>
          <w:tcPr>
            <w:tcW w:w="0" w:type="dxa"/>
            <w:vAlign w:val="bottom"/>
          </w:tcPr>
          <w:p>
            <w:pPr>
              <w:spacing w:after="0"/>
              <w:rPr>
                <w:sz w:val="1"/>
                <w:szCs w:val="1"/>
                <w:color w:val="auto"/>
              </w:rPr>
            </w:pPr>
          </w:p>
        </w:tc>
      </w:tr>
      <w:tr>
        <w:trPr>
          <w:trHeight w:val="225"/>
        </w:trPr>
        <w:tc>
          <w:tcPr>
            <w:tcW w:w="2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+200</w:t>
            </w:r>
          </w:p>
        </w:tc>
        <w:tc>
          <w:tcPr>
            <w:tcW w:w="80" w:type="dxa"/>
            <w:vAlign w:val="bottom"/>
            <w:tcBorders>
              <w:top w:val="single" w:sz="8" w:color="CCEEFF"/>
            </w:tcBorders>
            <w:shd w:val="clear" w:color="auto" w:fill="CCEEFF"/>
          </w:tcPr>
          <w:p>
            <w:pPr>
              <w:spacing w:after="0"/>
              <w:rPr>
                <w:sz w:val="19"/>
                <w:szCs w:val="19"/>
                <w:color w:val="auto"/>
              </w:rPr>
            </w:pPr>
          </w:p>
        </w:tc>
        <w:tc>
          <w:tcPr>
            <w:tcW w:w="2700" w:type="dxa"/>
            <w:vAlign w:val="bottom"/>
            <w:tcBorders>
              <w:top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tcBorders>
              <w:top w:val="single" w:sz="8" w:color="CCEEFF"/>
            </w:tcBorders>
            <w:shd w:val="clear" w:color="auto" w:fill="CCEEFF"/>
          </w:tcPr>
          <w:p>
            <w:pPr>
              <w:spacing w:after="0"/>
              <w:rPr>
                <w:sz w:val="19"/>
                <w:szCs w:val="19"/>
                <w:color w:val="auto"/>
              </w:rPr>
            </w:pPr>
          </w:p>
        </w:tc>
        <w:tc>
          <w:tcPr>
            <w:tcW w:w="27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Borders>
              <w:top w:val="single" w:sz="8" w:color="CCEEFF"/>
            </w:tcBorders>
            <w:shd w:val="clear" w:color="auto" w:fill="CCEEFF"/>
          </w:tcPr>
          <w:p>
            <w:pPr>
              <w:spacing w:after="0"/>
              <w:rPr>
                <w:sz w:val="19"/>
                <w:szCs w:val="19"/>
                <w:color w:val="auto"/>
              </w:rPr>
            </w:pPr>
          </w:p>
        </w:tc>
        <w:tc>
          <w:tcPr>
            <w:tcW w:w="270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5"/>
        </w:trPr>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80" w:type="dxa"/>
            <w:vAlign w:val="bottom"/>
          </w:tcPr>
          <w:p>
            <w:pPr>
              <w:spacing w:after="0"/>
              <w:rPr>
                <w:sz w:val="19"/>
                <w:szCs w:val="19"/>
                <w:color w:val="auto"/>
              </w:rPr>
            </w:pPr>
          </w:p>
        </w:tc>
        <w:tc>
          <w:tcPr>
            <w:tcW w:w="2700" w:type="dxa"/>
            <w:vAlign w:val="bottom"/>
          </w:tcPr>
          <w:p>
            <w:pPr>
              <w:jc w:val="right"/>
              <w:ind w:right="158"/>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tcPr>
          <w:p>
            <w:pPr>
              <w:spacing w:after="0"/>
              <w:rPr>
                <w:sz w:val="19"/>
                <w:szCs w:val="19"/>
                <w:color w:val="auto"/>
              </w:rPr>
            </w:pPr>
          </w:p>
        </w:tc>
        <w:tc>
          <w:tcPr>
            <w:tcW w:w="270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19"/>
                <w:szCs w:val="19"/>
                <w:color w:val="auto"/>
              </w:rPr>
            </w:pPr>
          </w:p>
        </w:tc>
        <w:tc>
          <w:tcPr>
            <w:tcW w:w="270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5"/>
        </w:trPr>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80" w:type="dxa"/>
            <w:vAlign w:val="bottom"/>
            <w:shd w:val="clear" w:color="auto" w:fill="CCEEFF"/>
          </w:tcPr>
          <w:p>
            <w:pPr>
              <w:spacing w:after="0"/>
              <w:rPr>
                <w:sz w:val="19"/>
                <w:szCs w:val="19"/>
                <w:color w:val="auto"/>
              </w:rPr>
            </w:pPr>
          </w:p>
        </w:tc>
        <w:tc>
          <w:tcPr>
            <w:tcW w:w="270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shd w:val="clear" w:color="auto" w:fill="CCEEFF"/>
          </w:tcPr>
          <w:p>
            <w:pPr>
              <w:spacing w:after="0"/>
              <w:rPr>
                <w:sz w:val="19"/>
                <w:szCs w:val="19"/>
                <w:color w:val="auto"/>
              </w:rPr>
            </w:pPr>
          </w:p>
        </w:tc>
        <w:tc>
          <w:tcPr>
            <w:tcW w:w="27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shd w:val="clear" w:color="auto" w:fill="CCEEFF"/>
          </w:tcPr>
          <w:p>
            <w:pPr>
              <w:spacing w:after="0"/>
              <w:rPr>
                <w:sz w:val="19"/>
                <w:szCs w:val="19"/>
                <w:color w:val="auto"/>
              </w:rPr>
            </w:pPr>
          </w:p>
        </w:tc>
        <w:tc>
          <w:tcPr>
            <w:tcW w:w="27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9"/>
        </w:trPr>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-200</w:t>
            </w:r>
          </w:p>
        </w:tc>
        <w:tc>
          <w:tcPr>
            <w:tcW w:w="80" w:type="dxa"/>
            <w:vAlign w:val="bottom"/>
          </w:tcPr>
          <w:p>
            <w:pPr>
              <w:spacing w:after="0"/>
              <w:rPr>
                <w:sz w:val="19"/>
                <w:szCs w:val="19"/>
                <w:color w:val="auto"/>
              </w:rPr>
            </w:pPr>
          </w:p>
        </w:tc>
        <w:tc>
          <w:tcPr>
            <w:tcW w:w="2700" w:type="dxa"/>
            <w:vAlign w:val="bottom"/>
          </w:tcPr>
          <w:p>
            <w:pPr>
              <w:jc w:val="right"/>
              <w:ind w:right="158"/>
              <w:spacing w:after="0"/>
              <w:rPr>
                <w:sz w:val="20"/>
                <w:szCs w:val="20"/>
                <w:color w:val="auto"/>
              </w:rPr>
            </w:pPr>
            <w:r>
              <w:rPr>
                <w:rFonts w:ascii="Times New Roman" w:cs="Times New Roman" w:eastAsia="Times New Roman" w:hAnsi="Times New Roman"/>
                <w:sz w:val="18"/>
                <w:szCs w:val="18"/>
                <w:color w:val="auto"/>
              </w:rPr>
              <w:t>(19.1)</w:t>
            </w:r>
          </w:p>
        </w:tc>
        <w:tc>
          <w:tcPr>
            <w:tcW w:w="140" w:type="dxa"/>
            <w:vAlign w:val="bottom"/>
          </w:tcPr>
          <w:p>
            <w:pPr>
              <w:spacing w:after="0"/>
              <w:rPr>
                <w:sz w:val="19"/>
                <w:szCs w:val="19"/>
                <w:color w:val="auto"/>
              </w:rPr>
            </w:pPr>
          </w:p>
        </w:tc>
        <w:tc>
          <w:tcPr>
            <w:tcW w:w="270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tcPr>
          <w:p>
            <w:pPr>
              <w:spacing w:after="0"/>
              <w:rPr>
                <w:sz w:val="19"/>
                <w:szCs w:val="19"/>
                <w:color w:val="auto"/>
              </w:rPr>
            </w:pPr>
          </w:p>
        </w:tc>
        <w:tc>
          <w:tcPr>
            <w:tcW w:w="270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bl>
    <w:p>
      <w:pPr>
        <w:spacing w:after="0" w:line="308" w:lineRule="exact"/>
        <w:rPr>
          <w:sz w:val="20"/>
          <w:szCs w:val="20"/>
          <w:color w:val="auto"/>
        </w:rPr>
      </w:pPr>
    </w:p>
    <w:p>
      <w:pPr>
        <w:ind w:right="180"/>
        <w:spacing w:after="0" w:line="273" w:lineRule="auto"/>
        <w:rPr>
          <w:sz w:val="20"/>
          <w:szCs w:val="20"/>
          <w:color w:val="auto"/>
        </w:rPr>
      </w:pPr>
      <w:r>
        <w:rPr>
          <w:rFonts w:ascii="Times New Roman" w:cs="Times New Roman" w:eastAsia="Times New Roman" w:hAnsi="Times New Roman"/>
          <w:sz w:val="17"/>
          <w:szCs w:val="17"/>
          <w:color w:val="auto"/>
        </w:rPr>
        <w:t>Rates are increased instantaneously at the beginning of the projection. The Company is asset sensitive, as the Company’s variable rate loan portfolio reprices the full amount of the assumed change in interest rates, while fixed-rate Company notes will reprice on maturity and the retail savings and short-term retail certificates of deposits portfolio will reprice with an assumed beta. Interest rates do not normally move all at once or evenly over time, but management believes that the analysis is useful to understanding the potential direction and magnitude of net interest income changes due to changing interest rates.</w:t>
      </w:r>
    </w:p>
    <w:p>
      <w:pPr>
        <w:spacing w:after="0" w:line="195"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8"/>
          <w:szCs w:val="18"/>
          <w:color w:val="auto"/>
        </w:rPr>
        <w:t>The EVE analysis shows that the Company would theoretically modestly increase market value in a rising rate environment. The EVE asset sensitivity results from the combination of fixed-rate debt and variable-rate debt which funds the variable-rate loan portfolio outside of Newtek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31"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7"/>
          <w:szCs w:val="17"/>
          <w:color w:val="auto"/>
        </w:rPr>
        <w:t>Our management, under the supervision and with the participation of the Chief Executive Officer (who is our principal executive officer) and Chief Financial Officer (who is our principal financial officer), evaluated the effectiveness of our disclosure controls and procedures, as defined in Rule 13a-15(e) and 15d15(e) of the Securities Exchange Act of 1934, as amended (the "Exchange Act"), as of June 30, 2025. The term "disclosure controls and procedures"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w:t>
      </w:r>
    </w:p>
    <w:p>
      <w:pPr>
        <w:spacing w:after="0" w:line="194" w:lineRule="exact"/>
        <w:rPr>
          <w:sz w:val="20"/>
          <w:szCs w:val="20"/>
          <w:color w:val="auto"/>
        </w:rPr>
      </w:pPr>
    </w:p>
    <w:p>
      <w:pPr>
        <w:ind w:right="160"/>
        <w:spacing w:after="0"/>
        <w:rPr>
          <w:sz w:val="20"/>
          <w:szCs w:val="20"/>
          <w:color w:val="auto"/>
        </w:rPr>
      </w:pPr>
      <w:r>
        <w:rPr>
          <w:rFonts w:ascii="Times New Roman" w:cs="Times New Roman" w:eastAsia="Times New Roman" w:hAnsi="Times New Roman"/>
          <w:sz w:val="18"/>
          <w:szCs w:val="18"/>
          <w:color w:val="auto"/>
        </w:rPr>
        <w:t>Based on that evaluation, our Chief Executive Officer and Chief Financial Officer concluded that as of June 30, 2025, our disclosure controls and procedures were effective.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3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during the quarter ended June 30, 2025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4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Refer to “NOTE 13—COMMITMENTS AND CONTINGENCIES” within the accompanying Notes to the Consolidated Financial Statements, which is incorporated by reference herein. While the final outcomes of legal proceedings are inherently unpredictable, management is currently of the opinion that the outcomes of pending and threatened matters will not have a material effect on the Company’s business, consolidated financial position, results of operations or cash flows as a whole.</w:t>
      </w:r>
    </w:p>
    <w:p>
      <w:pPr>
        <w:spacing w:after="0" w:line="211"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8"/>
          <w:szCs w:val="18"/>
          <w:color w:val="auto"/>
        </w:rPr>
        <w:t>In addition, as a result of a litigation brought by the Federal Trade Commission (the “FTC”) in October 2012, NMS voluntarily entered into, and is presently operating under, a permanent injunction with respect to certain of its business practices.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44" w:lineRule="exact"/>
        <w:rPr>
          <w:sz w:val="20"/>
          <w:szCs w:val="20"/>
          <w:color w:val="auto"/>
        </w:rPr>
      </w:pPr>
    </w:p>
    <w:p>
      <w:pPr>
        <w:ind w:right="220"/>
        <w:spacing w:after="0" w:line="251"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in Part I, “Item 1A. Risk Factors” in our 2024 Form 10-K, which could materially affect our business, financial condition and/or operating results. The risks described in our 2024 Form 10-K are not the only risks we face. Additional risks and uncertainties that are not currently known to us or that we currently deem to be immaterial also may materially adversely affect our business, financial condition and/or operating results. There have been no material changes from the risk factors set forth in our 2024 Form 10-K.</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44"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8"/>
          <w:szCs w:val="18"/>
          <w:color w:val="auto"/>
        </w:rPr>
        <w:t>We issue shares of common stock that are not subject to the registration requirements of the Securities Act in connection with dividends on unvested restricted stock awards. A breakdown of the shares related to dividends on unvested restricted stock awards is presented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24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Three Months Ended June 30,</w:t>
            </w:r>
          </w:p>
        </w:tc>
        <w:tc>
          <w:tcPr>
            <w:tcW w:w="3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5"/>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r>
      <w:tr>
        <w:trPr>
          <w:trHeight w:val="218"/>
        </w:trPr>
        <w:tc>
          <w:tcPr>
            <w:tcW w:w="224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Borders>
              <w:bottom w:val="single" w:sz="8" w:color="auto"/>
            </w:tcBorders>
            <w:gridSpan w:val="2"/>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7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Borders>
              <w:bottom w:val="single" w:sz="8" w:color="auto"/>
            </w:tcBorders>
            <w:gridSpan w:val="2"/>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740" w:type="dxa"/>
            <w:vAlign w:val="bottom"/>
            <w:tcBorders>
              <w:bottom w:val="single" w:sz="8" w:color="auto"/>
            </w:tcBorders>
          </w:tcPr>
          <w:p>
            <w:pPr>
              <w:spacing w:after="0"/>
              <w:rPr>
                <w:sz w:val="18"/>
                <w:szCs w:val="18"/>
                <w:color w:val="auto"/>
              </w:rPr>
            </w:pPr>
          </w:p>
        </w:tc>
      </w:tr>
      <w:tr>
        <w:trPr>
          <w:trHeight w:val="218"/>
        </w:trPr>
        <w:tc>
          <w:tcPr>
            <w:tcW w:w="22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52"/>
        </w:trPr>
        <w:tc>
          <w:tcPr>
            <w:tcW w:w="2240" w:type="dxa"/>
            <w:vAlign w:val="bottom"/>
            <w:shd w:val="clear" w:color="auto" w:fill="CCEEFF"/>
          </w:tcPr>
          <w:p>
            <w:pPr>
              <w:ind w:left="20"/>
              <w:spacing w:after="0" w:line="152" w:lineRule="exact"/>
              <w:rPr>
                <w:sz w:val="20"/>
                <w:szCs w:val="20"/>
                <w:color w:val="auto"/>
              </w:rPr>
            </w:pPr>
            <w:r>
              <w:rPr>
                <w:rFonts w:ascii="Times New Roman" w:cs="Times New Roman" w:eastAsia="Times New Roman" w:hAnsi="Times New Roman"/>
                <w:sz w:val="17"/>
                <w:szCs w:val="17"/>
                <w:color w:val="auto"/>
              </w:rPr>
              <w:t>Dividend shares on unvested</w:t>
            </w: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r>
      <w:tr>
        <w:trPr>
          <w:trHeight w:val="238"/>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RSAs</w:t>
            </w:r>
          </w:p>
        </w:tc>
        <w:tc>
          <w:tcPr>
            <w:tcW w:w="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2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5400" w:type="dxa"/>
            <w:vAlign w:val="bottom"/>
            <w:gridSpan w:val="14"/>
          </w:tcPr>
          <w:p>
            <w:pPr>
              <w:ind w:left="1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8"/>
        </w:trPr>
        <w:tc>
          <w:tcPr>
            <w:tcW w:w="400" w:type="dxa"/>
            <w:vAlign w:val="bottom"/>
            <w:gridSpan w:val="2"/>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920" w:type="dxa"/>
            <w:vAlign w:val="bottom"/>
            <w:gridSpan w:val="21"/>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Amended and Restated Articles of Incorporation of Newtek Business Services Corp. (Previously filed in connection with Pre-Effective</w:t>
              </w:r>
            </w:hyperlink>
          </w:p>
        </w:tc>
      </w:tr>
      <w:tr>
        <w:trPr>
          <w:trHeight w:val="132"/>
        </w:trPr>
        <w:tc>
          <w:tcPr>
            <w:tcW w:w="220" w:type="dxa"/>
            <w:vAlign w:val="bottom"/>
            <w:tcBorders>
              <w:top w:val="single" w:sz="8" w:color="0000FF"/>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520" w:type="dxa"/>
            <w:vAlign w:val="bottom"/>
            <w:tcBorders>
              <w:top w:val="single" w:sz="8" w:color="0000FF"/>
            </w:tcBorders>
            <w:gridSpan w:val="13"/>
          </w:tcPr>
          <w:p>
            <w:pPr>
              <w:spacing w:after="0" w:line="132" w:lineRule="exact"/>
              <w:rPr>
                <w:rFonts w:ascii="Times New Roman" w:cs="Times New Roman" w:eastAsia="Times New Roman" w:hAnsi="Times New Roman"/>
                <w:sz w:val="15"/>
                <w:szCs w:val="15"/>
                <w:color w:val="0000FF"/>
              </w:rPr>
            </w:pPr>
            <w:hyperlink r:id="rId143">
              <w:r>
                <w:rPr>
                  <w:rFonts w:ascii="Times New Roman" w:cs="Times New Roman" w:eastAsia="Times New Roman" w:hAnsi="Times New Roman"/>
                  <w:sz w:val="15"/>
                  <w:szCs w:val="15"/>
                  <w:color w:val="0000FF"/>
                </w:rPr>
                <w:t>Amendment No. 3 to the Registration Statement on Form N-2 (File No. 333-191499) filed on November 3, 2014, and incorporated by</w:t>
              </w:r>
            </w:hyperlink>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2"/>
        </w:trPr>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40" w:type="dxa"/>
            <w:vAlign w:val="bottom"/>
            <w:tcBorders>
              <w:top w:val="single" w:sz="8" w:color="0000FF"/>
              <w:bottom w:val="single" w:sz="8" w:color="0000FF"/>
            </w:tcBorders>
            <w:gridSpan w:val="2"/>
          </w:tcPr>
          <w:p>
            <w:pPr>
              <w:spacing w:after="0" w:line="152" w:lineRule="exact"/>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reference herein).</w:t>
              </w:r>
            </w:hyperlink>
          </w:p>
        </w:tc>
        <w:tc>
          <w:tcPr>
            <w:tcW w:w="8200" w:type="dxa"/>
            <w:vAlign w:val="bottom"/>
            <w:tcBorders>
              <w:top w:val="single" w:sz="8" w:color="0000FF"/>
            </w:tcBorders>
            <w:gridSpan w:val="10"/>
          </w:tcPr>
          <w:p>
            <w:pPr>
              <w:spacing w:after="0"/>
              <w:rPr>
                <w:sz w:val="13"/>
                <w:szCs w:val="13"/>
                <w:color w:val="auto"/>
              </w:rPr>
            </w:pPr>
          </w:p>
        </w:tc>
        <w:tc>
          <w:tcPr>
            <w:tcW w:w="10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1"/>
        </w:trPr>
        <w:tc>
          <w:tcPr>
            <w:tcW w:w="400" w:type="dxa"/>
            <w:vAlign w:val="bottom"/>
            <w:gridSpan w:val="2"/>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920" w:type="dxa"/>
            <w:vAlign w:val="bottom"/>
            <w:gridSpan w:val="21"/>
          </w:tcPr>
          <w:p>
            <w:pPr>
              <w:spacing w:after="0"/>
              <w:rPr>
                <w:rFonts w:ascii="Times New Roman" w:cs="Times New Roman" w:eastAsia="Times New Roman" w:hAnsi="Times New Roman"/>
                <w:sz w:val="18"/>
                <w:szCs w:val="18"/>
                <w:color w:val="0000FF"/>
                <w:w w:val="99"/>
              </w:rPr>
            </w:pPr>
            <w:hyperlink r:id="rId144">
              <w:r>
                <w:rPr>
                  <w:rFonts w:ascii="Times New Roman" w:cs="Times New Roman" w:eastAsia="Times New Roman" w:hAnsi="Times New Roman"/>
                  <w:sz w:val="18"/>
                  <w:szCs w:val="18"/>
                  <w:color w:val="0000FF"/>
                  <w:w w:val="99"/>
                </w:rPr>
                <w:t>Amended Bylaws of NewtekOne, Inc. (Incorporated by reference to Exhibit 99.1 of NewtekOne, Inc’s Current Report on Form 8-K, filed</w:t>
              </w:r>
            </w:hyperlink>
          </w:p>
        </w:tc>
      </w:tr>
      <w:tr>
        <w:trPr>
          <w:trHeight w:val="152"/>
        </w:trPr>
        <w:tc>
          <w:tcPr>
            <w:tcW w:w="22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80" w:type="dxa"/>
            <w:vAlign w:val="bottom"/>
            <w:tcBorders>
              <w:top w:val="single" w:sz="8" w:color="0000FF"/>
            </w:tcBorders>
            <w:gridSpan w:val="16"/>
          </w:tcPr>
          <w:p>
            <w:pPr>
              <w:spacing w:after="0" w:line="152" w:lineRule="exact"/>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January 24, 2023).</w:t>
              </w:r>
            </w:hyperlink>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7"/>
        </w:trPr>
        <w:tc>
          <w:tcPr>
            <w:tcW w:w="400" w:type="dxa"/>
            <w:vAlign w:val="bottom"/>
            <w:gridSpan w:val="2"/>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3</w:t>
              </w:r>
            </w:hyperlink>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920" w:type="dxa"/>
            <w:vAlign w:val="bottom"/>
            <w:gridSpan w:val="21"/>
          </w:tcPr>
          <w:p>
            <w:pPr>
              <w:spacing w:after="0"/>
              <w:rPr>
                <w:rFonts w:ascii="Times New Roman" w:cs="Times New Roman" w:eastAsia="Times New Roman" w:hAnsi="Times New Roman"/>
                <w:sz w:val="18"/>
                <w:szCs w:val="18"/>
                <w:color w:val="0000FF"/>
                <w:w w:val="97"/>
              </w:rPr>
            </w:pPr>
            <w:hyperlink r:id="rId145">
              <w:r>
                <w:rPr>
                  <w:rFonts w:ascii="Times New Roman" w:cs="Times New Roman" w:eastAsia="Times New Roman" w:hAnsi="Times New Roman"/>
                  <w:sz w:val="18"/>
                  <w:szCs w:val="18"/>
                  <w:color w:val="0000FF"/>
                  <w:w w:val="97"/>
                </w:rPr>
                <w:t>Articles of Amendment to Newtek Business Services Corp.’s Charter (Incorporated by reference to Exhibit 99.1 to Newtek’s Current Report</w:t>
              </w:r>
            </w:hyperlink>
          </w:p>
        </w:tc>
      </w:tr>
      <w:tr>
        <w:trPr>
          <w:trHeight w:val="152"/>
        </w:trPr>
        <w:tc>
          <w:tcPr>
            <w:tcW w:w="22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40" w:type="dxa"/>
            <w:vAlign w:val="bottom"/>
            <w:tcBorders>
              <w:top w:val="single" w:sz="8" w:color="0000FF"/>
              <w:bottom w:val="single" w:sz="8" w:color="0000FF"/>
            </w:tcBorders>
            <w:gridSpan w:val="6"/>
          </w:tcPr>
          <w:p>
            <w:pPr>
              <w:spacing w:after="0" w:line="152" w:lineRule="exact"/>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on Form 8-K filed January 17, 2025).</w:t>
              </w:r>
            </w:hyperlink>
          </w:p>
        </w:tc>
        <w:tc>
          <w:tcPr>
            <w:tcW w:w="724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1"/>
        </w:trPr>
        <w:tc>
          <w:tcPr>
            <w:tcW w:w="220" w:type="dxa"/>
            <w:vAlign w:val="bottom"/>
          </w:tcPr>
          <w:p>
            <w:pPr>
              <w:spacing w:after="0"/>
              <w:rPr>
                <w:rFonts w:ascii="Times New Roman" w:cs="Times New Roman" w:eastAsia="Times New Roman" w:hAnsi="Times New Roman"/>
                <w:sz w:val="18"/>
                <w:szCs w:val="18"/>
                <w:color w:val="0000FF"/>
                <w:w w:val="88"/>
              </w:rPr>
            </w:pPr>
            <w:hyperlink r:id="rId146">
              <w:r>
                <w:rPr>
                  <w:rFonts w:ascii="Times New Roman" w:cs="Times New Roman" w:eastAsia="Times New Roman" w:hAnsi="Times New Roman"/>
                  <w:sz w:val="18"/>
                  <w:szCs w:val="18"/>
                  <w:color w:val="0000FF"/>
                  <w:w w:val="88"/>
                </w:rPr>
                <w:t>3.</w:t>
              </w:r>
              <w:r>
                <w:rPr>
                  <w:rFonts w:ascii="Times New Roman" w:cs="Times New Roman" w:eastAsia="Times New Roman" w:hAnsi="Times New Roman"/>
                  <w:sz w:val="18"/>
                  <w:szCs w:val="18"/>
                  <w:u w:val="single" w:color="auto"/>
                  <w:color w:val="0000FF"/>
                  <w:w w:val="88"/>
                </w:rPr>
                <w:t>4</w:t>
              </w:r>
            </w:hyperlink>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920" w:type="dxa"/>
            <w:vAlign w:val="bottom"/>
            <w:gridSpan w:val="21"/>
          </w:tcPr>
          <w:p>
            <w:pPr>
              <w:spacing w:after="0"/>
              <w:rPr>
                <w:rFonts w:ascii="Times New Roman" w:cs="Times New Roman" w:eastAsia="Times New Roman" w:hAnsi="Times New Roman"/>
                <w:sz w:val="18"/>
                <w:szCs w:val="18"/>
                <w:color w:val="0000FF"/>
                <w:w w:val="97"/>
              </w:rPr>
            </w:pPr>
            <w:hyperlink r:id="rId146">
              <w:r>
                <w:rPr>
                  <w:rFonts w:ascii="Times New Roman" w:cs="Times New Roman" w:eastAsia="Times New Roman" w:hAnsi="Times New Roman"/>
                  <w:sz w:val="18"/>
                  <w:szCs w:val="18"/>
                  <w:color w:val="0000FF"/>
                  <w:w w:val="97"/>
                </w:rPr>
                <w:t>Articles Supplementary to the Amended and Restated Articles of Incorporation of NewtekOne, Inc (Incorporated by reference to Exhibit 3.1</w:t>
              </w:r>
            </w:hyperlink>
          </w:p>
        </w:tc>
      </w:tr>
      <w:tr>
        <w:trPr>
          <w:trHeight w:val="152"/>
        </w:trPr>
        <w:tc>
          <w:tcPr>
            <w:tcW w:w="22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900" w:type="dxa"/>
            <w:vAlign w:val="bottom"/>
            <w:tcBorders>
              <w:top w:val="single" w:sz="8" w:color="0000FF"/>
            </w:tcBorders>
            <w:gridSpan w:val="20"/>
          </w:tcPr>
          <w:p>
            <w:pPr>
              <w:spacing w:after="0" w:line="152" w:lineRule="exact"/>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to Newtek’s Current Report on Form 8-K filed February 7, 2023</w:t>
              </w:r>
              <w:r>
                <w:rPr>
                  <w:rFonts w:ascii="Times New Roman" w:cs="Times New Roman" w:eastAsia="Times New Roman" w:hAnsi="Times New Roman"/>
                  <w:sz w:val="17"/>
                  <w:szCs w:val="17"/>
                  <w:color w:val="000000"/>
                </w:rPr>
                <w:t>).</w:t>
              </w:r>
            </w:hyperlink>
          </w:p>
        </w:tc>
        <w:tc>
          <w:tcPr>
            <w:tcW w:w="20" w:type="dxa"/>
            <w:vAlign w:val="bottom"/>
          </w:tcPr>
          <w:p>
            <w:pPr>
              <w:spacing w:after="0"/>
              <w:rPr>
                <w:sz w:val="13"/>
                <w:szCs w:val="13"/>
                <w:color w:val="auto"/>
              </w:rPr>
            </w:pPr>
          </w:p>
        </w:tc>
      </w:tr>
      <w:tr>
        <w:trPr>
          <w:trHeight w:val="20"/>
        </w:trPr>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20" w:type="dxa"/>
            <w:vAlign w:val="bottom"/>
            <w:gridSpan w:val="2"/>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291"/>
        </w:trPr>
        <w:tc>
          <w:tcPr>
            <w:tcW w:w="220" w:type="dxa"/>
            <w:vAlign w:val="bottom"/>
          </w:tcPr>
          <w:p>
            <w:pPr>
              <w:spacing w:after="0"/>
              <w:rPr>
                <w:rFonts w:ascii="Times New Roman" w:cs="Times New Roman" w:eastAsia="Times New Roman" w:hAnsi="Times New Roman"/>
                <w:sz w:val="18"/>
                <w:szCs w:val="18"/>
                <w:color w:val="0000FF"/>
                <w:w w:val="88"/>
              </w:rPr>
            </w:pPr>
            <w:hyperlink r:id="rId147">
              <w:r>
                <w:rPr>
                  <w:rFonts w:ascii="Times New Roman" w:cs="Times New Roman" w:eastAsia="Times New Roman" w:hAnsi="Times New Roman"/>
                  <w:sz w:val="18"/>
                  <w:szCs w:val="18"/>
                  <w:color w:val="0000FF"/>
                  <w:w w:val="88"/>
                </w:rPr>
                <w:t>3.</w:t>
              </w:r>
              <w:r>
                <w:rPr>
                  <w:rFonts w:ascii="Times New Roman" w:cs="Times New Roman" w:eastAsia="Times New Roman" w:hAnsi="Times New Roman"/>
                  <w:sz w:val="18"/>
                  <w:szCs w:val="18"/>
                  <w:u w:val="single" w:color="auto"/>
                  <w:color w:val="0000FF"/>
                  <w:w w:val="88"/>
                </w:rPr>
                <w:t>5</w:t>
              </w:r>
            </w:hyperlink>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920" w:type="dxa"/>
            <w:vAlign w:val="bottom"/>
            <w:gridSpan w:val="21"/>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Articles of Amendment to the Amended and Restated Articles of Incorporation of NewtekOne, Inc. (Incorporated by reference to Exhibit</w:t>
              </w:r>
            </w:hyperlink>
          </w:p>
        </w:tc>
      </w:tr>
      <w:tr>
        <w:trPr>
          <w:trHeight w:val="132"/>
        </w:trPr>
        <w:tc>
          <w:tcPr>
            <w:tcW w:w="220" w:type="dxa"/>
            <w:vAlign w:val="bottom"/>
            <w:tcBorders>
              <w:top w:val="single" w:sz="8" w:color="0000FF"/>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60" w:type="dxa"/>
            <w:vAlign w:val="bottom"/>
            <w:tcBorders>
              <w:top w:val="single" w:sz="8" w:color="0000FF"/>
            </w:tcBorders>
            <w:gridSpan w:val="15"/>
          </w:tcPr>
          <w:p>
            <w:pPr>
              <w:spacing w:after="0" w:line="132" w:lineRule="exact"/>
              <w:rPr>
                <w:rFonts w:ascii="Times New Roman" w:cs="Times New Roman" w:eastAsia="Times New Roman" w:hAnsi="Times New Roman"/>
                <w:sz w:val="15"/>
                <w:szCs w:val="15"/>
                <w:color w:val="0000FF"/>
              </w:rPr>
            </w:pPr>
            <w:hyperlink r:id="rId147">
              <w:r>
                <w:rPr>
                  <w:rFonts w:ascii="Times New Roman" w:cs="Times New Roman" w:eastAsia="Times New Roman" w:hAnsi="Times New Roman"/>
                  <w:sz w:val="15"/>
                  <w:szCs w:val="15"/>
                  <w:color w:val="0000FF"/>
                </w:rPr>
                <w:t>99.</w:t>
              </w:r>
              <w:r>
                <w:rPr>
                  <w:rFonts w:ascii="Times New Roman" w:cs="Times New Roman" w:eastAsia="Times New Roman" w:hAnsi="Times New Roman"/>
                  <w:sz w:val="15"/>
                  <w:szCs w:val="15"/>
                  <w:u w:val="single" w:color="auto"/>
                  <w:color w:val="0000FF"/>
                </w:rPr>
                <w:t>1</w:t>
              </w:r>
              <w:r>
                <w:rPr>
                  <w:rFonts w:ascii="Times New Roman" w:cs="Times New Roman" w:eastAsia="Times New Roman" w:hAnsi="Times New Roman"/>
                  <w:sz w:val="15"/>
                  <w:szCs w:val="15"/>
                  <w:color w:val="0000FF"/>
                </w:rPr>
                <w:t xml:space="preserve"> to Newtek’s Current Report on Form 8-K, filed June 18, 2024).</w:t>
              </w:r>
            </w:hyperlink>
          </w:p>
        </w:tc>
        <w:tc>
          <w:tcPr>
            <w:tcW w:w="8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gridSpan w:val="3"/>
          </w:tcPr>
          <w:p>
            <w:pPr>
              <w:spacing w:after="0"/>
              <w:rPr>
                <w:sz w:val="11"/>
                <w:szCs w:val="11"/>
                <w:color w:val="auto"/>
              </w:rPr>
            </w:pPr>
          </w:p>
        </w:tc>
      </w:tr>
      <w:tr>
        <w:trPr>
          <w:trHeight w:val="20"/>
        </w:trPr>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900" w:type="dxa"/>
            <w:vAlign w:val="bottom"/>
            <w:gridSpan w:val="4"/>
            <w:shd w:val="clear" w:color="auto" w:fill="0000FF"/>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271"/>
        </w:trPr>
        <w:tc>
          <w:tcPr>
            <w:tcW w:w="5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740" w:type="dxa"/>
            <w:vAlign w:val="bottom"/>
          </w:tcPr>
          <w:p>
            <w:pPr>
              <w:spacing w:after="0"/>
              <w:rPr>
                <w:sz w:val="23"/>
                <w:szCs w:val="23"/>
                <w:color w:val="auto"/>
              </w:rPr>
            </w:pPr>
          </w:p>
        </w:tc>
        <w:tc>
          <w:tcPr>
            <w:tcW w:w="99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Certification by Principal Executive Officer required by Rules 13a-14 and 15d-14(a) under the Securities Exchange Act of 1934, as</w:t>
            </w:r>
          </w:p>
        </w:tc>
      </w:tr>
      <w:tr>
        <w:trPr>
          <w:trHeight w:val="152"/>
        </w:trPr>
        <w:tc>
          <w:tcPr>
            <w:tcW w:w="2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60" w:type="dxa"/>
            <w:vAlign w:val="bottom"/>
            <w:tcBorders>
              <w:top w:val="single" w:sz="8" w:color="0000FF"/>
            </w:tcBorders>
            <w:gridSpan w:val="11"/>
          </w:tcPr>
          <w:p>
            <w:pPr>
              <w:spacing w:after="0" w:line="152" w:lineRule="exact"/>
              <w:rPr>
                <w:sz w:val="20"/>
                <w:szCs w:val="20"/>
                <w:color w:val="auto"/>
              </w:rPr>
            </w:pPr>
            <w:r>
              <w:rPr>
                <w:rFonts w:ascii="Times New Roman" w:cs="Times New Roman" w:eastAsia="Times New Roman" w:hAnsi="Times New Roman"/>
                <w:sz w:val="17"/>
                <w:szCs w:val="17"/>
                <w:color w:val="0000FF"/>
              </w:rPr>
              <w:t>amended, filed herewith.</w:t>
            </w:r>
          </w:p>
        </w:tc>
        <w:tc>
          <w:tcPr>
            <w:tcW w:w="280" w:type="dxa"/>
            <w:vAlign w:val="bottom"/>
            <w:gridSpan w:val="3"/>
          </w:tcPr>
          <w:p>
            <w:pPr>
              <w:spacing w:after="0"/>
              <w:rPr>
                <w:sz w:val="13"/>
                <w:szCs w:val="13"/>
                <w:color w:val="auto"/>
              </w:rPr>
            </w:pPr>
          </w:p>
        </w:tc>
        <w:tc>
          <w:tcPr>
            <w:tcW w:w="20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r>
      <w:tr>
        <w:trPr>
          <w:trHeight w:val="20"/>
        </w:trPr>
        <w:tc>
          <w:tcPr>
            <w:tcW w:w="50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40" w:type="dxa"/>
            <w:vAlign w:val="bottom"/>
            <w:gridSpan w:val="9"/>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271"/>
        </w:trPr>
        <w:tc>
          <w:tcPr>
            <w:tcW w:w="5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740" w:type="dxa"/>
            <w:vAlign w:val="bottom"/>
          </w:tcPr>
          <w:p>
            <w:pPr>
              <w:spacing w:after="0"/>
              <w:rPr>
                <w:sz w:val="23"/>
                <w:szCs w:val="23"/>
                <w:color w:val="auto"/>
              </w:rPr>
            </w:pPr>
          </w:p>
        </w:tc>
        <w:tc>
          <w:tcPr>
            <w:tcW w:w="99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Certification by Principal Financial Officer required by Rule 13a-14 under the Securities Exchange Act of 1934, as amended, furnished</w:t>
            </w:r>
          </w:p>
        </w:tc>
      </w:tr>
      <w:tr>
        <w:trPr>
          <w:trHeight w:val="152"/>
        </w:trPr>
        <w:tc>
          <w:tcPr>
            <w:tcW w:w="2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Borders>
              <w:top w:val="single" w:sz="8" w:color="0000FF"/>
              <w:bottom w:val="single" w:sz="8" w:color="0000FF"/>
            </w:tcBorders>
          </w:tcPr>
          <w:p>
            <w:pPr>
              <w:spacing w:after="0" w:line="152" w:lineRule="exact"/>
              <w:rPr>
                <w:sz w:val="20"/>
                <w:szCs w:val="20"/>
                <w:color w:val="auto"/>
              </w:rPr>
            </w:pPr>
            <w:r>
              <w:rPr>
                <w:rFonts w:ascii="Times New Roman" w:cs="Times New Roman" w:eastAsia="Times New Roman" w:hAnsi="Times New Roman"/>
                <w:sz w:val="17"/>
                <w:szCs w:val="17"/>
                <w:color w:val="0000FF"/>
              </w:rPr>
              <w:t>herewith.</w:t>
            </w:r>
          </w:p>
        </w:tc>
        <w:tc>
          <w:tcPr>
            <w:tcW w:w="8880" w:type="dxa"/>
            <w:vAlign w:val="bottom"/>
            <w:tcBorders>
              <w:top w:val="single" w:sz="8" w:color="0000FF"/>
            </w:tcBorders>
            <w:gridSpan w:val="13"/>
          </w:tcPr>
          <w:p>
            <w:pPr>
              <w:spacing w:after="0"/>
              <w:rPr>
                <w:sz w:val="13"/>
                <w:szCs w:val="13"/>
                <w:color w:val="auto"/>
              </w:rPr>
            </w:pPr>
          </w:p>
        </w:tc>
        <w:tc>
          <w:tcPr>
            <w:tcW w:w="20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r>
      <w:tr>
        <w:trPr>
          <w:trHeight w:val="271"/>
        </w:trPr>
        <w:tc>
          <w:tcPr>
            <w:tcW w:w="5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2"/>
              </w:rPr>
              <w:t>32.</w:t>
            </w:r>
            <w:r>
              <w:rPr>
                <w:rFonts w:ascii="Times New Roman" w:cs="Times New Roman" w:eastAsia="Times New Roman" w:hAnsi="Times New Roman"/>
                <w:sz w:val="18"/>
                <w:szCs w:val="18"/>
                <w:u w:val="single" w:color="auto"/>
                <w:color w:val="0000FF"/>
                <w:w w:val="92"/>
              </w:rPr>
              <w:t>1**</w:t>
            </w:r>
          </w:p>
        </w:tc>
        <w:tc>
          <w:tcPr>
            <w:tcW w:w="740" w:type="dxa"/>
            <w:vAlign w:val="bottom"/>
          </w:tcPr>
          <w:p>
            <w:pPr>
              <w:spacing w:after="0"/>
              <w:rPr>
                <w:sz w:val="23"/>
                <w:szCs w:val="23"/>
                <w:color w:val="auto"/>
              </w:rPr>
            </w:pPr>
          </w:p>
        </w:tc>
        <w:tc>
          <w:tcPr>
            <w:tcW w:w="99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w w:val="98"/>
              </w:rPr>
              <w:t>Certification by Principal Executive Officer pursuant to 18 U.S.C. Section 1350, as adopted pursuant to Section 906 of the Sarbanes-Oxley</w:t>
            </w:r>
          </w:p>
        </w:tc>
      </w:tr>
      <w:tr>
        <w:trPr>
          <w:trHeight w:val="152"/>
        </w:trPr>
        <w:tc>
          <w:tcPr>
            <w:tcW w:w="2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740" w:type="dxa"/>
            <w:vAlign w:val="bottom"/>
          </w:tcPr>
          <w:p>
            <w:pPr>
              <w:spacing w:after="0"/>
              <w:rPr>
                <w:sz w:val="13"/>
                <w:szCs w:val="13"/>
                <w:color w:val="auto"/>
              </w:rPr>
            </w:pPr>
          </w:p>
        </w:tc>
        <w:tc>
          <w:tcPr>
            <w:tcW w:w="9800" w:type="dxa"/>
            <w:vAlign w:val="bottom"/>
            <w:tcBorders>
              <w:top w:val="single" w:sz="8" w:color="0000FF"/>
            </w:tcBorders>
            <w:gridSpan w:val="18"/>
          </w:tcPr>
          <w:p>
            <w:pPr>
              <w:spacing w:after="0" w:line="152" w:lineRule="exact"/>
              <w:rPr>
                <w:sz w:val="20"/>
                <w:szCs w:val="20"/>
                <w:color w:val="auto"/>
              </w:rPr>
            </w:pPr>
            <w:r>
              <w:rPr>
                <w:rFonts w:ascii="Times New Roman" w:cs="Times New Roman" w:eastAsia="Times New Roman" w:hAnsi="Times New Roman"/>
                <w:sz w:val="17"/>
                <w:szCs w:val="17"/>
                <w:color w:val="0000FF"/>
              </w:rPr>
              <w:t>Act of 2002 filed herewith.</w:t>
            </w:r>
          </w:p>
        </w:tc>
        <w:tc>
          <w:tcPr>
            <w:tcW w:w="120" w:type="dxa"/>
            <w:vAlign w:val="bottom"/>
            <w:gridSpan w:val="3"/>
          </w:tcPr>
          <w:p>
            <w:pPr>
              <w:spacing w:after="0"/>
              <w:rPr>
                <w:sz w:val="13"/>
                <w:szCs w:val="13"/>
                <w:color w:val="auto"/>
              </w:rPr>
            </w:pPr>
          </w:p>
        </w:tc>
      </w:tr>
      <w:tr>
        <w:trPr>
          <w:trHeight w:val="20"/>
        </w:trPr>
        <w:tc>
          <w:tcPr>
            <w:tcW w:w="50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00" w:type="dxa"/>
            <w:vAlign w:val="bottom"/>
            <w:gridSpan w:val="5"/>
            <w:shd w:val="clear" w:color="auto" w:fill="0000FF"/>
          </w:tcPr>
          <w:p>
            <w:pPr>
              <w:spacing w:after="0" w:line="20" w:lineRule="exact"/>
              <w:rPr>
                <w:sz w:val="1"/>
                <w:szCs w:val="1"/>
                <w:color w:val="auto"/>
              </w:rPr>
            </w:pPr>
          </w:p>
        </w:tc>
        <w:tc>
          <w:tcPr>
            <w:tcW w:w="7840" w:type="dxa"/>
            <w:vAlign w:val="bottom"/>
            <w:gridSpan w:val="1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291"/>
        </w:trPr>
        <w:tc>
          <w:tcPr>
            <w:tcW w:w="5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2"/>
              </w:rPr>
              <w:t>32.</w:t>
            </w:r>
            <w:r>
              <w:rPr>
                <w:rFonts w:ascii="Times New Roman" w:cs="Times New Roman" w:eastAsia="Times New Roman" w:hAnsi="Times New Roman"/>
                <w:sz w:val="18"/>
                <w:szCs w:val="18"/>
                <w:u w:val="single" w:color="auto"/>
                <w:color w:val="0000FF"/>
                <w:w w:val="92"/>
              </w:rPr>
              <w:t>2**</w:t>
            </w:r>
          </w:p>
        </w:tc>
        <w:tc>
          <w:tcPr>
            <w:tcW w:w="740" w:type="dxa"/>
            <w:vAlign w:val="bottom"/>
          </w:tcPr>
          <w:p>
            <w:pPr>
              <w:spacing w:after="0"/>
              <w:rPr>
                <w:sz w:val="24"/>
                <w:szCs w:val="24"/>
                <w:color w:val="auto"/>
              </w:rPr>
            </w:pPr>
          </w:p>
        </w:tc>
        <w:tc>
          <w:tcPr>
            <w:tcW w:w="99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w w:val="99"/>
              </w:rPr>
              <w:t>Certification by Principal Financial Officer pursuant to 18 U.S.C. Section 1350, as adopted pursuant to Section 906 of the Sarbanes-Oxley</w:t>
            </w:r>
          </w:p>
        </w:tc>
      </w:tr>
      <w:tr>
        <w:trPr>
          <w:trHeight w:val="132"/>
        </w:trPr>
        <w:tc>
          <w:tcPr>
            <w:tcW w:w="22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740" w:type="dxa"/>
            <w:vAlign w:val="bottom"/>
          </w:tcPr>
          <w:p>
            <w:pPr>
              <w:spacing w:after="0"/>
              <w:rPr>
                <w:sz w:val="11"/>
                <w:szCs w:val="11"/>
                <w:color w:val="auto"/>
              </w:rPr>
            </w:pPr>
          </w:p>
        </w:tc>
        <w:tc>
          <w:tcPr>
            <w:tcW w:w="9740" w:type="dxa"/>
            <w:vAlign w:val="bottom"/>
            <w:tcBorders>
              <w:top w:val="single" w:sz="8" w:color="0000FF"/>
            </w:tcBorders>
            <w:gridSpan w:val="17"/>
          </w:tcPr>
          <w:p>
            <w:pPr>
              <w:spacing w:after="0" w:line="132" w:lineRule="exact"/>
              <w:rPr>
                <w:sz w:val="20"/>
                <w:szCs w:val="20"/>
                <w:color w:val="auto"/>
              </w:rPr>
            </w:pPr>
            <w:r>
              <w:rPr>
                <w:rFonts w:ascii="Times New Roman" w:cs="Times New Roman" w:eastAsia="Times New Roman" w:hAnsi="Times New Roman"/>
                <w:sz w:val="15"/>
                <w:szCs w:val="15"/>
                <w:color w:val="0000FF"/>
              </w:rPr>
              <w:t>Act of 2002 filed herewith.</w:t>
            </w:r>
          </w:p>
        </w:tc>
        <w:tc>
          <w:tcPr>
            <w:tcW w:w="180" w:type="dxa"/>
            <w:vAlign w:val="bottom"/>
            <w:gridSpan w:val="4"/>
          </w:tcPr>
          <w:p>
            <w:pPr>
              <w:spacing w:after="0"/>
              <w:rPr>
                <w:sz w:val="11"/>
                <w:szCs w:val="11"/>
                <w:color w:val="auto"/>
              </w:rPr>
            </w:pPr>
          </w:p>
        </w:tc>
      </w:tr>
      <w:tr>
        <w:trPr>
          <w:trHeight w:val="20"/>
        </w:trPr>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7" w:lineRule="exact"/>
        <w:rPr>
          <w:sz w:val="20"/>
          <w:szCs w:val="20"/>
          <w:color w:val="auto"/>
        </w:rPr>
      </w:pPr>
    </w:p>
    <w:p>
      <w:pPr>
        <w:ind w:left="1260" w:right="200" w:hanging="1237"/>
        <w:spacing w:after="0" w:line="232" w:lineRule="auto"/>
        <w:tabs>
          <w:tab w:leader="none" w:pos="126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Interactive Data Files Pursuant to Rule 405 of Regulation S-T: (i) the Consolidated Balance Sheets as of June 30, 2025 and December 31, 2024; (ii) the Consolidated Statements of Operations for the three and six months ended June 30, 2025 and 2024; (iii) the Consolidated Statements of Changes in Shareholders’ Equity for the three and six months ended June 30, 2025 and 2024; (iv) the Consolidated Statements of Cash Flows for the six months ended June 30, 2025 and 2024; and (v) the Notes to the Consolidated Financial Statements.</w:t>
      </w:r>
    </w:p>
    <w:p>
      <w:pPr>
        <w:spacing w:after="0" w:line="51" w:lineRule="exact"/>
        <w:rPr>
          <w:sz w:val="20"/>
          <w:szCs w:val="20"/>
          <w:color w:val="auto"/>
        </w:rPr>
      </w:pPr>
    </w:p>
    <w:p>
      <w:pPr>
        <w:ind w:left="1260" w:hanging="1237"/>
        <w:spacing w:after="0"/>
        <w:tabs>
          <w:tab w:leader="none" w:pos="126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inline XBRL and contained in Exhibit 101)</w:t>
      </w:r>
    </w:p>
    <w:p>
      <w:pPr>
        <w:spacing w:after="0" w:line="8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2" w:lineRule="exact"/>
        <w:rPr>
          <w:rFonts w:ascii="Times New Roman" w:cs="Times New Roman" w:eastAsia="Times New Roman" w:hAnsi="Times New Roman"/>
          <w:sz w:val="18"/>
          <w:szCs w:val="18"/>
          <w:color w:val="auto"/>
        </w:rPr>
      </w:pPr>
    </w:p>
    <w:p>
      <w:pPr>
        <w:ind w:left="220" w:hanging="214"/>
        <w:spacing w:after="0"/>
        <w:tabs>
          <w:tab w:leader="none" w:pos="2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60"/>
          </w:cols>
          <w:pgMar w:left="320" w:top="123" w:right="4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9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NEWTEKONE, INC.</w:t>
      </w:r>
    </w:p>
    <w:p>
      <w:pPr>
        <w:spacing w:after="0" w:line="73" w:lineRule="exact"/>
        <w:rPr>
          <w:sz w:val="20"/>
          <w:szCs w:val="20"/>
          <w:color w:val="auto"/>
        </w:rPr>
      </w:pPr>
    </w:p>
    <w:p>
      <w:pPr>
        <w:ind w:left="20"/>
        <w:spacing w:after="0"/>
        <w:tabs>
          <w:tab w:leader="none" w:pos="5460" w:val="left"/>
          <w:tab w:leader="none" w:pos="7660" w:val="left"/>
          <w:tab w:leader="none" w:pos="8020" w:val="left"/>
        </w:tabs>
        <w:rPr>
          <w:sz w:val="20"/>
          <w:szCs w:val="20"/>
          <w:color w:val="auto"/>
        </w:rPr>
      </w:pPr>
      <w:r>
        <w:rPr>
          <w:rFonts w:ascii="Times New Roman" w:cs="Times New Roman" w:eastAsia="Times New Roman" w:hAnsi="Times New Roman"/>
          <w:sz w:val="18"/>
          <w:szCs w:val="18"/>
          <w:color w:val="auto"/>
        </w:rPr>
        <w:t>Date: August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B</w:t>
      </w:r>
      <w:r>
        <w:rPr>
          <w:rFonts w:ascii="Times New Roman" w:cs="Times New Roman" w:eastAsia="Times New Roman" w:hAnsi="Times New Roman"/>
          <w:sz w:val="13"/>
          <w:szCs w:val="13"/>
          <w:color w:val="auto"/>
        </w:rPr>
        <w:t>ARRY</w:t>
      </w:r>
      <w:r>
        <w:rPr>
          <w:rFonts w:ascii="Times New Roman" w:cs="Times New Roman" w:eastAsia="Times New Roman" w:hAnsi="Times New Roman"/>
          <w:sz w:val="17"/>
          <w:szCs w:val="17"/>
          <w:color w:val="auto"/>
        </w:rPr>
        <w:t xml:space="preserve"> S</w:t>
      </w:r>
      <w:r>
        <w:rPr>
          <w:rFonts w:ascii="Times New Roman" w:cs="Times New Roman" w:eastAsia="Times New Roman" w:hAnsi="Times New Roman"/>
          <w:sz w:val="13"/>
          <w:szCs w:val="13"/>
          <w:color w:val="auto"/>
        </w:rPr>
        <w:t>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3764280</wp:posOffset>
            </wp:positionH>
            <wp:positionV relativeFrom="paragraph">
              <wp:posOffset>22860</wp:posOffset>
            </wp:positionV>
            <wp:extent cx="33496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3349625" cy="8255"/>
                    </a:xfrm>
                    <a:prstGeom prst="rect">
                      <a:avLst/>
                    </a:prstGeom>
                    <a:noFill/>
                  </pic:spPr>
                </pic:pic>
              </a:graphicData>
            </a:graphic>
          </wp:anchor>
        </w:drawing>
      </w:r>
    </w:p>
    <w:p>
      <w:pPr>
        <w:spacing w:after="0" w:line="18"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4"/>
          <w:szCs w:val="14"/>
          <w:b w:val="1"/>
          <w:bCs w:val="1"/>
          <w:color w:val="auto"/>
        </w:rPr>
        <w:t>Barry Sloane</w:t>
      </w:r>
    </w:p>
    <w:p>
      <w:pPr>
        <w:spacing w:after="0" w:line="27"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4"/>
          <w:szCs w:val="14"/>
          <w:b w:val="1"/>
          <w:bCs w:val="1"/>
          <w:color w:val="auto"/>
        </w:rPr>
        <w:t>Chief Executive Officer, President and Chairman of the Board</w:t>
      </w:r>
    </w:p>
    <w:p>
      <w:pPr>
        <w:ind w:left="770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78" w:lineRule="exact"/>
        <w:rPr>
          <w:sz w:val="20"/>
          <w:szCs w:val="20"/>
          <w:color w:val="auto"/>
        </w:rPr>
      </w:pPr>
    </w:p>
    <w:p>
      <w:pPr>
        <w:ind w:left="20"/>
        <w:spacing w:after="0"/>
        <w:tabs>
          <w:tab w:leader="none" w:pos="5460" w:val="left"/>
          <w:tab w:leader="none" w:pos="7500" w:val="left"/>
          <w:tab w:leader="none" w:pos="7860" w:val="left"/>
        </w:tabs>
        <w:rPr>
          <w:sz w:val="20"/>
          <w:szCs w:val="20"/>
          <w:color w:val="auto"/>
        </w:rPr>
      </w:pPr>
      <w:r>
        <w:rPr>
          <w:rFonts w:ascii="Times New Roman" w:cs="Times New Roman" w:eastAsia="Times New Roman" w:hAnsi="Times New Roman"/>
          <w:sz w:val="18"/>
          <w:szCs w:val="18"/>
          <w:color w:val="auto"/>
        </w:rPr>
        <w:t>Date: August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w:t>
      </w:r>
      <w:r>
        <w:rPr>
          <w:rFonts w:ascii="Times New Roman" w:cs="Times New Roman" w:eastAsia="Times New Roman" w:hAnsi="Times New Roman"/>
          <w:sz w:val="13"/>
          <w:szCs w:val="13"/>
          <w:color w:val="auto"/>
        </w:rPr>
        <w:t>RANK</w:t>
      </w:r>
      <w:r>
        <w:rPr>
          <w:rFonts w:ascii="Times New Roman" w:cs="Times New Roman" w:eastAsia="Times New Roman" w:hAnsi="Times New Roman"/>
          <w:sz w:val="17"/>
          <w:szCs w:val="17"/>
          <w:color w:val="auto"/>
        </w:rPr>
        <w:t xml:space="preserve"> M. D</w:t>
      </w:r>
      <w:r>
        <w:rPr>
          <w:rFonts w:ascii="Times New Roman" w:cs="Times New Roman" w:eastAsia="Times New Roman" w:hAnsi="Times New Roman"/>
          <w:sz w:val="13"/>
          <w:szCs w:val="13"/>
          <w:color w:val="auto"/>
        </w:rPr>
        <w:t>E</w:t>
      </w:r>
      <w:r>
        <w:rPr>
          <w:rFonts w:ascii="Times New Roman" w:cs="Times New Roman" w:eastAsia="Times New Roman" w:hAnsi="Times New Roman"/>
          <w:sz w:val="17"/>
          <w:szCs w:val="17"/>
          <w:color w:val="auto"/>
        </w:rPr>
        <w:t>M</w:t>
      </w:r>
      <w:r>
        <w:rPr>
          <w:rFonts w:ascii="Times New Roman" w:cs="Times New Roman" w:eastAsia="Times New Roman" w:hAnsi="Times New Roman"/>
          <w:sz w:val="13"/>
          <w:szCs w:val="13"/>
          <w:color w:val="auto"/>
        </w:rPr>
        <w:t>ARIA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3764280</wp:posOffset>
            </wp:positionH>
            <wp:positionV relativeFrom="paragraph">
              <wp:posOffset>22860</wp:posOffset>
            </wp:positionV>
            <wp:extent cx="33496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3349625" cy="8255"/>
                    </a:xfrm>
                    <a:prstGeom prst="rect">
                      <a:avLst/>
                    </a:prstGeom>
                    <a:noFill/>
                  </pic:spPr>
                </pic:pic>
              </a:graphicData>
            </a:graphic>
          </wp:anchor>
        </w:drawing>
      </w:r>
    </w:p>
    <w:p>
      <w:pPr>
        <w:spacing w:after="0" w:line="18"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4"/>
          <w:szCs w:val="14"/>
          <w:b w:val="1"/>
          <w:bCs w:val="1"/>
          <w:color w:val="auto"/>
        </w:rPr>
        <w:t>Frank M. DeMaria</w:t>
      </w:r>
    </w:p>
    <w:p>
      <w:pPr>
        <w:spacing w:after="0" w:line="27"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ind w:left="770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80"/>
          </w:cols>
          <w:pgMar w:left="320" w:top="123" w:right="39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302 OF THE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SARBANES-OXLEY ACT OF 2002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Barry Sloane, certify that:</w:t>
      </w:r>
    </w:p>
    <w:p>
      <w:pPr>
        <w:spacing w:after="0" w:line="216" w:lineRule="exact"/>
        <w:rPr>
          <w:sz w:val="20"/>
          <w:szCs w:val="20"/>
          <w:color w:val="auto"/>
        </w:rPr>
      </w:pPr>
    </w:p>
    <w:p>
      <w:pPr>
        <w:ind w:left="620" w:hanging="178"/>
        <w:spacing w:after="0"/>
        <w:tabs>
          <w:tab w:leader="none" w:pos="6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NewtekOne, Inc. (the “registrant”).</w:t>
      </w:r>
    </w:p>
    <w:p>
      <w:pPr>
        <w:spacing w:after="0" w:line="216" w:lineRule="exact"/>
        <w:rPr>
          <w:rFonts w:ascii="Times New Roman" w:cs="Times New Roman" w:eastAsia="Times New Roman" w:hAnsi="Times New Roman"/>
          <w:sz w:val="18"/>
          <w:szCs w:val="18"/>
          <w:color w:val="auto"/>
        </w:rPr>
      </w:pPr>
    </w:p>
    <w:p>
      <w:pPr>
        <w:ind w:right="380" w:firstLine="442"/>
        <w:spacing w:after="0" w:line="300" w:lineRule="auto"/>
        <w:tabs>
          <w:tab w:leader="none" w:pos="612"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7"/>
          <w:szCs w:val="17"/>
          <w:color w:val="auto"/>
        </w:rPr>
      </w:pPr>
    </w:p>
    <w:p>
      <w:pPr>
        <w:ind w:right="340" w:firstLine="442"/>
        <w:spacing w:after="0" w:line="270" w:lineRule="auto"/>
        <w:tabs>
          <w:tab w:leader="none" w:pos="61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annual report;</w:t>
      </w:r>
    </w:p>
    <w:p>
      <w:pPr>
        <w:spacing w:after="0" w:line="168" w:lineRule="exact"/>
        <w:rPr>
          <w:rFonts w:ascii="Times New Roman" w:cs="Times New Roman" w:eastAsia="Times New Roman" w:hAnsi="Times New Roman"/>
          <w:sz w:val="18"/>
          <w:szCs w:val="18"/>
          <w:color w:val="auto"/>
        </w:rPr>
      </w:pPr>
    </w:p>
    <w:p>
      <w:pPr>
        <w:ind w:right="120" w:firstLine="442"/>
        <w:spacing w:after="0" w:line="258" w:lineRule="auto"/>
        <w:tabs>
          <w:tab w:leader="none" w:pos="61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2" w:lineRule="exact"/>
        <w:rPr>
          <w:rFonts w:ascii="Times New Roman" w:cs="Times New Roman" w:eastAsia="Times New Roman" w:hAnsi="Times New Roman"/>
          <w:sz w:val="18"/>
          <w:szCs w:val="18"/>
          <w:color w:val="auto"/>
        </w:rPr>
      </w:pPr>
    </w:p>
    <w:p>
      <w:pPr>
        <w:ind w:right="220" w:firstLine="878"/>
        <w:spacing w:after="0" w:line="258" w:lineRule="auto"/>
        <w:tabs>
          <w:tab w:leader="none" w:pos="1053"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2" w:lineRule="exact"/>
        <w:rPr>
          <w:rFonts w:ascii="Times New Roman" w:cs="Times New Roman" w:eastAsia="Times New Roman" w:hAnsi="Times New Roman"/>
          <w:sz w:val="18"/>
          <w:szCs w:val="18"/>
          <w:color w:val="auto"/>
        </w:rPr>
      </w:pPr>
    </w:p>
    <w:p>
      <w:pPr>
        <w:ind w:right="80" w:firstLine="878"/>
        <w:spacing w:after="0" w:line="258" w:lineRule="auto"/>
        <w:tabs>
          <w:tab w:leader="none" w:pos="1063"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2" w:lineRule="exact"/>
        <w:rPr>
          <w:rFonts w:ascii="Times New Roman" w:cs="Times New Roman" w:eastAsia="Times New Roman" w:hAnsi="Times New Roman"/>
          <w:sz w:val="18"/>
          <w:szCs w:val="18"/>
          <w:color w:val="auto"/>
        </w:rPr>
      </w:pPr>
    </w:p>
    <w:p>
      <w:pPr>
        <w:ind w:right="720" w:firstLine="878"/>
        <w:spacing w:after="0" w:line="270" w:lineRule="auto"/>
        <w:tabs>
          <w:tab w:leader="none" w:pos="1053"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3" w:lineRule="exact"/>
        <w:rPr>
          <w:rFonts w:ascii="Times New Roman" w:cs="Times New Roman" w:eastAsia="Times New Roman" w:hAnsi="Times New Roman"/>
          <w:sz w:val="18"/>
          <w:szCs w:val="18"/>
          <w:color w:val="auto"/>
        </w:rPr>
      </w:pPr>
    </w:p>
    <w:p>
      <w:pPr>
        <w:jc w:val="both"/>
        <w:ind w:right="200" w:firstLine="878"/>
        <w:spacing w:after="0" w:line="258" w:lineRule="auto"/>
        <w:tabs>
          <w:tab w:leader="none" w:pos="1063"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8" w:lineRule="exact"/>
        <w:rPr>
          <w:rFonts w:ascii="Times New Roman" w:cs="Times New Roman" w:eastAsia="Times New Roman" w:hAnsi="Times New Roman"/>
          <w:sz w:val="18"/>
          <w:szCs w:val="18"/>
          <w:color w:val="auto"/>
        </w:rPr>
      </w:pPr>
    </w:p>
    <w:p>
      <w:pPr>
        <w:ind w:right="200" w:firstLine="442"/>
        <w:spacing w:after="0" w:line="270" w:lineRule="auto"/>
        <w:tabs>
          <w:tab w:leader="none" w:pos="61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3" w:lineRule="exact"/>
        <w:rPr>
          <w:rFonts w:ascii="Times New Roman" w:cs="Times New Roman" w:eastAsia="Times New Roman" w:hAnsi="Times New Roman"/>
          <w:sz w:val="18"/>
          <w:szCs w:val="18"/>
          <w:color w:val="auto"/>
        </w:rPr>
      </w:pPr>
    </w:p>
    <w:p>
      <w:pPr>
        <w:ind w:right="140" w:firstLine="878"/>
        <w:spacing w:after="0" w:line="270" w:lineRule="auto"/>
        <w:tabs>
          <w:tab w:leader="none" w:pos="1053"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3" w:lineRule="exact"/>
        <w:rPr>
          <w:rFonts w:ascii="Times New Roman" w:cs="Times New Roman" w:eastAsia="Times New Roman" w:hAnsi="Times New Roman"/>
          <w:sz w:val="18"/>
          <w:szCs w:val="18"/>
          <w:color w:val="auto"/>
        </w:rPr>
      </w:pPr>
    </w:p>
    <w:p>
      <w:pPr>
        <w:ind w:right="80" w:firstLine="878"/>
        <w:spacing w:after="0" w:line="270" w:lineRule="auto"/>
        <w:tabs>
          <w:tab w:leader="none" w:pos="1063"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41" w:lineRule="exact"/>
        <w:rPr>
          <w:sz w:val="20"/>
          <w:szCs w:val="20"/>
          <w:color w:val="auto"/>
        </w:rPr>
      </w:pPr>
    </w:p>
    <w:p>
      <w:pPr>
        <w:ind w:left="20"/>
        <w:spacing w:after="0"/>
        <w:tabs>
          <w:tab w:leader="none" w:pos="7340" w:val="left"/>
          <w:tab w:leader="none" w:pos="7720" w:val="left"/>
        </w:tabs>
        <w:rPr>
          <w:sz w:val="20"/>
          <w:szCs w:val="20"/>
          <w:color w:val="auto"/>
        </w:rPr>
      </w:pPr>
      <w:r>
        <w:rPr>
          <w:rFonts w:ascii="Times New Roman" w:cs="Times New Roman" w:eastAsia="Times New Roman" w:hAnsi="Times New Roman"/>
          <w:sz w:val="18"/>
          <w:szCs w:val="18"/>
          <w:color w:val="auto"/>
        </w:rPr>
        <w:t>Date: August 8, 2025</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BARRY SLOANE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14605</wp:posOffset>
            </wp:positionV>
            <wp:extent cx="355917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extLst>
                    </a:blip>
                    <a:srcRect/>
                    <a:stretch>
                      <a:fillRect/>
                    </a:stretch>
                  </pic:blipFill>
                  <pic:spPr bwMode="auto">
                    <a:xfrm>
                      <a:off x="0" y="0"/>
                      <a:ext cx="3559175" cy="8255"/>
                    </a:xfrm>
                    <a:prstGeom prst="rect">
                      <a:avLst/>
                    </a:prstGeom>
                    <a:noFill/>
                  </pic:spPr>
                </pic:pic>
              </a:graphicData>
            </a:graphic>
          </wp:anchor>
        </w:drawing>
      </w:r>
    </w:p>
    <w:p>
      <w:pPr>
        <w:spacing w:after="0" w:line="5"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4"/>
          <w:szCs w:val="14"/>
          <w:b w:val="1"/>
          <w:bCs w:val="1"/>
          <w:color w:val="auto"/>
        </w:rPr>
        <w:t>Barry Sloane</w:t>
      </w:r>
    </w:p>
    <w:p>
      <w:pPr>
        <w:spacing w:after="0" w:line="37"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ectPr>
          <w:pgSz w:w="11900" w:h="16838" w:orient="portrait"/>
          <w:cols w:equalWidth="0" w:num="1">
            <w:col w:w="11240"/>
          </w:cols>
          <w:pgMar w:left="320" w:top="873"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302 OF THE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SARBANES-OXLEY ACT OF 2002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Frank M. DeMaria, certify that:</w:t>
      </w:r>
    </w:p>
    <w:p>
      <w:pPr>
        <w:spacing w:after="0" w:line="216" w:lineRule="exact"/>
        <w:rPr>
          <w:sz w:val="20"/>
          <w:szCs w:val="20"/>
          <w:color w:val="auto"/>
        </w:rPr>
      </w:pPr>
    </w:p>
    <w:p>
      <w:pPr>
        <w:ind w:left="620" w:hanging="178"/>
        <w:spacing w:after="0"/>
        <w:tabs>
          <w:tab w:leader="none" w:pos="6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NewtekOne, Inc. (the “registrant”).</w:t>
      </w:r>
    </w:p>
    <w:p>
      <w:pPr>
        <w:spacing w:after="0" w:line="216" w:lineRule="exact"/>
        <w:rPr>
          <w:rFonts w:ascii="Times New Roman" w:cs="Times New Roman" w:eastAsia="Times New Roman" w:hAnsi="Times New Roman"/>
          <w:sz w:val="18"/>
          <w:szCs w:val="18"/>
          <w:color w:val="auto"/>
        </w:rPr>
      </w:pPr>
    </w:p>
    <w:p>
      <w:pPr>
        <w:ind w:right="380" w:firstLine="442"/>
        <w:spacing w:after="0" w:line="258" w:lineRule="auto"/>
        <w:tabs>
          <w:tab w:leader="none" w:pos="61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8" w:lineRule="exact"/>
        <w:rPr>
          <w:rFonts w:ascii="Times New Roman" w:cs="Times New Roman" w:eastAsia="Times New Roman" w:hAnsi="Times New Roman"/>
          <w:sz w:val="18"/>
          <w:szCs w:val="18"/>
          <w:color w:val="auto"/>
        </w:rPr>
      </w:pPr>
    </w:p>
    <w:p>
      <w:pPr>
        <w:ind w:right="340" w:firstLine="442"/>
        <w:spacing w:after="0" w:line="270" w:lineRule="auto"/>
        <w:tabs>
          <w:tab w:leader="none" w:pos="61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Times New Roman" w:cs="Times New Roman" w:eastAsia="Times New Roman" w:hAnsi="Times New Roman"/>
          <w:sz w:val="18"/>
          <w:szCs w:val="18"/>
          <w:color w:val="auto"/>
        </w:rPr>
      </w:pPr>
    </w:p>
    <w:p>
      <w:pPr>
        <w:ind w:right="120" w:firstLine="442"/>
        <w:spacing w:after="0" w:line="258" w:lineRule="auto"/>
        <w:tabs>
          <w:tab w:leader="none" w:pos="61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2" w:lineRule="exact"/>
        <w:rPr>
          <w:rFonts w:ascii="Times New Roman" w:cs="Times New Roman" w:eastAsia="Times New Roman" w:hAnsi="Times New Roman"/>
          <w:sz w:val="18"/>
          <w:szCs w:val="18"/>
          <w:color w:val="auto"/>
        </w:rPr>
      </w:pPr>
    </w:p>
    <w:p>
      <w:pPr>
        <w:ind w:right="220" w:firstLine="878"/>
        <w:spacing w:after="0" w:line="258" w:lineRule="auto"/>
        <w:tabs>
          <w:tab w:leader="none" w:pos="1053"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2" w:lineRule="exact"/>
        <w:rPr>
          <w:rFonts w:ascii="Times New Roman" w:cs="Times New Roman" w:eastAsia="Times New Roman" w:hAnsi="Times New Roman"/>
          <w:sz w:val="18"/>
          <w:szCs w:val="18"/>
          <w:color w:val="auto"/>
        </w:rPr>
      </w:pPr>
    </w:p>
    <w:p>
      <w:pPr>
        <w:ind w:right="80" w:firstLine="878"/>
        <w:spacing w:after="0" w:line="258" w:lineRule="auto"/>
        <w:tabs>
          <w:tab w:leader="none" w:pos="1063"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2" w:lineRule="exact"/>
        <w:rPr>
          <w:rFonts w:ascii="Times New Roman" w:cs="Times New Roman" w:eastAsia="Times New Roman" w:hAnsi="Times New Roman"/>
          <w:sz w:val="18"/>
          <w:szCs w:val="18"/>
          <w:color w:val="auto"/>
        </w:rPr>
      </w:pPr>
    </w:p>
    <w:p>
      <w:pPr>
        <w:ind w:right="720" w:firstLine="878"/>
        <w:spacing w:after="0" w:line="270" w:lineRule="auto"/>
        <w:tabs>
          <w:tab w:leader="none" w:pos="1053"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3" w:lineRule="exact"/>
        <w:rPr>
          <w:rFonts w:ascii="Times New Roman" w:cs="Times New Roman" w:eastAsia="Times New Roman" w:hAnsi="Times New Roman"/>
          <w:sz w:val="18"/>
          <w:szCs w:val="18"/>
          <w:color w:val="auto"/>
        </w:rPr>
      </w:pPr>
    </w:p>
    <w:p>
      <w:pPr>
        <w:jc w:val="both"/>
        <w:ind w:right="200" w:firstLine="878"/>
        <w:spacing w:after="0" w:line="258" w:lineRule="auto"/>
        <w:tabs>
          <w:tab w:leader="none" w:pos="1063"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8" w:lineRule="exact"/>
        <w:rPr>
          <w:rFonts w:ascii="Times New Roman" w:cs="Times New Roman" w:eastAsia="Times New Roman" w:hAnsi="Times New Roman"/>
          <w:sz w:val="18"/>
          <w:szCs w:val="18"/>
          <w:color w:val="auto"/>
        </w:rPr>
      </w:pPr>
    </w:p>
    <w:p>
      <w:pPr>
        <w:ind w:right="200" w:firstLine="442"/>
        <w:spacing w:after="0" w:line="270" w:lineRule="auto"/>
        <w:tabs>
          <w:tab w:leader="none" w:pos="61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3" w:lineRule="exact"/>
        <w:rPr>
          <w:rFonts w:ascii="Times New Roman" w:cs="Times New Roman" w:eastAsia="Times New Roman" w:hAnsi="Times New Roman"/>
          <w:sz w:val="18"/>
          <w:szCs w:val="18"/>
          <w:color w:val="auto"/>
        </w:rPr>
      </w:pPr>
    </w:p>
    <w:p>
      <w:pPr>
        <w:ind w:right="140" w:firstLine="878"/>
        <w:spacing w:after="0" w:line="270" w:lineRule="auto"/>
        <w:tabs>
          <w:tab w:leader="none" w:pos="1053"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3" w:lineRule="exact"/>
        <w:rPr>
          <w:rFonts w:ascii="Times New Roman" w:cs="Times New Roman" w:eastAsia="Times New Roman" w:hAnsi="Times New Roman"/>
          <w:sz w:val="18"/>
          <w:szCs w:val="18"/>
          <w:color w:val="auto"/>
        </w:rPr>
      </w:pPr>
    </w:p>
    <w:p>
      <w:pPr>
        <w:ind w:right="80" w:firstLine="878"/>
        <w:spacing w:after="0" w:line="270" w:lineRule="auto"/>
        <w:tabs>
          <w:tab w:leader="none" w:pos="1063"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01" w:lineRule="exact"/>
        <w:rPr>
          <w:sz w:val="20"/>
          <w:szCs w:val="20"/>
          <w:color w:val="auto"/>
        </w:rPr>
      </w:pPr>
    </w:p>
    <w:p>
      <w:pPr>
        <w:ind w:left="20"/>
        <w:spacing w:after="0"/>
        <w:tabs>
          <w:tab w:leader="none" w:pos="7300" w:val="left"/>
          <w:tab w:leader="none" w:pos="7720" w:val="left"/>
        </w:tabs>
        <w:rPr>
          <w:sz w:val="20"/>
          <w:szCs w:val="20"/>
          <w:color w:val="auto"/>
        </w:rPr>
      </w:pPr>
      <w:r>
        <w:rPr>
          <w:rFonts w:ascii="Times New Roman" w:cs="Times New Roman" w:eastAsia="Times New Roman" w:hAnsi="Times New Roman"/>
          <w:sz w:val="18"/>
          <w:szCs w:val="18"/>
          <w:color w:val="auto"/>
        </w:rPr>
        <w:t>Date: August 8, 2025</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FRANK M. D</w:t>
      </w:r>
      <w:r>
        <w:rPr>
          <w:rFonts w:ascii="Times New Roman" w:cs="Times New Roman" w:eastAsia="Times New Roman" w:hAnsi="Times New Roman"/>
          <w:sz w:val="13"/>
          <w:szCs w:val="13"/>
          <w:color w:val="auto"/>
        </w:rPr>
        <w:t>E</w:t>
      </w:r>
      <w:r>
        <w:rPr>
          <w:rFonts w:ascii="Times New Roman" w:cs="Times New Roman" w:eastAsia="Times New Roman" w:hAnsi="Times New Roman"/>
          <w:sz w:val="17"/>
          <w:szCs w:val="17"/>
          <w:color w:val="auto"/>
        </w:rPr>
        <w:t>MARIA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22860</wp:posOffset>
            </wp:positionV>
            <wp:extent cx="356743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2">
                      <a:extLst>
                        <a:ext uri="{28A0092B-C50C-407E-A947-70E740481C1C}"/>
                      </a:extLst>
                    </a:blip>
                    <a:srcRect/>
                    <a:stretch>
                      <a:fillRect/>
                    </a:stretch>
                  </pic:blipFill>
                  <pic:spPr bwMode="auto">
                    <a:xfrm>
                      <a:off x="0" y="0"/>
                      <a:ext cx="3567430" cy="8255"/>
                    </a:xfrm>
                    <a:prstGeom prst="rect">
                      <a:avLst/>
                    </a:prstGeom>
                    <a:noFill/>
                  </pic:spPr>
                </pic:pic>
              </a:graphicData>
            </a:graphic>
          </wp:anchor>
        </w:drawing>
      </w:r>
    </w:p>
    <w:p>
      <w:pPr>
        <w:spacing w:after="0" w:line="18"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4"/>
          <w:szCs w:val="14"/>
          <w:b w:val="1"/>
          <w:bCs w:val="1"/>
          <w:color w:val="auto"/>
        </w:rPr>
        <w:t>Frank M. DeMaria</w:t>
      </w:r>
    </w:p>
    <w:p>
      <w:pPr>
        <w:spacing w:after="0" w:line="3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ectPr>
          <w:pgSz w:w="11900" w:h="16838" w:orient="portrait"/>
          <w:cols w:equalWidth="0" w:num="1">
            <w:col w:w="11240"/>
          </w:cols>
          <w:pgMar w:left="320" w:top="1388"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25" w:lineRule="exact"/>
        <w:rPr>
          <w:sz w:val="20"/>
          <w:szCs w:val="20"/>
          <w:color w:val="auto"/>
        </w:rPr>
      </w:pPr>
    </w:p>
    <w:p>
      <w:pPr>
        <w:jc w:val="both"/>
        <w:ind w:right="240"/>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June 30, 2025 (the “Report”) of NewtekOne Inc.(the “Company”), as filed with the Securities and Exchange Commission on the date hereof, I, Barry Sloane, as Principal Executive Officer of the Company, certify, pursuant to 18 U.S.C. §1350, as adopted pursuant to §906 of the Sarbanes-Oxley Act of 2002, that, to the best of my knowledge:</w:t>
      </w:r>
    </w:p>
    <w:p>
      <w:pPr>
        <w:spacing w:after="0" w:line="179" w:lineRule="exact"/>
        <w:rPr>
          <w:sz w:val="20"/>
          <w:szCs w:val="20"/>
          <w:color w:val="auto"/>
        </w:rPr>
      </w:pPr>
    </w:p>
    <w:p>
      <w:pPr>
        <w:ind w:left="260" w:hanging="254"/>
        <w:spacing w:after="0"/>
        <w:tabs>
          <w:tab w:leader="none" w:pos="2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6" w:lineRule="exact"/>
        <w:rPr>
          <w:rFonts w:ascii="Times New Roman" w:cs="Times New Roman" w:eastAsia="Times New Roman" w:hAnsi="Times New Roman"/>
          <w:sz w:val="18"/>
          <w:szCs w:val="18"/>
          <w:color w:val="auto"/>
        </w:rPr>
      </w:pPr>
    </w:p>
    <w:p>
      <w:pPr>
        <w:ind w:left="260" w:hanging="254"/>
        <w:spacing w:after="0"/>
        <w:tabs>
          <w:tab w:leader="none" w:pos="2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the operations of the Company.</w:t>
      </w:r>
    </w:p>
    <w:p>
      <w:pPr>
        <w:spacing w:after="0" w:line="388" w:lineRule="exact"/>
        <w:rPr>
          <w:sz w:val="20"/>
          <w:szCs w:val="20"/>
          <w:color w:val="auto"/>
        </w:rPr>
      </w:pPr>
    </w:p>
    <w:p>
      <w:pPr>
        <w:ind w:left="20"/>
        <w:spacing w:after="0"/>
        <w:tabs>
          <w:tab w:leader="none" w:pos="7340" w:val="left"/>
          <w:tab w:leader="none" w:pos="7720" w:val="left"/>
        </w:tabs>
        <w:rPr>
          <w:sz w:val="20"/>
          <w:szCs w:val="20"/>
          <w:color w:val="auto"/>
        </w:rPr>
      </w:pPr>
      <w:r>
        <w:rPr>
          <w:rFonts w:ascii="Times New Roman" w:cs="Times New Roman" w:eastAsia="Times New Roman" w:hAnsi="Times New Roman"/>
          <w:sz w:val="18"/>
          <w:szCs w:val="18"/>
          <w:color w:val="auto"/>
        </w:rPr>
        <w:t>Date: August 8, 2025</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BARRY SLOANE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14605</wp:posOffset>
            </wp:positionV>
            <wp:extent cx="355917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3">
                      <a:extLst>
                        <a:ext uri="{28A0092B-C50C-407E-A947-70E740481C1C}"/>
                      </a:extLst>
                    </a:blip>
                    <a:srcRect/>
                    <a:stretch>
                      <a:fillRect/>
                    </a:stretch>
                  </pic:blipFill>
                  <pic:spPr bwMode="auto">
                    <a:xfrm>
                      <a:off x="0" y="0"/>
                      <a:ext cx="3559175" cy="8255"/>
                    </a:xfrm>
                    <a:prstGeom prst="rect">
                      <a:avLst/>
                    </a:prstGeom>
                    <a:noFill/>
                  </pic:spPr>
                </pic:pic>
              </a:graphicData>
            </a:graphic>
          </wp:anchor>
        </w:drawing>
      </w:r>
    </w:p>
    <w:p>
      <w:pPr>
        <w:spacing w:after="0" w:line="5"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4"/>
          <w:szCs w:val="14"/>
          <w:b w:val="1"/>
          <w:bCs w:val="1"/>
          <w:color w:val="auto"/>
        </w:rPr>
        <w:t>Barry Sloane,</w:t>
      </w:r>
    </w:p>
    <w:p>
      <w:pPr>
        <w:spacing w:after="0" w:line="37"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ectPr>
          <w:pgSz w:w="11900" w:h="16838" w:orient="portrait"/>
          <w:cols w:equalWidth="0" w:num="1">
            <w:col w:w="11240"/>
          </w:cols>
          <w:pgMar w:left="320" w:top="872"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25"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June 30, 2025 (the “Report”) of NewtekOne, Inc. (the “Company”), as filed with the Securities and Exchange Commission on the date hereof, I, Frank M. DeMaria, as Principal Financial Officer of the Company, hereby certify pursuant to 18 U.S.C. §1350, as adopted pursuant to §906 of the Sarbanes-Oxley Act of 2002, that, to the best of my knowledge:</w:t>
      </w:r>
    </w:p>
    <w:p>
      <w:pPr>
        <w:spacing w:after="0" w:line="179" w:lineRule="exact"/>
        <w:rPr>
          <w:sz w:val="20"/>
          <w:szCs w:val="20"/>
          <w:color w:val="auto"/>
        </w:rPr>
      </w:pPr>
    </w:p>
    <w:p>
      <w:pPr>
        <w:ind w:left="260" w:hanging="254"/>
        <w:spacing w:after="0"/>
        <w:tabs>
          <w:tab w:leader="none" w:pos="2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6" w:lineRule="exact"/>
        <w:rPr>
          <w:rFonts w:ascii="Times New Roman" w:cs="Times New Roman" w:eastAsia="Times New Roman" w:hAnsi="Times New Roman"/>
          <w:sz w:val="18"/>
          <w:szCs w:val="18"/>
          <w:color w:val="auto"/>
        </w:rPr>
      </w:pPr>
    </w:p>
    <w:p>
      <w:pPr>
        <w:ind w:left="260" w:hanging="254"/>
        <w:spacing w:after="0"/>
        <w:tabs>
          <w:tab w:leader="none" w:pos="2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the operations of the Company.</w:t>
      </w:r>
    </w:p>
    <w:p>
      <w:pPr>
        <w:spacing w:after="0" w:line="348" w:lineRule="exact"/>
        <w:rPr>
          <w:sz w:val="20"/>
          <w:szCs w:val="20"/>
          <w:color w:val="auto"/>
        </w:rPr>
      </w:pPr>
    </w:p>
    <w:p>
      <w:pPr>
        <w:ind w:left="20"/>
        <w:spacing w:after="0"/>
        <w:tabs>
          <w:tab w:leader="none" w:pos="7380" w:val="left"/>
          <w:tab w:leader="none" w:pos="7760" w:val="left"/>
        </w:tabs>
        <w:rPr>
          <w:sz w:val="20"/>
          <w:szCs w:val="20"/>
          <w:color w:val="auto"/>
        </w:rPr>
      </w:pPr>
      <w:r>
        <w:rPr>
          <w:rFonts w:ascii="Times New Roman" w:cs="Times New Roman" w:eastAsia="Times New Roman" w:hAnsi="Times New Roman"/>
          <w:sz w:val="18"/>
          <w:szCs w:val="18"/>
          <w:color w:val="auto"/>
        </w:rPr>
        <w:t>Date: August 8, 2025</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FRANK M. D</w:t>
      </w:r>
      <w:r>
        <w:rPr>
          <w:rFonts w:ascii="Times New Roman" w:cs="Times New Roman" w:eastAsia="Times New Roman" w:hAnsi="Times New Roman"/>
          <w:sz w:val="13"/>
          <w:szCs w:val="13"/>
          <w:color w:val="auto"/>
        </w:rPr>
        <w:t>E</w:t>
      </w:r>
      <w:r>
        <w:rPr>
          <w:rFonts w:ascii="Times New Roman" w:cs="Times New Roman" w:eastAsia="Times New Roman" w:hAnsi="Times New Roman"/>
          <w:sz w:val="17"/>
          <w:szCs w:val="17"/>
          <w:color w:val="auto"/>
        </w:rPr>
        <w:t>MARIA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22860</wp:posOffset>
            </wp:positionV>
            <wp:extent cx="356743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4">
                      <a:extLst>
                        <a:ext uri="{28A0092B-C50C-407E-A947-70E740481C1C}"/>
                      </a:extLst>
                    </a:blip>
                    <a:srcRect/>
                    <a:stretch>
                      <a:fillRect/>
                    </a:stretch>
                  </pic:blipFill>
                  <pic:spPr bwMode="auto">
                    <a:xfrm>
                      <a:off x="0" y="0"/>
                      <a:ext cx="3567430" cy="8255"/>
                    </a:xfrm>
                    <a:prstGeom prst="rect">
                      <a:avLst/>
                    </a:prstGeom>
                    <a:noFill/>
                  </pic:spPr>
                </pic:pic>
              </a:graphicData>
            </a:graphic>
          </wp:anchor>
        </w:drawing>
      </w:r>
    </w:p>
    <w:p>
      <w:pPr>
        <w:spacing w:after="0" w:line="18"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4"/>
          <w:szCs w:val="14"/>
          <w:b w:val="1"/>
          <w:bCs w:val="1"/>
          <w:color w:val="auto"/>
        </w:rPr>
        <w:t>Frank M. DeMaria</w:t>
      </w:r>
    </w:p>
    <w:p>
      <w:pPr>
        <w:spacing w:after="0" w:line="3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sectPr>
      <w:pgSz w:w="11900" w:h="16838" w:orient="portrait"/>
      <w:cols w:equalWidth="0" w:num="1">
        <w:col w:w="11240"/>
      </w:cols>
      <w:pgMar w:left="320" w:top="13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1"/>
      <w:numFmt w:val="bullet"/>
      <w:start w:val="1"/>
    </w:lvl>
  </w:abstractNum>
  <w:abstractNum w:abstractNumId="2">
    <w:nsid w:val="3804823E"/>
    <w:multiLevelType w:val="hybridMultilevel"/>
    <w:lvl w:ilvl="0">
      <w:lvlJc w:val="left"/>
      <w:lvlText w:val="1"/>
      <w:numFmt w:val="bullet"/>
      <w:start w:val="1"/>
    </w:lvl>
  </w:abstractNum>
  <w:abstractNum w:abstractNumId="3">
    <w:nsid w:val="77465F01"/>
    <w:multiLevelType w:val="hybridMultilevel"/>
    <w:lvl w:ilvl="0">
      <w:lvlJc w:val="left"/>
      <w:lvlText w:val="1"/>
      <w:numFmt w:val="bullet"/>
      <w:start w:val="1"/>
    </w:lvl>
  </w:abstractNum>
  <w:abstractNum w:abstractNumId="4">
    <w:nsid w:val="7724C67E"/>
    <w:multiLevelType w:val="hybridMultilevel"/>
    <w:lvl w:ilvl="0">
      <w:lvlJc w:val="left"/>
      <w:lvlText w:val="2"/>
      <w:numFmt w:val="bullet"/>
      <w:start w:val="1"/>
    </w:lvl>
  </w:abstractNum>
  <w:abstractNum w:abstractNumId="5">
    <w:nsid w:val="5C482A97"/>
    <w:multiLevelType w:val="hybridMultilevel"/>
    <w:lvl w:ilvl="0">
      <w:lvlJc w:val="left"/>
      <w:lvlText w:val="1"/>
      <w:numFmt w:val="bullet"/>
      <w:start w:val="1"/>
    </w:lvl>
  </w:abstractNum>
  <w:abstractNum w:abstractNumId="6">
    <w:nsid w:val="2463B9EA"/>
    <w:multiLevelType w:val="hybridMultilevel"/>
    <w:lvl w:ilvl="0">
      <w:lvlJc w:val="left"/>
      <w:lvlText w:val="1"/>
      <w:numFmt w:val="bullet"/>
      <w:start w:val="1"/>
    </w:lvl>
  </w:abstractNum>
  <w:abstractNum w:abstractNumId="7">
    <w:nsid w:val="5E884ADC"/>
    <w:multiLevelType w:val="hybridMultilevel"/>
    <w:lvl w:ilvl="0">
      <w:lvlJc w:val="left"/>
      <w:lvlText w:val="1"/>
      <w:numFmt w:val="bullet"/>
      <w:start w:val="1"/>
    </w:lvl>
  </w:abstractNum>
  <w:abstractNum w:abstractNumId="8">
    <w:nsid w:val="51EAD36B"/>
    <w:multiLevelType w:val="hybridMultilevel"/>
    <w:lvl w:ilvl="0">
      <w:lvlJc w:val="left"/>
      <w:lvlText w:val="1"/>
      <w:numFmt w:val="bullet"/>
      <w:start w:val="1"/>
    </w:lvl>
  </w:abstractNum>
  <w:abstractNum w:abstractNumId="9">
    <w:nsid w:val="2D517796"/>
    <w:multiLevelType w:val="hybridMultilevel"/>
    <w:lvl w:ilvl="0">
      <w:lvlJc w:val="left"/>
      <w:lvlText w:val="1"/>
      <w:numFmt w:val="bullet"/>
      <w:start w:val="1"/>
    </w:lvl>
  </w:abstractNum>
  <w:abstractNum w:abstractNumId="10">
    <w:nsid w:val="580BD78F"/>
    <w:multiLevelType w:val="hybridMultilevel"/>
    <w:lvl w:ilvl="0">
      <w:lvlJc w:val="left"/>
      <w:lvlText w:val="1"/>
      <w:numFmt w:val="bullet"/>
      <w:start w:val="1"/>
    </w:lvl>
  </w:abstractNum>
  <w:abstractNum w:abstractNumId="11">
    <w:nsid w:val="153EA438"/>
    <w:multiLevelType w:val="hybridMultilevel"/>
    <w:lvl w:ilvl="0">
      <w:lvlJc w:val="left"/>
      <w:lvlText w:val="1"/>
      <w:numFmt w:val="bullet"/>
      <w:start w:val="1"/>
    </w:lvl>
  </w:abstractNum>
  <w:abstractNum w:abstractNumId="12">
    <w:nsid w:val="3855585C"/>
    <w:multiLevelType w:val="hybridMultilevel"/>
    <w:lvl w:ilvl="0">
      <w:lvlJc w:val="left"/>
      <w:lvlText w:val="1"/>
      <w:numFmt w:val="bullet"/>
      <w:start w:val="1"/>
    </w:lvl>
  </w:abstractNum>
  <w:abstractNum w:abstractNumId="13">
    <w:nsid w:val="70A64E2A"/>
    <w:multiLevelType w:val="hybridMultilevel"/>
    <w:lvl w:ilvl="0">
      <w:lvlJc w:val="left"/>
      <w:lvlText w:val="2"/>
      <w:numFmt w:val="bullet"/>
      <w:start w:val="1"/>
    </w:lvl>
  </w:abstractNum>
  <w:abstractNum w:abstractNumId="14">
    <w:nsid w:val="6A2342EC"/>
    <w:multiLevelType w:val="hybridMultilevel"/>
    <w:lvl w:ilvl="0">
      <w:lvlJc w:val="left"/>
      <w:lvlText w:val="3"/>
      <w:numFmt w:val="bullet"/>
      <w:start w:val="1"/>
    </w:lvl>
  </w:abstractNum>
  <w:abstractNum w:abstractNumId="15">
    <w:nsid w:val="2A487CB0"/>
    <w:multiLevelType w:val="hybridMultilevel"/>
    <w:lvl w:ilvl="0">
      <w:lvlJc w:val="left"/>
      <w:lvlText w:val="4"/>
      <w:numFmt w:val="bullet"/>
      <w:start w:val="1"/>
    </w:lvl>
  </w:abstractNum>
  <w:abstractNum w:abstractNumId="16">
    <w:nsid w:val="1D4ED43B"/>
    <w:multiLevelType w:val="hybridMultilevel"/>
    <w:lvl w:ilvl="0">
      <w:lvlJc w:val="left"/>
      <w:lvlText w:val="5"/>
      <w:numFmt w:val="bullet"/>
      <w:start w:val="1"/>
    </w:lvl>
  </w:abstractNum>
  <w:abstractNum w:abstractNumId="17">
    <w:nsid w:val="725A06FB"/>
    <w:multiLevelType w:val="hybridMultilevel"/>
    <w:lvl w:ilvl="0">
      <w:lvlJc w:val="left"/>
      <w:lvlText w:val="1"/>
      <w:numFmt w:val="bullet"/>
      <w:start w:val="1"/>
    </w:lvl>
  </w:abstractNum>
  <w:abstractNum w:abstractNumId="18">
    <w:nsid w:val="2CD89A32"/>
    <w:multiLevelType w:val="hybridMultilevel"/>
    <w:lvl w:ilvl="0">
      <w:lvlJc w:val="left"/>
      <w:lvlText w:val="4"/>
      <w:numFmt w:val="bullet"/>
      <w:start w:val="1"/>
    </w:lvl>
  </w:abstractNum>
  <w:abstractNum w:abstractNumId="19">
    <w:nsid w:val="57E4CCAF"/>
    <w:multiLevelType w:val="hybridMultilevel"/>
    <w:lvl w:ilvl="0">
      <w:lvlJc w:val="left"/>
      <w:lvlText w:val="1"/>
      <w:numFmt w:val="bullet"/>
      <w:start w:val="1"/>
    </w:lvl>
  </w:abstractNum>
  <w:abstractNum w:abstractNumId="20">
    <w:nsid w:val="7A6D8D3C"/>
    <w:multiLevelType w:val="hybridMultilevel"/>
    <w:lvl w:ilvl="0">
      <w:lvlJc w:val="left"/>
      <w:lvlText w:val="3"/>
      <w:numFmt w:val="bullet"/>
      <w:start w:val="1"/>
    </w:lvl>
  </w:abstractNum>
  <w:abstractNum w:abstractNumId="21">
    <w:nsid w:val="4B588F54"/>
    <w:multiLevelType w:val="hybridMultilevel"/>
    <w:lvl w:ilvl="0">
      <w:lvlJc w:val="left"/>
      <w:lvlText w:val="4"/>
      <w:numFmt w:val="bullet"/>
      <w:start w:val="1"/>
    </w:lvl>
  </w:abstractNum>
  <w:abstractNum w:abstractNumId="22">
    <w:nsid w:val="542289EC"/>
    <w:multiLevelType w:val="hybridMultilevel"/>
    <w:lvl w:ilvl="0">
      <w:lvlJc w:val="left"/>
      <w:lvlText w:val="1"/>
      <w:numFmt w:val="bullet"/>
      <w:start w:val="1"/>
    </w:lvl>
  </w:abstractNum>
  <w:abstractNum w:abstractNumId="23">
    <w:nsid w:val="6DE91B18"/>
    <w:multiLevelType w:val="hybridMultilevel"/>
    <w:lvl w:ilvl="0">
      <w:lvlJc w:val="left"/>
      <w:lvlText w:val="1"/>
      <w:numFmt w:val="bullet"/>
      <w:start w:val="1"/>
    </w:lvl>
  </w:abstractNum>
  <w:abstractNum w:abstractNumId="24">
    <w:nsid w:val="38437FDB"/>
    <w:multiLevelType w:val="hybridMultilevel"/>
    <w:lvl w:ilvl="0">
      <w:lvlJc w:val="left"/>
      <w:lvlText w:val="2"/>
      <w:numFmt w:val="bullet"/>
      <w:start w:val="1"/>
    </w:lvl>
  </w:abstractNum>
  <w:abstractNum w:abstractNumId="25">
    <w:nsid w:val="7644A45C"/>
    <w:multiLevelType w:val="hybridMultilevel"/>
    <w:lvl w:ilvl="0">
      <w:lvlJc w:val="left"/>
      <w:lvlText w:val="3"/>
      <w:numFmt w:val="bullet"/>
      <w:start w:val="1"/>
    </w:lvl>
  </w:abstractNum>
  <w:abstractNum w:abstractNumId="26">
    <w:nsid w:val="32FFF902"/>
    <w:multiLevelType w:val="hybridMultilevel"/>
    <w:lvl w:ilvl="0">
      <w:lvlJc w:val="left"/>
      <w:lvlText w:val="4"/>
      <w:numFmt w:val="bullet"/>
      <w:start w:val="1"/>
    </w:lvl>
  </w:abstractNum>
  <w:abstractNum w:abstractNumId="27">
    <w:nsid w:val="684A481A"/>
    <w:multiLevelType w:val="hybridMultilevel"/>
    <w:lvl w:ilvl="0">
      <w:lvlJc w:val="left"/>
      <w:lvlText w:val="5"/>
      <w:numFmt w:val="bullet"/>
      <w:start w:val="1"/>
    </w:lvl>
  </w:abstractNum>
  <w:abstractNum w:abstractNumId="28">
    <w:nsid w:val="579478FE"/>
    <w:multiLevelType w:val="hybridMultilevel"/>
    <w:lvl w:ilvl="0">
      <w:lvlJc w:val="left"/>
      <w:lvlText w:val="6"/>
      <w:numFmt w:val="bullet"/>
      <w:start w:val="1"/>
    </w:lvl>
  </w:abstractNum>
  <w:abstractNum w:abstractNumId="29">
    <w:nsid w:val="749ABB43"/>
    <w:multiLevelType w:val="hybridMultilevel"/>
    <w:lvl w:ilvl="0">
      <w:lvlJc w:val="left"/>
      <w:lvlText w:val="1"/>
      <w:numFmt w:val="bullet"/>
      <w:start w:val="1"/>
    </w:lvl>
  </w:abstractNum>
  <w:abstractNum w:abstractNumId="30">
    <w:nsid w:val="3DC240FB"/>
    <w:multiLevelType w:val="hybridMultilevel"/>
    <w:lvl w:ilvl="0">
      <w:lvlJc w:val="left"/>
      <w:lvlText w:val="2"/>
      <w:numFmt w:val="bullet"/>
      <w:start w:val="1"/>
    </w:lvl>
  </w:abstractNum>
  <w:abstractNum w:abstractNumId="31">
    <w:nsid w:val="1BA026FA"/>
    <w:multiLevelType w:val="hybridMultilevel"/>
    <w:lvl w:ilvl="0">
      <w:lvlJc w:val="left"/>
      <w:lvlText w:val="3"/>
      <w:numFmt w:val="bullet"/>
      <w:start w:val="1"/>
    </w:lvl>
  </w:abstractNum>
  <w:abstractNum w:abstractNumId="32">
    <w:nsid w:val="79A1DEAA"/>
    <w:multiLevelType w:val="hybridMultilevel"/>
    <w:lvl w:ilvl="0">
      <w:lvlJc w:val="left"/>
      <w:lvlText w:val="1"/>
      <w:numFmt w:val="bullet"/>
      <w:start w:val="1"/>
    </w:lvl>
  </w:abstractNum>
  <w:abstractNum w:abstractNumId="33">
    <w:nsid w:val="75C6C33A"/>
    <w:multiLevelType w:val="hybridMultilevel"/>
    <w:lvl w:ilvl="0">
      <w:lvlJc w:val="left"/>
      <w:lvlText w:val="2"/>
      <w:numFmt w:val="bullet"/>
      <w:start w:val="1"/>
    </w:lvl>
  </w:abstractNum>
  <w:abstractNum w:abstractNumId="34">
    <w:nsid w:val="12E685FB"/>
    <w:multiLevelType w:val="hybridMultilevel"/>
    <w:lvl w:ilvl="0">
      <w:lvlJc w:val="left"/>
      <w:lvlText w:val="3"/>
      <w:numFmt w:val="bullet"/>
      <w:start w:val="1"/>
    </w:lvl>
  </w:abstractNum>
  <w:abstractNum w:abstractNumId="35">
    <w:nsid w:val="70C6A529"/>
    <w:multiLevelType w:val="hybridMultilevel"/>
    <w:lvl w:ilvl="0">
      <w:lvlJc w:val="left"/>
      <w:lvlText w:val="1"/>
      <w:numFmt w:val="bullet"/>
      <w:start w:val="1"/>
    </w:lvl>
  </w:abstractNum>
  <w:abstractNum w:abstractNumId="36">
    <w:nsid w:val="520EEDD1"/>
    <w:multiLevelType w:val="hybridMultilevel"/>
    <w:lvl w:ilvl="0">
      <w:lvlJc w:val="left"/>
      <w:lvlText w:val="1"/>
      <w:numFmt w:val="bullet"/>
      <w:start w:val="1"/>
    </w:lvl>
  </w:abstractNum>
  <w:abstractNum w:abstractNumId="37">
    <w:nsid w:val="374A3FE6"/>
    <w:multiLevelType w:val="hybridMultilevel"/>
    <w:lvl w:ilvl="0">
      <w:lvlJc w:val="left"/>
      <w:lvlText w:val="2"/>
      <w:numFmt w:val="bullet"/>
      <w:start w:val="1"/>
    </w:lvl>
  </w:abstractNum>
  <w:abstractNum w:abstractNumId="38">
    <w:nsid w:val="4F4EF005"/>
    <w:multiLevelType w:val="hybridMultilevel"/>
    <w:lvl w:ilvl="0">
      <w:lvlJc w:val="left"/>
      <w:lvlText w:val="3"/>
      <w:numFmt w:val="bullet"/>
      <w:start w:val="1"/>
    </w:lvl>
  </w:abstractNum>
  <w:abstractNum w:abstractNumId="39">
    <w:nsid w:val="23F9C13C"/>
    <w:multiLevelType w:val="hybridMultilevel"/>
    <w:lvl w:ilvl="0">
      <w:lvlJc w:val="left"/>
      <w:lvlText w:val="1"/>
      <w:numFmt w:val="bullet"/>
      <w:start w:val="1"/>
    </w:lvl>
  </w:abstractNum>
  <w:abstractNum w:abstractNumId="40">
    <w:nsid w:val="649BB77C"/>
    <w:multiLevelType w:val="hybridMultilevel"/>
    <w:lvl w:ilvl="0">
      <w:lvlJc w:val="left"/>
      <w:lvlText w:val="\endash "/>
      <w:numFmt w:val="bullet"/>
      <w:start w:val="1"/>
    </w:lvl>
  </w:abstractNum>
  <w:abstractNum w:abstractNumId="41">
    <w:nsid w:val="275AC794"/>
    <w:multiLevelType w:val="hybridMultilevel"/>
    <w:lvl w:ilvl="0">
      <w:lvlJc w:val="left"/>
      <w:lvlText w:val="•"/>
      <w:numFmt w:val="bullet"/>
      <w:start w:val="1"/>
    </w:lvl>
  </w:abstractNum>
  <w:abstractNum w:abstractNumId="42">
    <w:nsid w:val="39386575"/>
    <w:multiLevelType w:val="hybridMultilevel"/>
    <w:lvl w:ilvl="0">
      <w:lvlJc w:val="left"/>
      <w:lvlText w:val="•"/>
      <w:numFmt w:val="bullet"/>
      <w:start w:val="1"/>
    </w:lvl>
  </w:abstractNum>
  <w:abstractNum w:abstractNumId="43">
    <w:nsid w:val="1CF10FD8"/>
    <w:multiLevelType w:val="hybridMultilevel"/>
    <w:lvl w:ilvl="0">
      <w:lvlJc w:val="left"/>
      <w:lvlText w:val="%1"/>
      <w:numFmt w:val="upperLetter"/>
      <w:start w:val="68"/>
    </w:lvl>
  </w:abstractNum>
  <w:abstractNum w:abstractNumId="44">
    <w:nsid w:val="180115BE"/>
    <w:multiLevelType w:val="hybridMultilevel"/>
    <w:lvl w:ilvl="0">
      <w:lvlJc w:val="left"/>
      <w:lvlText w:val="(%1)"/>
      <w:numFmt w:val="lowerRoman"/>
      <w:start w:val="3"/>
    </w:lvl>
  </w:abstractNum>
  <w:abstractNum w:abstractNumId="45">
    <w:nsid w:val="235BA861"/>
    <w:multiLevelType w:val="hybridMultilevel"/>
    <w:lvl w:ilvl="0">
      <w:lvlJc w:val="left"/>
      <w:lvlText w:val="1"/>
      <w:numFmt w:val="bullet"/>
      <w:start w:val="1"/>
    </w:lvl>
  </w:abstractNum>
  <w:abstractNum w:abstractNumId="46">
    <w:nsid w:val="47398C89"/>
    <w:multiLevelType w:val="hybridMultilevel"/>
    <w:lvl w:ilvl="0">
      <w:lvlJc w:val="left"/>
      <w:lvlText w:val="1"/>
      <w:numFmt w:val="bullet"/>
      <w:start w:val="1"/>
    </w:lvl>
  </w:abstractNum>
  <w:abstractNum w:abstractNumId="47">
    <w:nsid w:val="354FE9F9"/>
    <w:multiLevelType w:val="hybridMultilevel"/>
    <w:lvl w:ilvl="0">
      <w:lvlJc w:val="left"/>
      <w:lvlText w:val="1"/>
      <w:numFmt w:val="bullet"/>
      <w:start w:val="1"/>
    </w:lvl>
  </w:abstractNum>
  <w:abstractNum w:abstractNumId="48">
    <w:nsid w:val="15B5AF5C"/>
    <w:multiLevelType w:val="hybridMultilevel"/>
    <w:lvl w:ilvl="0">
      <w:lvlJc w:val="left"/>
      <w:lvlText w:val="1"/>
      <w:numFmt w:val="bullet"/>
      <w:start w:val="1"/>
    </w:lvl>
  </w:abstractNum>
  <w:abstractNum w:abstractNumId="49">
    <w:nsid w:val="741226BB"/>
    <w:multiLevelType w:val="hybridMultilevel"/>
    <w:lvl w:ilvl="0">
      <w:lvlJc w:val="left"/>
      <w:lvlText w:val="2"/>
      <w:numFmt w:val="bullet"/>
      <w:start w:val="1"/>
    </w:lvl>
  </w:abstractNum>
  <w:abstractNum w:abstractNumId="50">
    <w:nsid w:val="D34B6A8"/>
    <w:multiLevelType w:val="hybridMultilevel"/>
    <w:lvl w:ilvl="0">
      <w:lvlJc w:val="left"/>
      <w:lvlText w:val="3"/>
      <w:numFmt w:val="bullet"/>
      <w:start w:val="1"/>
    </w:lvl>
  </w:abstractNum>
  <w:abstractNum w:abstractNumId="51">
    <w:nsid w:val="10233C99"/>
    <w:multiLevelType w:val="hybridMultilevel"/>
    <w:lvl w:ilvl="0">
      <w:lvlJc w:val="left"/>
      <w:lvlText w:val="4"/>
      <w:numFmt w:val="bullet"/>
      <w:start w:val="1"/>
    </w:lvl>
  </w:abstractNum>
  <w:abstractNum w:abstractNumId="52">
    <w:nsid w:val="3F6AB60F"/>
    <w:multiLevelType w:val="hybridMultilevel"/>
    <w:lvl w:ilvl="0">
      <w:lvlJc w:val="left"/>
      <w:lvlText w:val="5"/>
      <w:numFmt w:val="bullet"/>
      <w:start w:val="1"/>
    </w:lvl>
  </w:abstractNum>
  <w:abstractNum w:abstractNumId="53">
    <w:nsid w:val="61574095"/>
    <w:multiLevelType w:val="hybridMultilevel"/>
    <w:lvl w:ilvl="0">
      <w:lvlJc w:val="left"/>
      <w:lvlText w:val="7"/>
      <w:numFmt w:val="bullet"/>
      <w:start w:val="1"/>
    </w:lvl>
  </w:abstractNum>
  <w:abstractNum w:abstractNumId="54">
    <w:nsid w:val="7E0C57B1"/>
    <w:multiLevelType w:val="hybridMultilevel"/>
    <w:lvl w:ilvl="0">
      <w:lvlJc w:val="left"/>
      <w:lvlText w:val="1"/>
      <w:numFmt w:val="bullet"/>
      <w:start w:val="1"/>
    </w:lvl>
  </w:abstractNum>
  <w:abstractNum w:abstractNumId="55">
    <w:nsid w:val="77AE35EB"/>
    <w:multiLevelType w:val="hybridMultilevel"/>
    <w:lvl w:ilvl="0">
      <w:lvlJc w:val="left"/>
      <w:lvlText w:val="1"/>
      <w:numFmt w:val="bullet"/>
      <w:start w:val="1"/>
    </w:lvl>
  </w:abstractNum>
  <w:abstractNum w:abstractNumId="56">
    <w:nsid w:val="579BE4F1"/>
    <w:multiLevelType w:val="hybridMultilevel"/>
    <w:lvl w:ilvl="0">
      <w:lvlJc w:val="left"/>
      <w:lvlText w:val="1"/>
      <w:numFmt w:val="bullet"/>
      <w:start w:val="1"/>
    </w:lvl>
  </w:abstractNum>
  <w:abstractNum w:abstractNumId="57">
    <w:nsid w:val="310C50B3"/>
    <w:multiLevelType w:val="hybridMultilevel"/>
    <w:lvl w:ilvl="0">
      <w:lvlJc w:val="left"/>
      <w:lvlText w:val="1"/>
      <w:numFmt w:val="bullet"/>
      <w:start w:val="1"/>
    </w:lvl>
  </w:abstractNum>
  <w:abstractNum w:abstractNumId="58">
    <w:nsid w:val="5FF87E05"/>
    <w:multiLevelType w:val="hybridMultilevel"/>
    <w:lvl w:ilvl="0">
      <w:lvlJc w:val="left"/>
      <w:lvlText w:val="1"/>
      <w:numFmt w:val="bullet"/>
      <w:start w:val="1"/>
    </w:lvl>
  </w:abstractNum>
  <w:abstractNum w:abstractNumId="59">
    <w:nsid w:val="2F305DEF"/>
    <w:multiLevelType w:val="hybridMultilevel"/>
    <w:lvl w:ilvl="0">
      <w:lvlJc w:val="left"/>
      <w:lvlText w:val="1"/>
      <w:numFmt w:val="bullet"/>
      <w:start w:val="1"/>
    </w:lvl>
  </w:abstractNum>
  <w:abstractNum w:abstractNumId="60">
    <w:nsid w:val="25A70BF7"/>
    <w:multiLevelType w:val="hybridMultilevel"/>
    <w:lvl w:ilvl="0">
      <w:lvlJc w:val="left"/>
      <w:lvlText w:val="1"/>
      <w:numFmt w:val="bullet"/>
      <w:start w:val="1"/>
    </w:lvl>
  </w:abstractNum>
  <w:abstractNum w:abstractNumId="61">
    <w:nsid w:val="1DBABF00"/>
    <w:multiLevelType w:val="hybridMultilevel"/>
    <w:lvl w:ilvl="0">
      <w:lvlJc w:val="left"/>
      <w:lvlText w:val="1"/>
      <w:numFmt w:val="bullet"/>
      <w:start w:val="1"/>
    </w:lvl>
  </w:abstractNum>
  <w:abstractNum w:abstractNumId="62">
    <w:nsid w:val="4AD084E9"/>
    <w:multiLevelType w:val="hybridMultilevel"/>
    <w:lvl w:ilvl="0">
      <w:lvlJc w:val="left"/>
      <w:lvlText w:val="2"/>
      <w:numFmt w:val="bullet"/>
      <w:start w:val="1"/>
    </w:lvl>
  </w:abstractNum>
  <w:abstractNum w:abstractNumId="63">
    <w:nsid w:val="1F48EAA1"/>
    <w:multiLevelType w:val="hybridMultilevel"/>
    <w:lvl w:ilvl="0">
      <w:lvlJc w:val="left"/>
      <w:lvlText w:val="%1"/>
      <w:numFmt w:val="decimal"/>
      <w:start w:val="101"/>
    </w:lvl>
  </w:abstractNum>
  <w:abstractNum w:abstractNumId="64">
    <w:nsid w:val="1381823A"/>
    <w:multiLevelType w:val="hybridMultilevel"/>
    <w:lvl w:ilvl="0">
      <w:lvlJc w:val="left"/>
      <w:lvlText w:val="*"/>
      <w:numFmt w:val="bullet"/>
      <w:start w:val="1"/>
    </w:lvl>
    <w:lvl w:ilvl="1">
      <w:lvlJc w:val="left"/>
      <w:lvlText w:val="%2"/>
      <w:numFmt w:val="decimal"/>
      <w:start w:val="104"/>
    </w:lvl>
  </w:abstractNum>
  <w:abstractNum w:abstractNumId="65">
    <w:nsid w:val="5DB70AE5"/>
    <w:multiLevelType w:val="hybridMultilevel"/>
    <w:lvl w:ilvl="0">
      <w:lvlJc w:val="left"/>
      <w:lvlText w:val="**"/>
      <w:numFmt w:val="bullet"/>
      <w:start w:val="1"/>
    </w:lvl>
    <w:lvl w:ilvl="1">
      <w:lvlJc w:val="left"/>
      <w:lvlText w:val="%2"/>
      <w:numFmt w:val="decimal"/>
      <w:start w:val="1"/>
    </w:lvl>
  </w:abstractNum>
  <w:abstractNum w:abstractNumId="66">
    <w:nsid w:val="100F8FCA"/>
    <w:multiLevelType w:val="hybridMultilevel"/>
    <w:lvl w:ilvl="0">
      <w:lvlJc w:val="left"/>
      <w:lvlText w:val="%1."/>
      <w:numFmt w:val="decimal"/>
      <w:start w:val="1"/>
    </w:lvl>
    <w:lvl w:ilvl="1">
      <w:lvlJc w:val="left"/>
      <w:lvlText w:val="%2)"/>
      <w:numFmt w:val="lowerLetter"/>
      <w:start w:val="1"/>
    </w:lvl>
  </w:abstractNum>
  <w:abstractNum w:abstractNumId="67">
    <w:nsid w:val="6590700B"/>
    <w:multiLevelType w:val="hybridMultilevel"/>
    <w:lvl w:ilvl="0">
      <w:lvlJc w:val="left"/>
      <w:lvlText w:val="%1."/>
      <w:numFmt w:val="decimal"/>
      <w:start w:val="1"/>
    </w:lvl>
    <w:lvl w:ilvl="1">
      <w:lvlJc w:val="left"/>
      <w:lvlText w:val="%2)"/>
      <w:numFmt w:val="lowerLetter"/>
      <w:start w:val="1"/>
    </w:lvl>
  </w:abstractNum>
  <w:abstractNum w:abstractNumId="68">
    <w:nsid w:val="15014ACB"/>
    <w:multiLevelType w:val="hybridMultilevel"/>
    <w:lvl w:ilvl="0">
      <w:lvlJc w:val="left"/>
      <w:lvlText w:val="(%1)"/>
      <w:numFmt w:val="decimal"/>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png"/><Relationship Id="rId152" Type="http://schemas.openxmlformats.org/officeDocument/2006/relationships/image" Target="media/image140.png"/><Relationship Id="rId153" Type="http://schemas.openxmlformats.org/officeDocument/2006/relationships/image" Target="media/image141.png"/><Relationship Id="rId154" Type="http://schemas.openxmlformats.org/officeDocument/2006/relationships/image" Target="media/image142.png"/><Relationship Id="rId143" Type="http://schemas.openxmlformats.org/officeDocument/2006/relationships/hyperlink" Target="https://www.sec.gov/Archives/edgar/data/1587987/000119312514394101/d804521dex99a.htm" TargetMode="External"/><Relationship Id="rId144" Type="http://schemas.openxmlformats.org/officeDocument/2006/relationships/hyperlink" Target="https://www.sec.gov/Archives/edgar/data/1587987/000158798723000021/bylaws-01132023.htm" TargetMode="External"/><Relationship Id="rId145" Type="http://schemas.openxmlformats.org/officeDocument/2006/relationships/hyperlink" Target="https://www.sec.gov/ix?doc=/Archives/edgar/data/0001587987/000158798723000014/newt-20230117.htm" TargetMode="External"/><Relationship Id="rId146" Type="http://schemas.openxmlformats.org/officeDocument/2006/relationships/hyperlink" Target="https://www.sec.gov/Archives/edgar/data/1587987/000158798723000047/articlessupplementaryser.htm" TargetMode="External"/><Relationship Id="rId147" Type="http://schemas.openxmlformats.org/officeDocument/2006/relationships/hyperlink" Target="https://www.sec.gov/ix?doc=/Archives/edgar/data/1587987/000158798724000135/newt-2024061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2025-08-08T15:20:40Z</dcterms:created>
  <dcterms:modified xsi:type="dcterms:W3CDTF">2025-08-08T15:20:40Z</dcterms:modified>
</cp:coreProperties>
</file>