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ANNUAL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fiscal year ended December 31, 2024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1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3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21"/>
        </w:trPr>
        <w:tc>
          <w:tcPr>
            <w:tcW w:w="5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80" w:type="dxa"/>
            <w:vAlign w:val="bottom"/>
          </w:tcPr>
          <w:p>
            <w:pPr>
              <w:spacing w:after="0"/>
              <w:rPr>
                <w:sz w:val="14"/>
                <w:szCs w:val="1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NEWT</w:t>
            </w:r>
          </w:p>
        </w:tc>
        <w:tc>
          <w:tcPr>
            <w:tcW w:w="80" w:type="dxa"/>
            <w:vAlign w:val="bottom"/>
          </w:tcPr>
          <w:p>
            <w:pPr>
              <w:spacing w:after="0"/>
              <w:rPr>
                <w:sz w:val="14"/>
                <w:szCs w:val="14"/>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NEWTZ</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NEWTG</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NEWTH</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bl>
    <w:p>
      <w:pPr>
        <w:spacing w:after="0" w:line="273" w:lineRule="exact"/>
        <w:rPr>
          <w:sz w:val="24"/>
          <w:szCs w:val="24"/>
          <w:color w:val="auto"/>
        </w:rPr>
      </w:pPr>
    </w:p>
    <w:p>
      <w:pPr>
        <w:ind w:left="40" w:right="4220" w:hanging="34"/>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46" w:lineRule="exact"/>
        <w:rPr>
          <w:sz w:val="24"/>
          <w:szCs w:val="24"/>
          <w:color w:val="auto"/>
        </w:rPr>
      </w:pPr>
    </w:p>
    <w:p>
      <w:pPr>
        <w:ind w:left="40" w:right="4560" w:hanging="34"/>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412115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 w:name="page2"/>
    <w:bookmarkEnd w:id="1"/>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145" w:lineRule="exact"/>
        <w:rPr>
          <w:sz w:val="20"/>
          <w:szCs w:val="20"/>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2"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99" w:lineRule="exact"/>
        <w:rPr>
          <w:sz w:val="20"/>
          <w:szCs w:val="20"/>
          <w:color w:val="auto"/>
        </w:rPr>
      </w:pPr>
    </w:p>
    <w:p>
      <w:pPr>
        <w:ind w:right="340"/>
        <w:spacing w:after="0" w:line="18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4" w:lineRule="exact"/>
        <w:rPr>
          <w:sz w:val="20"/>
          <w:szCs w:val="20"/>
          <w:color w:val="auto"/>
        </w:rPr>
      </w:pPr>
    </w:p>
    <w:p>
      <w:pPr>
        <w:ind w:right="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$303.9 million as of the last business day of the registrant’s second fiscal quarter of 2024, based on a closing price on that date of $12.57 on the Nasdaq Global Market. For the purposes of calculating this amount only, all directors and executive officers of the Registrant have been treated as affiliates.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14, 2025, there were 26,290,668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20" w:type="dxa"/>
            <w:vAlign w:val="bottom"/>
            <w:gridSpan w:val="14"/>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13"/>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0" w:type="dxa"/>
            <w:vAlign w:val="bottom"/>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13"/>
        </w:trPr>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10"/>
          </w:tcPr>
          <w:p>
            <w:pPr>
              <w:jc w:val="center"/>
              <w:ind w:right="488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w:t>
            </w:r>
          </w:p>
        </w:tc>
        <w:tc>
          <w:tcPr>
            <w:tcW w:w="300" w:type="dxa"/>
            <w:vAlign w:val="bottom"/>
          </w:tcPr>
          <w:p>
            <w:pPr>
              <w:spacing w:after="0"/>
              <w:rPr>
                <w:sz w:val="17"/>
                <w:szCs w:val="17"/>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4360" w:type="dxa"/>
            <w:vAlign w:val="bottom"/>
            <w:gridSpan w:val="21"/>
          </w:tcPr>
          <w:p>
            <w:pPr>
              <w:spacing w:after="0"/>
              <w:rPr>
                <w:sz w:val="17"/>
                <w:szCs w:val="17"/>
                <w:color w:val="auto"/>
              </w:rPr>
            </w:pPr>
          </w:p>
        </w:tc>
        <w:tc>
          <w:tcPr>
            <w:tcW w:w="460" w:type="dxa"/>
            <w:vAlign w:val="bottom"/>
            <w:tcBorders>
              <w:top w:val="single" w:sz="8" w:color="0000FF"/>
            </w:tcBorders>
            <w:gridSpan w:val="3"/>
          </w:tcPr>
          <w:p>
            <w:pPr>
              <w:spacing w:after="0"/>
              <w:rPr>
                <w:sz w:val="17"/>
                <w:szCs w:val="17"/>
                <w:color w:val="auto"/>
              </w:rPr>
            </w:pPr>
          </w:p>
        </w:tc>
        <w:tc>
          <w:tcPr>
            <w:tcW w:w="4920" w:type="dxa"/>
            <w:vAlign w:val="bottom"/>
            <w:gridSpan w:val="6"/>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1A.</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1B.</w:t>
            </w:r>
          </w:p>
        </w:tc>
        <w:tc>
          <w:tcPr>
            <w:tcW w:w="1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8640" w:type="dxa"/>
            <w:vAlign w:val="bottom"/>
            <w:gridSpan w:val="19"/>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64</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1C.</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65</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2.</w:t>
            </w:r>
          </w:p>
        </w:tc>
        <w:tc>
          <w:tcPr>
            <w:tcW w:w="300" w:type="dxa"/>
            <w:vAlign w:val="bottom"/>
          </w:tcPr>
          <w:p>
            <w:pPr>
              <w:spacing w:after="0"/>
              <w:rPr>
                <w:sz w:val="17"/>
                <w:szCs w:val="17"/>
                <w:color w:val="auto"/>
              </w:rPr>
            </w:pPr>
          </w:p>
        </w:tc>
        <w:tc>
          <w:tcPr>
            <w:tcW w:w="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9460" w:type="dxa"/>
            <w:vAlign w:val="bottom"/>
            <w:gridSpan w:val="26"/>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67</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3.</w:t>
            </w:r>
          </w:p>
        </w:tc>
        <w:tc>
          <w:tcPr>
            <w:tcW w:w="300" w:type="dxa"/>
            <w:vAlign w:val="bottom"/>
          </w:tcPr>
          <w:p>
            <w:pPr>
              <w:spacing w:after="0"/>
              <w:rPr>
                <w:sz w:val="17"/>
                <w:szCs w:val="17"/>
                <w:color w:val="auto"/>
              </w:rPr>
            </w:pPr>
          </w:p>
        </w:tc>
        <w:tc>
          <w:tcPr>
            <w:tcW w:w="1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9200" w:type="dxa"/>
            <w:vAlign w:val="bottom"/>
            <w:gridSpan w:val="23"/>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67</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4.</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67</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10"/>
          </w:tcPr>
          <w:p>
            <w:pPr>
              <w:jc w:val="center"/>
              <w:ind w:right="490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5.</w:t>
            </w:r>
          </w:p>
        </w:tc>
        <w:tc>
          <w:tcPr>
            <w:tcW w:w="300" w:type="dxa"/>
            <w:vAlign w:val="bottom"/>
          </w:tcPr>
          <w:p>
            <w:pPr>
              <w:spacing w:after="0"/>
              <w:rPr>
                <w:sz w:val="17"/>
                <w:szCs w:val="17"/>
                <w:color w:val="auto"/>
              </w:rPr>
            </w:pPr>
          </w:p>
        </w:tc>
        <w:tc>
          <w:tcPr>
            <w:tcW w:w="67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and Related Stockholder Matters and Issuer Purchases of Equity Securities</w:t>
            </w:r>
          </w:p>
        </w:tc>
        <w:tc>
          <w:tcPr>
            <w:tcW w:w="34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68</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6.</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[Reserved]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69</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7.</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70</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7A.</w:t>
            </w:r>
          </w:p>
        </w:tc>
        <w:tc>
          <w:tcPr>
            <w:tcW w:w="34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6"/>
          </w:tcPr>
          <w:p>
            <w:pPr>
              <w:spacing w:after="0"/>
              <w:rPr>
                <w:sz w:val="17"/>
                <w:szCs w:val="17"/>
                <w:color w:val="auto"/>
              </w:rPr>
            </w:pPr>
          </w:p>
        </w:tc>
        <w:tc>
          <w:tcPr>
            <w:tcW w:w="5180" w:type="dxa"/>
            <w:vAlign w:val="bottom"/>
            <w:gridSpan w:val="8"/>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96</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8.</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Consolidated Financial Statements and Supplementary Data</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98</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9.</w:t>
            </w:r>
          </w:p>
        </w:tc>
        <w:tc>
          <w:tcPr>
            <w:tcW w:w="300" w:type="dxa"/>
            <w:vAlign w:val="bottom"/>
          </w:tcPr>
          <w:p>
            <w:pPr>
              <w:spacing w:after="0"/>
              <w:rPr>
                <w:sz w:val="17"/>
                <w:szCs w:val="17"/>
                <w:color w:val="auto"/>
              </w:rPr>
            </w:pPr>
          </w:p>
        </w:tc>
        <w:tc>
          <w:tcPr>
            <w:tcW w:w="5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5160" w:type="dxa"/>
            <w:vAlign w:val="bottom"/>
            <w:gridSpan w:val="7"/>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98</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9A.</w:t>
            </w:r>
          </w:p>
        </w:tc>
        <w:tc>
          <w:tcPr>
            <w:tcW w:w="1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860" w:type="dxa"/>
            <w:vAlign w:val="bottom"/>
            <w:gridSpan w:val="21"/>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98</w:t>
            </w: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9B.</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9C.</w:t>
            </w: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5880" w:type="dxa"/>
            <w:vAlign w:val="bottom"/>
            <w:gridSpan w:val="12"/>
          </w:tcPr>
          <w:p>
            <w:pPr>
              <w:jc w:val="center"/>
              <w:ind w:right="444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10.</w:t>
            </w:r>
          </w:p>
        </w:tc>
        <w:tc>
          <w:tcPr>
            <w:tcW w:w="300" w:type="dxa"/>
            <w:vAlign w:val="bottom"/>
          </w:tcPr>
          <w:p>
            <w:pPr>
              <w:spacing w:after="0"/>
              <w:rPr>
                <w:sz w:val="17"/>
                <w:szCs w:val="17"/>
                <w:color w:val="auto"/>
              </w:rPr>
            </w:pPr>
          </w:p>
        </w:tc>
        <w:tc>
          <w:tcPr>
            <w:tcW w:w="48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80" w:type="dxa"/>
            <w:vAlign w:val="bottom"/>
            <w:tcBorders>
              <w:top w:val="single" w:sz="8" w:color="0000FF"/>
            </w:tcBorders>
            <w:gridSpan w:val="8"/>
          </w:tcPr>
          <w:p>
            <w:pPr>
              <w:spacing w:after="0"/>
              <w:rPr>
                <w:sz w:val="17"/>
                <w:szCs w:val="17"/>
                <w:color w:val="auto"/>
              </w:rPr>
            </w:pPr>
          </w:p>
        </w:tc>
        <w:tc>
          <w:tcPr>
            <w:tcW w:w="4860" w:type="dxa"/>
            <w:vAlign w:val="bottom"/>
            <w:gridSpan w:val="3"/>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11.</w:t>
            </w:r>
          </w:p>
        </w:tc>
        <w:tc>
          <w:tcPr>
            <w:tcW w:w="300" w:type="dxa"/>
            <w:vAlign w:val="bottom"/>
          </w:tcPr>
          <w:p>
            <w:pPr>
              <w:spacing w:after="0"/>
              <w:rPr>
                <w:sz w:val="17"/>
                <w:szCs w:val="17"/>
                <w:color w:val="auto"/>
              </w:rPr>
            </w:pPr>
          </w:p>
        </w:tc>
        <w:tc>
          <w:tcPr>
            <w:tcW w:w="32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7040" w:type="dxa"/>
            <w:vAlign w:val="bottom"/>
            <w:gridSpan w:val="16"/>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
        </w:trPr>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12.</w:t>
            </w:r>
          </w:p>
        </w:tc>
        <w:tc>
          <w:tcPr>
            <w:tcW w:w="300" w:type="dxa"/>
            <w:vAlign w:val="bottom"/>
          </w:tcPr>
          <w:p>
            <w:pPr>
              <w:spacing w:after="0"/>
              <w:rPr>
                <w:sz w:val="17"/>
                <w:szCs w:val="17"/>
                <w:color w:val="auto"/>
              </w:rPr>
            </w:pPr>
          </w:p>
        </w:tc>
        <w:tc>
          <w:tcPr>
            <w:tcW w:w="57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4520" w:type="dxa"/>
            <w:vAlign w:val="bottom"/>
            <w:gridSpan w:val="2"/>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13.</w:t>
            </w: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Certain Relationships, Related Party Transactions and Director Independence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14.</w:t>
            </w:r>
          </w:p>
        </w:tc>
        <w:tc>
          <w:tcPr>
            <w:tcW w:w="300" w:type="dxa"/>
            <w:vAlign w:val="bottom"/>
          </w:tcPr>
          <w:p>
            <w:pPr>
              <w:spacing w:after="0"/>
              <w:rPr>
                <w:sz w:val="17"/>
                <w:szCs w:val="17"/>
                <w:color w:val="auto"/>
              </w:rPr>
            </w:pPr>
          </w:p>
        </w:tc>
        <w:tc>
          <w:tcPr>
            <w:tcW w:w="43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5880" w:type="dxa"/>
            <w:vAlign w:val="bottom"/>
            <w:gridSpan w:val="12"/>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11"/>
          </w:tcPr>
          <w:p>
            <w:pPr>
              <w:jc w:val="center"/>
              <w:ind w:right="4880"/>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15.</w:t>
            </w:r>
          </w:p>
        </w:tc>
        <w:tc>
          <w:tcPr>
            <w:tcW w:w="300" w:type="dxa"/>
            <w:vAlign w:val="bottom"/>
          </w:tcPr>
          <w:p>
            <w:pPr>
              <w:spacing w:after="0"/>
              <w:rPr>
                <w:sz w:val="17"/>
                <w:szCs w:val="17"/>
                <w:color w:val="auto"/>
              </w:rPr>
            </w:pPr>
          </w:p>
        </w:tc>
        <w:tc>
          <w:tcPr>
            <w:tcW w:w="2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340" w:type="dxa"/>
            <w:vAlign w:val="bottom"/>
            <w:gridSpan w:val="7"/>
          </w:tcPr>
          <w:p>
            <w:pPr>
              <w:spacing w:after="0"/>
              <w:rPr>
                <w:sz w:val="17"/>
                <w:szCs w:val="17"/>
                <w:color w:val="auto"/>
              </w:rPr>
            </w:pPr>
          </w:p>
        </w:tc>
        <w:tc>
          <w:tcPr>
            <w:tcW w:w="540" w:type="dxa"/>
            <w:vAlign w:val="bottom"/>
            <w:tcBorders>
              <w:top w:val="single" w:sz="8" w:color="0000FF"/>
            </w:tcBorders>
            <w:gridSpan w:val="6"/>
          </w:tcPr>
          <w:p>
            <w:pPr>
              <w:spacing w:after="0"/>
              <w:rPr>
                <w:sz w:val="17"/>
                <w:szCs w:val="17"/>
                <w:color w:val="auto"/>
              </w:rPr>
            </w:pPr>
          </w:p>
        </w:tc>
        <w:tc>
          <w:tcPr>
            <w:tcW w:w="4880" w:type="dxa"/>
            <w:vAlign w:val="bottom"/>
            <w:gridSpan w:val="4"/>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102</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Exhibits Index</w:t>
            </w:r>
          </w:p>
        </w:tc>
        <w:tc>
          <w:tcPr>
            <w:tcW w:w="9420" w:type="dxa"/>
            <w:vAlign w:val="bottom"/>
            <w:gridSpan w:val="25"/>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103</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105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9060" w:type="dxa"/>
            <w:vAlign w:val="bottom"/>
            <w:gridSpan w:val="2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0E32E1"/>
              </w:rPr>
              <w:t>F-</w:t>
            </w:r>
            <w:r>
              <w:rPr>
                <w:rFonts w:ascii="Times New Roman" w:cs="Times New Roman" w:eastAsia="Times New Roman" w:hAnsi="Times New Roman"/>
                <w:sz w:val="14"/>
                <w:szCs w:val="14"/>
                <w:color w:val="0000FF"/>
              </w:rPr>
              <w:t>1</w:t>
            </w:r>
          </w:p>
        </w:tc>
      </w:tr>
      <w:tr>
        <w:trPr>
          <w:trHeight w:val="968"/>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186"/>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8240" w:type="dxa"/>
            <w:vAlign w:val="bottom"/>
            <w:tcBorders>
              <w:bottom w:val="single" w:sz="8" w:color="CCEEFF"/>
            </w:tcBorders>
          </w:tcPr>
          <w:p>
            <w:pPr>
              <w:spacing w:after="0"/>
              <w:rPr>
                <w:sz w:val="16"/>
                <w:szCs w:val="16"/>
                <w:color w:val="auto"/>
              </w:rPr>
            </w:pPr>
          </w:p>
        </w:tc>
      </w:tr>
      <w:tr>
        <w:trPr>
          <w:trHeight w:val="17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1940</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2017-1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2017-1, terminated in February 2023</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2018-1, terminated in October 2024</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2019-1, terminated in October 2024</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 due 2024, matured August 1, 2024</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 due 2025, redeemed in May 2022</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 due 2025</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 due 2025, exchanged for 2027 Notes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2025 6.85% Notes, 2025 5.00% Notes and 2025 8.125%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 due 2027</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8.625%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2029 8.50% Notes and 2029 8.625%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ABL</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ACL</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30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Acquisition</w:t>
            </w:r>
          </w:p>
        </w:tc>
        <w:tc>
          <w:tcPr>
            <w:tcW w:w="8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w:t>
            </w:r>
          </w:p>
        </w:tc>
      </w:tr>
      <w:tr>
        <w:trPr>
          <w:trHeight w:val="191"/>
        </w:trPr>
        <w:tc>
          <w:tcPr>
            <w:tcW w:w="32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stock of NBNYC</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Lending Program</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ATM Equity Distribution Agreement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Distribution Agreement, dated November 17, 2023, by and among the Company and the placement agents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BDC</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BHCA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Holding Company Act of 1956</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Code</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former dividend reinvestment plan</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2015 Stock Incentive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2023 Stock Incentive Plan</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Program</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488"/>
        </w:trPr>
        <w:tc>
          <w:tcPr>
            <w:tcW w:w="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4</w:t>
            </w:r>
          </w:p>
        </w:tc>
      </w:tr>
      <w:tr>
        <w:trPr>
          <w:trHeight w:val="278"/>
        </w:trPr>
        <w:tc>
          <w:tcPr>
            <w:tcW w:w="3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LCM</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Loan-to-Value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National Bank of New York City, which has been renamed Newtek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NOO</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Non-owner occupied</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Paycheck Protection Program</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Small-and-medium sized businesses; revenue from $1.0 million to $100.0 million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NALH, and Capital One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NALH, and Deutsche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NALH, and One Florida Bank</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202"/>
        </w:trPr>
        <w:tc>
          <w:tcPr>
            <w:tcW w:w="30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r>
      <w:tr>
        <w:trPr>
          <w:trHeight w:val="18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Subsidiaries</w:t>
            </w:r>
          </w:p>
        </w:tc>
        <w:tc>
          <w:tcPr>
            <w:tcW w:w="8240" w:type="dxa"/>
            <w:vAlign w:val="bottom"/>
            <w:tcBorders>
              <w:bottom w:val="single" w:sz="8" w:color="CCEEFF"/>
            </w:tcBorders>
          </w:tcPr>
          <w:p>
            <w:pPr>
              <w:spacing w:after="0"/>
              <w:rPr>
                <w:sz w:val="15"/>
                <w:szCs w:val="15"/>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Business Lending, LLC, a former wholly-owned subsidiary of Newtek Bank, merged into SBL on May 2, 2023</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NALH or Newtek ALP Holdings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 a wholly-owned subsidiary of NBC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 Money, LLC, a wholly-owned subsidiary of NMS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 Business Lending, LLC, a wholly-owned subsidiary of Newtek Bank</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Insurance Agency, LLC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 an 88.34% owned consolidated subsidiary</w:t>
            </w:r>
          </w:p>
        </w:tc>
      </w:tr>
      <w:tr>
        <w:trPr>
          <w:trHeight w:val="202"/>
        </w:trPr>
        <w:tc>
          <w:tcPr>
            <w:tcW w:w="3040" w:type="dxa"/>
            <w:vAlign w:val="bottom"/>
            <w:shd w:val="clear" w:color="auto" w:fill="CCEEFF"/>
          </w:tcPr>
          <w:p>
            <w:pPr>
              <w:spacing w:after="0"/>
              <w:rPr>
                <w:sz w:val="17"/>
                <w:szCs w:val="17"/>
                <w:color w:val="auto"/>
              </w:rPr>
            </w:pPr>
          </w:p>
        </w:tc>
        <w:tc>
          <w:tcPr>
            <w:tcW w:w="8240" w:type="dxa"/>
            <w:vAlign w:val="bottom"/>
            <w:shd w:val="clear" w:color="auto" w:fill="CCEEFF"/>
          </w:tcPr>
          <w:p>
            <w:pPr>
              <w:spacing w:after="0"/>
              <w:rPr>
                <w:sz w:val="17"/>
                <w:szCs w:val="17"/>
                <w:color w:val="auto"/>
              </w:rPr>
            </w:pPr>
          </w:p>
        </w:tc>
      </w:tr>
      <w:tr>
        <w:trPr>
          <w:trHeight w:val="18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8240" w:type="dxa"/>
            <w:vAlign w:val="bottom"/>
            <w:tcBorders>
              <w:bottom w:val="single" w:sz="8" w:color="CCEEFF"/>
            </w:tcBorders>
          </w:tcPr>
          <w:p>
            <w:pPr>
              <w:spacing w:after="0"/>
              <w:rPr>
                <w:sz w:val="15"/>
                <w:szCs w:val="15"/>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NCL JV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 a 50% owned joint venture</w:t>
            </w: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484"/>
        </w:trPr>
        <w:tc>
          <w:tcPr>
            <w:tcW w:w="304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30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FORWARD-LOOKING STATEMENTS AND PROJECTIONS</w:t>
      </w:r>
    </w:p>
    <w:p>
      <w:pPr>
        <w:spacing w:after="0" w:line="1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This report contains forward-looking statements that involve substantial risks and uncertainties, including the impacts of changes in base interest rates and significant market volatility on our business, our subsidiaries, our industry, and the global economy. These forward-looking statements are not historical facts, but rather are based on current expectations, estimates and projections about the Company,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forward-looking statements contained in this report involve risks and uncertainties, including statements as to:</w:t>
      </w:r>
    </w:p>
    <w:p>
      <w:pPr>
        <w:spacing w:after="0" w:line="23"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1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operate and lend to;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right="500" w:hanging="260"/>
        <w:spacing w:after="0" w:line="253"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our ability to operate our subsidiary Newtek Bank, a national bank regulated and supervised by the OCC, and the increased compliance and other costs associated with such operations; and</w:t>
      </w: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196"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impair our and our subsidiaries’ ability to continue to operate or repay borrowings, which could adversely affect our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which could impair our lending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could adversely affect our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financial markets and the global macroeconomic and geopolitical environment, including higher inflation and its impacts;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interest rates and the impacts on macroeconomic conditions and our funding costs;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continue to originate loans under the SBA 7(a) program, maintain PLP status, sell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 These risks and uncertainties include those described or identified in “Item 1A. Risk Factors” and elsewhere in this report. 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report are excluded from the safe harbor protection provided by Section 27A of the Securities Act and Section 21E of the Exchange Act.</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91"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4"/>
          <w:szCs w:val="14"/>
          <w:color w:val="auto"/>
        </w:rPr>
        <w:t>We are a financial holding company subject to the regulation and supervision of the Federal Reserve and the Federal Reserve Bank of Atlanta that, together with our consolidated subsidiaries, provides a wide range of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w:t>
      </w:r>
    </w:p>
    <w:p>
      <w:pPr>
        <w:spacing w:after="0" w:line="10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 xml:space="preserve">Prior to January 6, 2023 and during the entirety of the 2022 fiscal year, we operated as an internally managed non-diversified closed-end management investment company that was regulated as a BDC under the 1940 Act, and was treated as a RIC under the Code for U.S. federal income tax purposes. See “Executive Overview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Conversion to a Financial Holding Company.</w:t>
      </w:r>
      <w:r>
        <w:rPr>
          <w:rFonts w:ascii="Times New Roman" w:cs="Times New Roman" w:eastAsia="Times New Roman" w:hAnsi="Times New Roman"/>
          <w:sz w:val="14"/>
          <w:szCs w:val="14"/>
          <w:i w:val="1"/>
          <w:iCs w:val="1"/>
          <w:color w:val="auto"/>
        </w:rPr>
        <w:t>”</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to our bank subsidiary, Newtek Bank and its consolidated subsidiary, SBL, the following are our consolidated non-bank direct and indirect subsidiaries: Newtek Small Business Finance, LLC (NSBF); Newtek Merchant Solutions, LLC (NMS) and its subsidiary Mobil Money, LLC; CDS Business Services, Inc. d/b/a Newtek Business Credit Solutions (NBC); PMTWorks Payroll, LLC d/b/a Newtek Payroll and Benefits Solutions (PMT); Newtek Insurance Agency, LLC (NIA); Titanium Asset Management LLC (TAM); Newtek ALP Holdings; Newtek Commercial Lending, Inc. (NCL); Newtek Technology Solutions, Inc. (NTS) and POS on Cloud, LLC, d/b/a Newtek Payment Systems (POS). As a result of commitments made to the Federal Reserve, the Company divested of NTS on January 2, 2025, by selling NTS to Paltalk, Inc. (“Paltalk”), now known as Intelligent Protection Management Corp. (“IPM”). See “NOTE 25—SUBSEQUENT EVENTS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As a result of our conversion to a financial holding company, comparisons to December 31, 2022 include adjustments made to reconcile prior investment company accounting to the current financial holding company accounting requirements. (See NOTE 1—DESCRIPTION OF BUSINESS AND BASIS OF PRESENTATION)</w:t>
      </w:r>
    </w:p>
    <w:p>
      <w:pPr>
        <w:spacing w:after="0" w:line="143" w:lineRule="exact"/>
        <w:rPr>
          <w:sz w:val="20"/>
          <w:szCs w:val="20"/>
          <w:color w:val="auto"/>
        </w:rPr>
      </w:pPr>
    </w:p>
    <w:p>
      <w:pPr>
        <w:ind w:right="4380"/>
        <w:spacing w:after="0" w:line="290" w:lineRule="auto"/>
        <w:rPr>
          <w:sz w:val="20"/>
          <w:szCs w:val="20"/>
          <w:color w:val="auto"/>
        </w:rPr>
      </w:pPr>
      <w:r>
        <w:rPr>
          <w:rFonts w:ascii="Times New Roman" w:cs="Times New Roman" w:eastAsia="Times New Roman" w:hAnsi="Times New Roman"/>
          <w:sz w:val="14"/>
          <w:szCs w:val="14"/>
          <w:b w:val="1"/>
          <w:bCs w:val="1"/>
          <w:color w:val="auto"/>
        </w:rPr>
        <w:t>NewtekOne is a Technology Enabled Financial Holding Company Offering Business and Financials Solutions to its Client Base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NewTracker</w:t>
      </w:r>
      <w:r>
        <w:rPr>
          <w:rFonts w:ascii="Times New Roman" w:cs="Times New Roman" w:eastAsia="Times New Roman" w:hAnsi="Times New Roman"/>
          <w:sz w:val="18"/>
          <w:szCs w:val="18"/>
          <w:i w:val="1"/>
          <w:iCs w:val="1"/>
          <w:color w:val="auto"/>
          <w:vertAlign w:val="superscript"/>
        </w:rPr>
        <w:t>®</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NewTracker is our primary tool for acquiring business referrals without traditional bankers, bank branches, brokers or business development officers. We have an established and reliable platform that is not limited by client size, industry type, or location. As a result, we believe we have a strong and diversified client base across the United States and across a variety of different industries. In addition, we have developed a financial and technology based business model that enables us to acquire and process our independent business owner clients in a cost effective manner. This capability is supported in large part by NewTracker®, our patented prospect management technology software, which is similar to, but we believe better suited for our needs than, the system popularized by Salesforce.com and similar providers.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2003, we began instituting and developing our strategy of acquiring clients primarily through alliance-based relationships and managing customer inquiry through our patented NewTracker system. We have hundreds of alliance partners signed up to Referral Promotion Agreements or BizExec Agreements, where the alliance partner can receive a referral fee once the referral generates an account opening, which can include but is not limited to a loan, merchant account, payroll account, insurance policy, technological solution, or bank account.</w:t>
      </w:r>
    </w:p>
    <w:p>
      <w:pPr>
        <w:spacing w:after="0" w:line="15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Through our NewTracker platform, we have historically received hundreds of unique referrals a day from alliance partners which include large commercial banks, community banks, credit unions, trade associations, accounting firms, law firms, and small business client aggregators. We process these referrals using non-traditional bankers that we refer to as Business Service Specialists (“BSS”). By utilizing NewTracker, we provide complete transparency to our alliance partners who can track and view the processing of their referral through the close of the transaction, whether it is a loan, the opening of a merchant processing account or payroll account, or an insurance policy. In addition, we leverage software with to extract, process and exchange information from borrowers and businesses in need of a business or financial solution.</w:t>
      </w:r>
    </w:p>
    <w:p>
      <w:pPr>
        <w:spacing w:after="0" w:line="1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In addition, our strategy and platform for client acquisition without the expense of bank branches, traditional bankers, brokers, or business development officers, enables Newtek Bank to operate at efficiency ratios that are typically and traditionally lower than Newtek Bank’s competitors in the banking industry. Our platform also allows us to track the efficiency of our staff by analyzing, among other things, customer connect rates, close rates, and the number of transactions that each BSS can process with a client daily, weekly, monthly and quarterly.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Additionally, through NewTracker we maintain a database of what products have been offered to potential clients even if a deal is not closed. That information allows us to revisit that referral over the course of time and continue to solicit business targeting independent business owners as we continue to develop new best in class business and financial solutions. We regularly contact current and prospective clients in our database through email, videos and outbound calling efforts, and we are in the early stages of a digital and social media campaign. By connecting with clients in our database regularly and consistently, on camera and with educational videos, webinars, and podcasts, we believe we have developed an efficient way to grow our sales and marketing plan and improve 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brand awareness and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Newtek Advantage</w:t>
      </w:r>
      <w:r>
        <w:rPr>
          <w:rFonts w:ascii="Times New Roman" w:cs="Times New Roman" w:eastAsia="Times New Roman" w:hAnsi="Times New Roman"/>
          <w:sz w:val="18"/>
          <w:szCs w:val="18"/>
          <w:color w:val="auto"/>
          <w:vertAlign w:val="superscript"/>
        </w:rPr>
        <w:t>®</w:t>
      </w:r>
    </w:p>
    <w:p>
      <w:pPr>
        <w:spacing w:after="0" w:line="143"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4"/>
          <w:szCs w:val="14"/>
          <w:color w:val="auto"/>
        </w:rPr>
        <w:t>In addition, we have begun to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(patent pending),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we believe is a differentiating business tool that business owners can use in one or more areas of their core business operations. For example, the Newtek Advantage provides independent business owners with instant access to a team of NewtekOne business and financial solutions experts, who are available on camera 24/7/365 (with the ability to share videos, presentations, and analytical data), in the areas of Business Lending, Electronic Payment Processing, personal and commercial lines Insurance Services and Payroll and Benefits Solutions. Moreover,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our Newtek Payroll (PMT) clients to make payroll directly from the Newtek Advantage business portal. In addition, we recently announced that the Newtek Advantage now integrates with Intuit QuickBooks®, providing independent business owners with a real-time snapshot into their finances. We believe the Newtek Advantage can, among other things, enable Newtek Bank to grow core business transactional deposits, and provide our existing and new clients with an “advantage” in successfully running their businesses.</w:t>
      </w:r>
    </w:p>
    <w:p>
      <w:pPr>
        <w:spacing w:after="0" w:line="17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We believe that our NewTracker and Newtek Advantage technological innovations supports our business strategy of being a true technology enable financial holding company, without branches, traditional bankers, brokers or business development officers. We believe that our technology and business platform distinguishes us from our competitors.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NewtekOne’s Business and Financial Solutions Ecosystem</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NewtekOne and its subsidiaries provide independent business owners with the following Newtek® branded business and financial solutions: Newtek Banking, Newtek Lending, Newtek Payments, Newtek Insurance and Newtek Payroll. In addition, since the divestiture of NTS to IPM, we offer our our clients the Technology Solutions (Cloud Computing, Data Backup, Storage and Retrieval, IT Consulting and Web Services) provided by Intelligent Protection Management Corp. (IPM.com) (formerly known as 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Banking</w:t>
      </w:r>
    </w:p>
    <w:p>
      <w:pPr>
        <w:spacing w:after="0" w:line="202" w:lineRule="exact"/>
        <w:rPr>
          <w:sz w:val="20"/>
          <w:szCs w:val="20"/>
          <w:color w:val="auto"/>
        </w:rPr>
      </w:pPr>
    </w:p>
    <w:p>
      <w:pPr>
        <w:jc w:val="both"/>
        <w:ind w:right="260"/>
        <w:spacing w:after="0" w:line="287" w:lineRule="auto"/>
        <w:rPr>
          <w:sz w:val="20"/>
          <w:szCs w:val="20"/>
          <w:color w:val="auto"/>
        </w:rPr>
      </w:pPr>
      <w:r>
        <w:rPr>
          <w:rFonts w:ascii="Times New Roman" w:cs="Times New Roman" w:eastAsia="Times New Roman" w:hAnsi="Times New Roman"/>
          <w:sz w:val="14"/>
          <w:szCs w:val="14"/>
          <w:color w:val="auto"/>
        </w:rPr>
        <w:t>We have centralized our Newtek Lending Platform within Newtek Bank, our commercial bank, except for our ALP lending business, discussed herein. Newtek Bank originates, services and sells SBA 7(a) loans in a similar manner to NSBF’s historic business model and originates and services SBA 504 loans, C&amp;I loans (including ABL), and owner occupied CRE and investor CRE loans.</w:t>
      </w:r>
    </w:p>
    <w:p>
      <w:pPr>
        <w:spacing w:after="0" w:line="14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Prior to the Acquisition of Newtek Bank, our SBA 7(a) lending operations were conducted by NSBF, our SBA licensed non-bank lender. The Company’s business plan prepared in connection with the Acquisition provided for all SBA 7(a) loan originations to be transitioned to Newtek Bank and for NSBF to cease originations of SBA 7(a) loans. To that end, on April 13, 2023, the Company, NSBF and the SBA entered into an agreement to, among other things, transition NSBF’s SBA 7(a) pipeline of new loans to Newtek Bank and wind-down NSBF’s operations (the "Wind-down Agreement"). NSBF is in the process of winding-down its operations and will continue to own the SBA 7(a) loans and PPP Loans currently in its SBA loan portfolio to maturity, liquidation, charge-off or (subject to SBA’s prior written approval) sale or transfer. Newtek Bank’s subsidiary SBL now services and liquidates NSBF’s SBA loan portfolio, including processing forgiveness and loan reviews for PPP Loans, pursuant to an SBA approved lender service provider agreement. In addition, during the wind-down process, NSBF is subject to minimum capital requirements established by the SBA, is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previously originated and sold by NSBF. The Company has guaranteed NSBF’s obligations to the SBA and has funded a $10.0 million account at Newtek Bank to secure these potential obligations.</w:t>
      </w:r>
    </w:p>
    <w:p>
      <w:pPr>
        <w:spacing w:after="0" w:line="16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In addition, Newtek Bank offers depository services and solutions. Newtek Bank’s commercial banking clients can take advantage of our full offerings of business and financial solutions via the Newtek Advantage business portal.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Newtek Bank's Business and Financial Solutions Include:</w:t>
      </w:r>
    </w:p>
    <w:p>
      <w:pPr>
        <w:spacing w:after="0" w:line="2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SBA 7(a) Lending</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Newtek Bank’s Lending platform, which generates a material portion of our revenues, includes loans originated under the federal Section 7(a) loan program (“SBA 7(a) Program”), i.e., SBA 7(a) loans. The SBA is an independent government agency that facilitates one of the nation’s largest sources of financing to independent business owners of SMBs by providing credit guarantees for its loan programs. SBA 7(a) loans are partially guaranteed by the SBA, with SBA guarantees typically ranging between 50% and 90% of the principal and interest due on SBA 7(a) loans. Under the SBA 7(a) program, a bank, such as Newtek Bank, or a nonbank lender licensed by the SBA, such as NSBF, underwrites a loan between $5,000 and $5.0 million for a variety of general business purposes based on the SBA’s loan program requirements. Receipts of principal and interest (and in situations involving default recoveries and expenses) on a SBA 7(a) loan are shared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between the SBA and the lender, which substantially can reduce the loss severity on the unguaranteed portion of a loan held by the originators of SBA 7(a) loans. SBA 7(a) loans are typically between ten and 25 years in maturity and bear interest at the prime rate plus a spread from 1.50% to 6.50%. The Company estimates the duration of these loans to be between four and five years. Since the guaranteed portions of SBA 7(a) loans carry the full faith and credit of the U.S. government, lenders may, and frequently do, sell the guaranteed portion of SBA 7(a) loans (subject to certain conditions) in the capital markets, hold the unguaranteed portion and retain all loan servicing rights.</w:t>
      </w:r>
    </w:p>
    <w:p>
      <w:pPr>
        <w:spacing w:after="0" w:line="16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of February 10, 2025, Newtek Bank was the largest SBA 7(a) lender in the U.S. by dollar loan approval volume, approving over $1 billion of SBA 7(a) during the first 4.5 months of the SBA’s fiscal year 2025 according to SBA.gov statistics.</w:t>
      </w:r>
    </w:p>
    <w:p>
      <w:pPr>
        <w:spacing w:after="0" w:line="13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From 2012 through December 31, 2022, our subsidiary NSBF, was consistently the largest non-bank SBA 7(a) lender in the U.S. based on dollar volume of loan approvals, and, as of December 31, 2022, was the third largest SBA 7(a) lender in the United States. As of December 31, 2024 (the SBA’s first quarter of fiscal year 2025), Newtek Bank is the nation’s largest SBA 7(a) lender. Newtek Bank received PLP status in April 2023, a designation whereby the SBA authorizes the most experienced SBA lenders to place SBA guarantees on loans without seeking prior SBA review and approval. PLP status has allowed Newtek Bank (and historically NSBF) to serve our clients in an expedited manner since we are not required to present applications to the SBA for concurrent review and approval. All new SBA 7(a) loan originations were transitioned to Newtek Bank in April 2023.</w:t>
      </w:r>
    </w:p>
    <w:p>
      <w:pPr>
        <w:spacing w:after="0" w:line="16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NewtekOne has a dedicated Senior Lending Team (as defined below) that is now supporting Newtek Bank’s origination and servicing of SBA 7(a) loans to qualifying independent business owners. Our SBA 7(a) business model is to originate SBA 7(a) loans, sell the guaranteed portions of the SBA 7(a) loans, typically within thirty to forty-five days of origination, and retain the unguaranteed portions. Historically, NSBF would accumulate sufficient unguaranteed portions of SBA 7(a) loans for securitization. In a securitization, the unguaranteed portions of SBA 7(a) loans are transferred to a special purpose vehicle (a “Trust”), which in turn issues notes against the Trust’s assets in private placements. The Trust’s primary source of income for repaying the securitization notes is the cash flows generated from the unguaranteed portion of SBA 7(a) loans owned by the Trust. Principal on the securitization notes is paid by cash flows in excess of that needed to pay various fees related to the operation of the Trust and interest on the debt. Securitization notes have an expected maturity of approximately five years, and the Trust is dissolved when the securitization notes are paid in full, either at or prior to maturity. NSBF completed eleven (11) securitizations with Standard &amp; Poor’s AA or A ratings and advance rates as high as 83.5% of par value. NSBF’s last securitization occurred in June 2023, when it sold (and we increased our secured borrowings by) $103.9 million of Unguaranteed SBA 7(a) Loan-Backed Notes, Series 2023-1, consisting of $84.3 million of Class A Notes and $19.6 million Class B Notes, rated “A-” and “BBB-”, respectively, by S&amp;P Global, Inc. Newtek Bank intends to use core deposits to fund SBA 7(a) loans and does not currently plan to securitize the unguaranteed portions of SBA 7(a) loans it originates, but may do so in the future. In addition, Newtek Bank may determine to retain the government guaranteed portions of SBA 7(a) loans for longer periods, pending deployment of excess capital.</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We believe our more than twenty years of experience as one of the largest SBA 7(a) lenders, provides us with a distinct competitive advantage over other lenders that have not overcome significant barriers-to-entry into our primary loan market. We originated $943.0 million of SBA 7(a) loans during 2024 and $814.4 million of SBA 7(a) loans during 2023. We believe that we will continue to be introduced to a variety of high-quality lending opportunities through our existing loan sourcing channels and our subsidiaries’ relationships with their clients.</w:t>
      </w:r>
    </w:p>
    <w:p>
      <w:pPr>
        <w:spacing w:after="0" w:line="1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have a dedicated capital markets team that sells the guaranteed portions of our SBA 7(a) loans shortly after origination, and we retain the unguaranteed portions. Historically, we have sold SBA guaranteed portions of SBA 7(a) loans at premiums. See MD&amp;A “Net Gains on Sales of Loans.” Any portion of the premium that is above 110% of par value is shared equally between us and the SBA. However, there is no guarantee that Newtek Bank will be able to continue to earn premiums within our historical range, or will be able to maintain PLP status. See “Item 1A. Risk Factors - Risks Related to SBA Lending - We have specific risks associated with our secondary market sales of the guaranteed portions of SBA loans.”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have focused on making smaller SBA 7(a) loans, approximately $1.0 million or less, in order to maintain a diversified pool of loans that are dispersed both geographically and among industries, with a goal of limiting our exposure to regional and industry-specific economic downturns. Specifically, as of December 31, 2024, the Company’s SBA 7(a) loan portfolio consisted of 6,968 loans originated across 50 states in 81 different industries as defined by the North American Industry Classification System (“NAICS”).</w:t>
      </w:r>
    </w:p>
    <w:p>
      <w:pPr>
        <w:spacing w:after="0" w:line="15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As discussed below, in addition to SBA 7(a) lending, our Newtek Lending Platform includes the following loan products originated by Newtek Bank: SBA 504 loans, investor commercial real estate (CRE) and C&amp;I loans (including ABL and owner occupied CRE); and as discussed below, ALP loans (formerly referred to as non-conforming conventional loans) originated by our non-bank lender Newtek ALP Holdings and our joint ventures; and SBA 504 loans originated by Newtek ALP Holdings.</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SBA 504 Lending</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Newtek Bank originates SBA 504 loans which provide long-term fixed rate financing for major fixed assets such as real estate (including construction) or equipment. The maximum loan amount for a SBA 504 loan is typically not more than $5.5 million.</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C&amp;I Lending, CRE Lending and ABL Lending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Newtek Bank also originates C&amp;I loans to its commercial customers, which includes ABL loans and owner occupied CRE and investor CRE loans.</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Third Party Loan Servicing and Loan Origination Services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SBL, Newtek Bank’s subsidiary, provides our affiliates, subsidiaries and third-parties, including banks, credit unions and government agencies, including the FDIC, with loan servicing for SBA and non-SBA loans. In addition, SBL provides our affiliates, subsidiaries and third-parties with outsourced solutions for the entire loan origination process, including credit analysis, structuring and eligibility, packaging, closing compliance and servicing. For example, SBL originates and services ALP and 504 loans for our Newtek ALP Holdings subsidiary and ALP loans for our joint ventures (see below).</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Deposits and Depository Services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are focused on growing and retaining a stable deposit base and deepening relationships with Newtek Bank’s current and prospective deposit customers by leveraging Newtek Bank’s customer-direct, easy-to-use, digital account opening platform. Newtek Bank is a digital direct bank with no branch network that obtains retail deposits directly from customers. Following the Acquisition of Newtek Bank and its $137 million deposit portfolio, we launched our High Yield Savings and Retail CD product offerings in March and April of 2023. Since that time, we have grown Newtek Bank’s deposit base rapidly and have offered competitive market rates using an account opening process that is straightforward with limited interaction. In December of 2023 we launched our Business Checking product offering and were successful in growing Newtek Bank’s business banking deposit base, which helped us surpass $1 billion in deposits as of December 31, 2024. Newtek Bank has maintained strong customer acquisition and retention rates and expects to continue to drive growth in retail and business banking deposits. Additionally, we implemented a suite of software solutions that facilitates gathering and servicing deposits from our existing and prospective independent business owner clients, further diversifying our client base. We supplement Newtek Bank’s customer deposit base with a series of wholesale funding options, which consist of product offerings to community banks and credit unions, as well as fundings in the brokered CD market. Refer to NOTE 11 —DEPOSITS for a breakdown of deposits and deposit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ALP Holdings</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The mission of the Newtek alternative lending program (ALP) is to generally provide access to capital to independent business owners that may not have qualified under the SBA 7(a) Program due to issues of program eligibility, loan size or a loan maturity that exceeds SBA guidelines. ALP Loans (defined below) are intended for independent business owners who prefer 10-25 year amortizing loans with no balloon payments and no loan covenants, and who are willing to provide personal guarantees, liens on business and personal assets and pay higher interest rates. ALP loans are funding by us at origination utilizing a combination of capital contributions from our financial holding company and warehouse lines of credit from unaffiliated third party financial institutions through NBL SPV I, II and III, LLC. ALP loans are typically sold individually or securitized after reaching a necessary size on our balance sheet. As described below, we have sold individual loans to joint ventures to in order to free up funds to originate new ALP loans and to share in the risk and rewards of our ALP loans. The loans are typically transferred with servicing retained.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May 20, 2019, the Company and its joint venture partner launched Newtek Conventional Lending, LLC (NCL JV) to provide our ALP loans (formerly referred to as non-conforming conventional commercial and industrial term loans) to U.S. middle-market companies and small businesses. NCL JV is a 50/50 joint venture between Newtek Commercial Lending, Inc. (NCL) a wholly-owned subsidiary of NewtekOne, and Conventional Lending TCP Holding, LLC,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a Deutsche Bank credit facility and return capital to the NCL JV partners.</w:t>
      </w:r>
    </w:p>
    <w:p>
      <w:pPr>
        <w:spacing w:after="0" w:line="1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On August 5, 2022, NewtekOne launched its second joint venture to invest in ALP loans. Newtek-TSO II Conventional Credit Partners, LP (Newtek-TSO JV). NCL and TSO II entered into a joint venture, Newtek-TSO JV, governed by the Amended and Restated Limited Partnership Agreement for the Newtek-TSO JV. NCL and TSO II each committed to contribute an equal share of equity funding to the Newtek-TSO JV with each having equal voting rights on all material matters. Newtek-TSO JV deployed capital with additional leverage supported by a warehouse line of credit. From the fourth quarter of 2022 through the third quarter of 2024, Newtek-TSO JV made investments in ALP loans originated by Newtek ALP Holdings to middle-market companies as well as independent business owners. On July 23, 2024, Newtek- TSO JV closed a securitization backed by ALP loans, selling $137.2 million of Class A Notes and $17.2 million of Class B Notes (collectively, the “TSO Notes”) issued by NALP Business Loan Trust 2024-1. The TSO Notes were backed by $190.5 million of collateral consisting of ALP loans originated by Newtek ALP Holdings. The Class A and Class B Notes received Morningstar DBRS ratings of “A (sf)” and “BBB (high) (sf),”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Payments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NewtekOne’s business and financial solutions ecosystem also includes its Newtek Payments businesses, which includes our subsidiaries Newtek Merchant Solutions, LLC (NMS), Mobil Money, LLC (Mobil Money, an NMS subsidiary) and POS on Cloud, LLC, d/b/a Newtek Payment Systems (POS).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NMS</w:t>
      </w:r>
    </w:p>
    <w:p>
      <w:pPr>
        <w:spacing w:after="0" w:line="20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NMS markets credit and debit card processing services, check approval services, ACH services, processing equipment, and software. NMS utilizes a multi-pronged sales approach of both direct and indirect sales. NMS’ primary sales efforts focus on direct sales through our 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brands. Our indirect sales channels consist of alliance partners, principally financial institutions (banks, credit unions, insurance companies and other related businesses), and independent sales agents across the United States. These referring organizations and associations are typically paid a percentage of the processing revenue derived from the respective merchants that they successfully refer to NMS. In 2024, NMS processed merchant transactions with sales volumes of $5.3 billion.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NMS has a number of competitive advantages which we believe will enable it to continue to effectively compete in this market. These are:</w:t>
      </w:r>
    </w:p>
    <w:p>
      <w:pPr>
        <w:spacing w:after="0" w:line="20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on non-traditional business generation: referral relationships, wholesale solicitations and financial institutions rather than independent sales agents;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be a market leader in the implementation of technology in the payment processing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its own staff of trained and skilled customer service representatives;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selling the latest in point-of-sale technology hardware and offers processing related cyber-security services.</w:t>
      </w:r>
    </w:p>
    <w:p>
      <w:pPr>
        <w:spacing w:after="0" w:line="20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NMS maintains its principal customer service and sales support offices in our Lake Success, New York office. NMS’s personnel assist merchants with initial installation of equipment and on-going service, as well as any other special processing needs that they may have.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NMS’ development and growth is focused on selling NMS’ services to internally generated referrals, merchant referrals identified by NewtekOne alliance partners and by independent sales representatives. We believe NMS is different than most electronic payment processing companies who acquire their clients primarily through independent sales agents. NMS believes that its business model provides it with a competitive advantage by enabling it to acquire new merchant customers at a lower cost level for third-party commissions than the industry average. NMS’ business model allows it to own the customer as well as the stream of residual payments, as opposed to models which rely more heavily on independent sales agents.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Mobil Money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Mobil Money, a subsidiary of NMS, generates revenues from providing payment processing for a merchant portfolio of taxi cabs and related licensed payment processing software.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POS</w:t>
      </w:r>
    </w:p>
    <w:p>
      <w:pPr>
        <w:spacing w:after="0" w:line="20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POS is a majority owned subsidiary which sells its cloud based Point of Sale system for a variety of restaurant, retail, assisted living, parks and golf course businesses. POS’ Point of Sale system provides not only payments and purchase technology solutions, but also inventory, customer management, accounting integrations, reporting, employee time clock, table and menu layouts, and e-commerce solutions as the central operating system for an independent business owner.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Technology</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As disclosed in subsequent events herein, on January 2, 2025 the Company completed its previously disclosed divestiture of Newtek Technology Solutions, Inc. (NTS), its wholly-owned subsidiary that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well as SMBs, to IPM, formerly known as Paltalk. NewtekOne intends to continue to offer its clients the Technology Solutions (Cloud Computing, Data Backup, Storage and Retrieval, IT Consulting and Web Services) provided by IPM on a referral fee basis. Refer to “NOTE 25—SUBSEQUENT EVENTS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Payroll, Insurance, and Other</w:t>
      </w:r>
    </w:p>
    <w:p>
      <w:pPr>
        <w:spacing w:after="0" w:line="19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PMTWorks Payroll, LLC d/b/a Newtek Payroll and Benefits Solutions (PMT), is a wholly-owned subsidiary which offers an array of industry standard and competitively priced payroll management, and related payment and tax reporting services to independent business owners. We are focused on PMT customers being a source for the generation of depository accounts for Newtek Bank, which we believe can provide Newtek Bank with business deposits that are not only sticky, but also would allow us to improve the client experience from being able to make payroll directly from the Newtek Advantage.</w:t>
      </w:r>
    </w:p>
    <w:p>
      <w:pPr>
        <w:spacing w:after="0" w:line="162"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Newtek Insurance Agency (NIA), a wholly-owned subsidiary, is a retail and wholesale brokerage insurance agency licensed in all 50 states, specializing in the sale of commercial and health/benefits lines insurance products to independent business owners, as well as the sale of various personal lines of insurance. NIA has recently experienced success in the area of technological innovation, whereby NIA is now able to provide key man life insurance on our loan products without requiring a medical exam or the client filling out lengthy applications NIA is able to accomplish this by automatically transferring data from loan applications to populate an insurance application. We anticipate further automating the sale of property and casualty insurance on lending opportunities.</w:t>
      </w:r>
    </w:p>
    <w:p>
      <w:pPr>
        <w:spacing w:after="0" w:line="16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In addition, our subsidiary TAM provides inbound and outbound calling services to all of our affiliates. TAM’s client success and service specialists answer all inbound communications to our 1-800 lines and connect with our clients who visit www.newtekone.com through video and digital chat. TAM has two primary initiatives: (1) telemarketing into our existing database of NewtekOne referrals for the purpose of introducing our business and financial solutions, and (2) monitoring and improving client experience and ensuring any client issues or complaints are tracked and resolved. We are focused on growing this unit over time and improving its productivity in selling our business and financial solutions directly to our client database and creating warm referrals for our BSS in each vertical. We require that TAM’s client success and service specialists, as well as our BSS teams in each of our businesses, appear on camera on all client interactions, either utilizing our licensed Glia technology or our phone system. Our strategy of not using traditional bankers, brokers, business development officers or physical branches, and in their stead, using our client success and service specialists and BSS who are based in the United States and using a NewtekOne backdrop on camera to give all clients the experience with a live human being they can see and talk to 24/7/365.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b w:val="1"/>
          <w:bCs w:val="1"/>
          <w:color w:val="auto"/>
        </w:rPr>
        <w:t xml:space="preserve"> and NewtekOne</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b w:val="1"/>
          <w:bCs w:val="1"/>
          <w:color w:val="auto"/>
        </w:rPr>
        <w:t xml:space="preserve"> Branding</w:t>
      </w:r>
    </w:p>
    <w:p>
      <w:pPr>
        <w:spacing w:after="0" w:line="15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 xml:space="preserve">We have developed our branded line of business and financial solutions to offer a full service suite of business and financial solutions for independent business owners in the United States. We reach potential customers through our integrated multi-channel approach featuring direct, indirect and direct outbound solicitation efforts. We continue to utilize and grow our primary marketing channel of strategic alliance partners as well as a direct marketing strategy to independent business owner customers through our “go to market” brand,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One Solution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All Your Business Needs</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 Through our web presence,</w:t>
      </w:r>
      <w:r>
        <w:rPr>
          <w:rFonts w:ascii="Times New Roman" w:cs="Times New Roman" w:eastAsia="Times New Roman" w:hAnsi="Times New Roman"/>
          <w:sz w:val="14"/>
          <w:szCs w:val="14"/>
          <w:i w:val="1"/>
          <w:iCs w:val="1"/>
          <w:color w:val="auto"/>
        </w:rPr>
        <w:t xml:space="preserve"> www.newtekone.com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newtekbank.com</w:t>
      </w:r>
      <w:r>
        <w:rPr>
          <w:rFonts w:ascii="Times New Roman" w:cs="Times New Roman" w:eastAsia="Times New Roman" w:hAnsi="Times New Roman"/>
          <w:sz w:val="14"/>
          <w:szCs w:val="14"/>
          <w:color w:val="auto"/>
        </w:rPr>
        <w:t>, we believe we are establishing ourselves as a preferred “go-to” provider for independent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owner financial and business solutions offered by NewtekOne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its subsidiaries, including Newtek Bank</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4"/>
          <w:szCs w:val="14"/>
          <w:color w:val="auto"/>
        </w:rPr>
        <w:t>We believe that our patented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system provides for transparency between NewtekOne and referring parties and has been material in our ability to obtain referrals from a wide variety of sources. The NewTracker system allows us and our alliance partners to review in real time the status of any referral as well as to provide real time compliance oversight by the respective alliance partner, which we believe creates confidence among the referred business client, the referring alliance partner and us. We own the NewTracker® patent, as well as all trademarks and other patented intellectual property used by us and our subsidiaries. Additional referrals are obtained from individual professionals in geographic markets that have signed up to provide referrals and earn commissions through our BizExec and TechExec Programs. In addition, we believe that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dashboard, which patent is pending, is designed to be a management tool for our business clientele that can make their businesses more successful and that our clients can depend 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believe that the limited amount of capital and financial products available to independent business owners, coupled with the desire of these businesses for flexible and partnership-oriented sources of capital and other financial products, creates an attractive environment for us to further expand our business and financial products ecosystem and overall brand. We believe the following factors can continue to provide us with opportunities to grow and deliver attractive returns to shareholders.</w:t>
      </w:r>
    </w:p>
    <w:p>
      <w:pPr>
        <w:spacing w:after="0" w:line="1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independent business owner SMB market represents a large, underserved market. </w:t>
      </w:r>
      <w:r>
        <w:rPr>
          <w:rFonts w:ascii="Times New Roman" w:cs="Times New Roman" w:eastAsia="Times New Roman" w:hAnsi="Times New Roman"/>
          <w:sz w:val="14"/>
          <w:szCs w:val="14"/>
          <w:color w:val="auto"/>
        </w:rPr>
        <w:t>According to a 2024 Small Business Profile published by the SBA,the U.S. independent business owner/SMB</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includes 34.8 million businesses. We believe that SMBs, most of which are privately-held, are relatively underserved by traditional capital providers such as commercial banks, finance companies, hedge funds and collateralized loan obligation funds. Further, we believe that such businesses generally possess conservative capital structures with significant enterprise value cushions, as compared to larger companies with more financing options. While the largest originators of SBA 7(a) loans have traditionally been regional and national banks, from 2012 through 2022, our subsidiary NSBF was consistently the largest non-bank originator of SBA 7(a) loans, and ranked as the third largest SBA 7(a) lender in the United States, including banks. Newtek Bank now ranks as the largest SBA 7(a) lender based on dollar volume of loan approvals as of December 31, 2024, which is the SBA’s first fiscal quarter. As a result, we believe we are well positioned to continue to provide financing to the types of independent business owners that we have historically targeted and we have the technology and infrastructure in place presently to do it cost effectively in all 50 states and across many industries.</w:t>
      </w:r>
    </w:p>
    <w:p>
      <w:pPr>
        <w:spacing w:after="0" w:line="1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Increased demand for comprehensive, business-critical SMB solutions</w:t>
      </w:r>
      <w:r>
        <w:rPr>
          <w:rFonts w:ascii="Times New Roman" w:cs="Times New Roman" w:eastAsia="Times New Roman" w:hAnsi="Times New Roman"/>
          <w:sz w:val="14"/>
          <w:szCs w:val="14"/>
          <w:color w:val="auto"/>
        </w:rPr>
        <w:t>. Increased competition and rapid technological innovation are creating an increasingly competitive business environment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requires independent business owners to fundamentally change the way they manage critical business processes. This environment is characterized by greater focus on increased quality, lower costs, faster turnaround and heightened regulatory scrutiny. To make necessary changes and adequately address these needs, we believe that companies are focusing on their core competencies and utilizing cost-effective outsourced solutions to improve productivity, lower costs and manage operations more efficiently. We provide critical business solutions such as electronic payment processing, personal and commercial insurance services and full-service payroll and benefit solutions, receivables financing, funding of SBA 504 loans, which provide financing of fixed assets such as real estate or equipment, and ALP loans. We believe that each of these market segments are underserved for independent business owners and since we are able to provide comprehensive financial and business solutions under one (the Newtek) platform, we believe that we are well positioned to continue to realize growth from these product offerings. Most importantly our pledge and goal is to enhance our clients’ business and through our solutions make them more successful.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we are well positioned to take advantage of opportunities to provide business and financial solutions to independent business owners due to the following competitive advantages: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Senior Lending Team and Executive Officers. </w:t>
      </w:r>
      <w:r>
        <w:rPr>
          <w:rFonts w:ascii="Times New Roman" w:cs="Times New Roman" w:eastAsia="Times New Roman" w:hAnsi="Times New Roman"/>
          <w:sz w:val="14"/>
          <w:szCs w:val="14"/>
          <w:color w:val="auto"/>
        </w:rPr>
        <w:t>We rely on our Senior Lending Team and executive officers, some of whom have worked together for more than twenty years and have decades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experience in finance-related fields. These professionals have screened opportunities, underwritten new loans and investments and managed a portfolios of SMB loans through two recessions, a credit crunch, the dot-com boom and bust, a historic, leverage-fueled asset valuation bubble, and the COVID-19 pandemic. Each member brings a complementary component to a team well-rounded in finance, accounting, operations, strategy, business law and executive management. We are led by our executive officers under the supervision of our Board. Our executive officers have significant experience in our fields of operations.</w:t>
      </w:r>
    </w:p>
    <w:p>
      <w:pPr>
        <w:spacing w:after="0" w:line="16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Model Enables Attractive Risk-Adjusted Returns on Investment in SBA 7(a) Lending. </w:t>
      </w:r>
      <w:r>
        <w:rPr>
          <w:rFonts w:ascii="Times New Roman" w:cs="Times New Roman" w:eastAsia="Times New Roman" w:hAnsi="Times New Roman"/>
          <w:sz w:val="14"/>
          <w:szCs w:val="14"/>
          <w:color w:val="auto"/>
        </w:rPr>
        <w:t>Our SBA 7(a) loans are structured so as to permit the rapid sale of the U.S. government guaranteed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portions, often within weeks of origination. Newtek Bank has determined to retain the unguaranteed portions of SBA 7(a) loans funded through its consumer and retail deposit bases. Selling the guaranteed portion provides Newtek Bank the ability to efficiently manage its balance sheet and returns, by reducing the funding needed for future originations and recording premiums that typically provide revenue that have more than offset the provision for credit losses on the retained unguaranteed portion. Historically, the unguaranteed portions have been successfully securitized, with the securitization notes being sold, usually within a year of loan origination. Newtek Bank may seek to securitize or otherwise finance these loans in the future. The return of principal and premium may result in an advantageous risk-weighted return on our original investment in each loan.</w:t>
      </w:r>
    </w:p>
    <w:p>
      <w:pPr>
        <w:spacing w:after="0" w:line="16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State of the Art Technology. </w:t>
      </w:r>
      <w:r>
        <w:rPr>
          <w:rFonts w:ascii="Times New Roman" w:cs="Times New Roman" w:eastAsia="Times New Roman" w:hAnsi="Times New Roman"/>
          <w:sz w:val="14"/>
          <w:szCs w:val="14"/>
          <w:color w:val="auto"/>
        </w:rPr>
        <w:t>Our patented NewTracker® software enables us to acquire an SMB customer cost effectively, process the application or inquiry, assemble necessary documents,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complete the transaction and create a daily reporting system that is sufficiently unique as to receive a U.S. patent. NewTracker® enables us to identify a transaction, similar to a merchandise barcode or the customer management system used by SalesForce.com, then process a business transaction and generate internal reports used by management and external reports for strategic referral partners. NewTracker® allows our referral partners to have digital access into our back office and follow on a real time, 24/7 basis the processing of their referred customers. NewTracker® has been applied to all of the business and financial solutions we offer directly or through our subsidiaries. In addition,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provides independent business owners with, among other things, a business tool they can use in one or more areas of their core business operations. including instant access to a team of NewtekOne business and financial solutions experts all of NewtekOne’s business and financial solutions.</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Established Direct Origination Platform with Extensive Deal Sourcing Infrastructure. </w:t>
      </w:r>
      <w:r>
        <w:rPr>
          <w:rFonts w:ascii="Times New Roman" w:cs="Times New Roman" w:eastAsia="Times New Roman" w:hAnsi="Times New Roman"/>
          <w:sz w:val="14"/>
          <w:szCs w:val="14"/>
          <w:color w:val="auto"/>
        </w:rPr>
        <w:t>We have established a direct loan origination pipeline for opportunities without the necessity for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institutions or brokers as well as broad marketing channels that we believe allow for highly selective underwriting. We believe the combination of our alliance relationships, brand, portal, patented NewTracker® technology, and brand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xml:space="preserve"> have created an extensive deal sourcing infrastructure. Although we pay fees for loan originations that are referred to us by our alliance partners, our lending team works directly with the borrower to assemble and underwrite loans. We rarely invest in pre-assembled loans that are sold by investment banks or brokers. As a result, we believe that our unique national origination platform allows us to originate attractive credits at a low cost. We anticipate that our principal loan origination and other business opportunities will continue to be the same types of independent business owners to which we currently provide financing. Our executive officers and Senior Lending Team also seek to leverage our extensive network of additional referral sources, including law firms, accounting firms, financial, operational and strategic consultants and financial institutions, with whom we have closed opportunities. We believe our current infrastructure and expansive relationships will continue to enable us to review a significant amount of direct (or non-brokered) business opportunities.</w:t>
      </w:r>
    </w:p>
    <w:p>
      <w:pPr>
        <w:spacing w:after="0" w:line="16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Flexible, Customized Financial Solutions for Seasoned, Independent Business Owners. </w:t>
      </w:r>
      <w:r>
        <w:rPr>
          <w:rFonts w:ascii="Times New Roman" w:cs="Times New Roman" w:eastAsia="Times New Roman" w:hAnsi="Times New Roman"/>
          <w:sz w:val="14"/>
          <w:szCs w:val="14"/>
          <w:color w:val="auto"/>
        </w:rPr>
        <w:t>While Newtek Bank’s primary focus will be to expand its lending activities by providing a full suite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commercial loans to independent business owners, we also seek to offer independent business owners a variety of attractive financial solutions, as well as cost effective and efficient business solutions, to meet their capital needs through Newtek Bank and our nonbank subsidiaries. In particular, we offer larger loans, between $5.0 million and $15.0 million and in some cases through our nonbank subsidiaries, greater than loans available with the SBA guarantee, but with a higher interest rate to compensate for the increased risk. Unlike many of our competitors, we believe we have the business finance ecosystem that allows us to provide a complete package of business and financial solutions for independent business owners, which allows for cross-selling opportunities and improved client retention. We expect that a large portion of our capital will be loaned to companies that need growth capital, acquisition financing or funding to recapitalize or refinance existing debt facilities. Our lending will continue to focus on making loans to independent business owners that:</w:t>
      </w:r>
    </w:p>
    <w:p>
      <w:pPr>
        <w:spacing w:after="0" w:line="165"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3 to 10 years of operational history;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experience in management;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worthy owners who must provide a personal guarantee that are joint and several for every 20% owner for our loans;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 a strong balance sheet to collateralize our loans;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 sufficient cash flow to be able to service the payments on our loans comfortably.</w:t>
      </w:r>
    </w:p>
    <w:p>
      <w:pPr>
        <w:spacing w:after="0" w:line="20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Although we may make loans to start-up businesses, we generally seek to avoid lending to high-risk, early-stage enterprises that are only beginning to develop their market share or build their management and operational infrastructure with limited collateral. These types of loans comprise a small percentage of our loan originations.</w:t>
      </w:r>
    </w:p>
    <w:p>
      <w:pPr>
        <w:spacing w:after="0" w:line="1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Disciplined Underwriting Policies and Rigorous Portfolio Management</w:t>
      </w:r>
      <w:r>
        <w:rPr>
          <w:rFonts w:ascii="Times New Roman" w:cs="Times New Roman" w:eastAsia="Times New Roman" w:hAnsi="Times New Roman"/>
          <w:sz w:val="14"/>
          <w:szCs w:val="14"/>
          <w:color w:val="auto"/>
        </w:rPr>
        <w:t>. We pursue rigorous due diligence of all prospective loans originated through our Business Lending Platform. Our Senior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Lending Team has developed what we believe to be an extensive underwriting due diligence process, which includes a review of the operational, financial, legal, industry and performance and outlook for the prospective loan, including quantitative and qualitative stress tests and review of industry data. We acquire appraisals on CRE, residential real estate, equipment, and business valuations to assist in underwriting a loan and credit decisioning. These processes continue during the portfolio monitoring process, when we will conduct field examinations, when appropriate, review all compliance certificates and covenants and regularly assess the financial and business conditions and prospects of our borrowers. In addition, Newtek Bank’s subsidiary SBL, an S&amp;P rated servicer, is a third-party servicer for commercial, SBA 7(a) and other government guaranteed loans, whose exceptional servicing capabilities with compact timelines for loan resolutions and dispositions has attracted various third-party portfolios to SBL for servicing. SBL services the loans funded by Newtek Bank, Newtek ALP Holdings, NSBF, our joint ventures and loans held in our securitization trusts, and provides loan origination and closing services to our joint ventures and affiliates.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Prior Business Development Company History</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predecessor was formed on June 29, 1999 under the laws of the State of New York and, on November 12, 2014, in connection with our election to be regulated as a BDC, merged with and into us for the purpose of reincorporating under the laws of the State of Maryland.</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From November 12, 2014 to January 6, 2023, we operated as a BDC and a RIC. As a BDC, we were required to meet certain regulatory tests, including the requirement to invest at least 70% of our gross assets in “qualifying assets.” In addition, as a BDC, we were not permitted to incur indebtedness unless immediately after such borrowing we have an asset coverage for total borrowings of at least 150% (i.e., the amount of debt may not exceed 66 2/3% of the value of our total assets). Additionally, as a RIC, we generally did not have to pay corporate-level U.S. federal income taxes on any ordinary income or capital gains that we timely distribute to our shareholders.</w:t>
      </w:r>
    </w:p>
    <w:p>
      <w:pPr>
        <w:spacing w:after="0" w:line="16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Although we maintained our status as a BDC and a RIC through the entirety of our 2022 fiscal and tax years, upon completing the Acquisition, we filed with the SEC Form N-54C, Notification of Withdrawal of Election to be Subject to the 1940 Act, and ceased to be a BDC. As a result, as of January 2023 we ceased to be subject to regulation as a BDC under the 1940 Act, and no longer qualified for tax treatment as a RIC under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and Supervision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U.S. financial services and banking industry is highly regulated. The bank regulatory regime is intended primarily for the protection of customers, the public, the financial system and the DIF, support of the community and economic development, rather than our stockholders or creditors.</w:t>
      </w:r>
    </w:p>
    <w:p>
      <w:pPr>
        <w:spacing w:after="0" w:line="13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The legal and regulatory regime affects virtually all aspects of our operations. Statutes, regulations and policies govern, among other things, the scope of activities that we may conduct and the manner in which we may conduct them; our business plan and growth; our board, management, and risk management infrastructure; the type, terms, and pricing of our products and services; our loan and investment portfolio; our capital and liquidity levels; our reserves against deposits; our ability to pay dividends, repurchase our stock or distribute capital; and our ability to engage in mergers, acquisitions and other strategic initiatives. The legal and regulatory regime is continually under review by legislatures, regulators and other governmental bodies, and changes regularly occur through the enactment or amendment of laws and regulations or through shifts in policy, implementation or enforcement. Changes are difficult to predict and could have significant effects on our business. 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material regulatory requirements that are applicable to us and our subsidiaries are summarized below. The description below, as well as other descriptions of laws and regulations in this Form 10-K, are not intended to summarize all laws and regulations applicable to us and our subsidiaries, and are based upon the statutes, regulations, policies, interpretive letters and other written guidance that are in effect as of the date of this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Framework</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are subject to regulation and supervision by multiple regulatory bodies. As a bank holding company electing financial holding company status, the Company is subject to certain banking laws and regulations, including under the Bank Holding Company Act of 1956 (“BHCA”), and to ongoing and comprehensive supervision, regulation, examination and enforcement by the Federal Reserve. The Federal Reserve’s jurisdiction also extends to any company that is directly or indirectly controlled by a bank holding company.</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As a national bank, Newtek Bank is subject to ongoing and comprehensive supervision, regulation, examination and enforcement by the OCC. The OCC charges fees to national banks, including Newtek Bank, in connection with its supervisory activities.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Newtek Bank’s deposits are insured by the Depositors Insurance Fund (DIF) up to applicable legal limits. As an FDIC-insured depository institution, Newtek Bank is subject under certain circumstances to supervision, regulation and examination by the FDIC. The FDIC charges deposit insurance assessments to FDIC-insured institutions, including Newtek Bank, to fund and support the DIF. The rate of these deposit insurance assessments is based on, among other things, the risk characteristics of Newtek Bank. The FDIC has the power to terminate Newtek Bank’s deposit insurance if it determines Newtek Bank is engaging in unsafe or unsound practices. Federal banking laws provide for the appointment of the FDIC as receiver in the event Newtek Bank were to fail, such as in connection with undercapitalization, insolvency, unsafe or unsound condition or other financial distress. In a receivership, the claims of Newtek Bank’s depositors (and those of the FDIC as subrogee of Newtek Bank) would have priority over other general unsecured claims against Newtek Bank.</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During the COVID-19 pandemic, the amount of total estimated insured deposits grew very rapidly while the funds in the DIF grew at a normal rate, causing the DIF reserve ratio to fall below the statutory minimum of 1.35%. The FDIC adopted a restoration plan in September 2020, which it amended in June 2022, to restore the DIF reserve ratio to at least 1.35% by September 30, 2028. On October 18, 2022, the FDIC adopted a final rule to increase initial base deposit insurance assessment rates for insured depository institutions by 2 basis points, beginning with the first quarterly assessment period of 2023. The increased assessment rate schedules will remain in effect unless and until the reserve ratio of the DIF meets or exceeds 2%. As a result of this rule, the FDIC insurance costs of insured depository institutions, including Newtek Bank, have generally increased.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4"/>
          <w:szCs w:val="14"/>
          <w:color w:val="auto"/>
        </w:rPr>
        <w:t>On November 29, 2023, the FDIC issued a final rule that imposes a special deposit insurance assessment on insured depository institutions in order to recover losses that the DIF has incurred in the receiverships of Silicon Valley Bank and Signature Bank. The rule requires the payment of the special assessment over eight quarterly assessment periods beginning in the first quarter of 2024, subject to adjustments if the total amount collected is insufficient to cover the DIF’s costs. Each quarterly special assessment is equal to 3.36 basis points (0.0336%) of the amount of an institution’s estimated uninsured deposits that exceeded $5 billion as of December 31, 2023. For all quarterly periods from December 31, 2023 through December 31, 2024, Newtek Bank’s estimated amount of uninsured deposits did not exceed $5.0 billion and therefore, Newtek Bank is not required to pay any amount of the special assessment.</w:t>
      </w:r>
    </w:p>
    <w:p>
      <w:pPr>
        <w:spacing w:after="0" w:line="16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We are subject to the disclosure and regulatory requirements of the Securities Act and the Exchange Act, both as administered by the SEC. Our common stock is listed on the Nasdaq Global Market under the ticker symbol “NEWT” and therefore we are also subject to the rules of Nasdaq Global Market for listed companies. We have adopted certain policies and procedures intended to comply with the Nasdaq Global Market’s corporate governance rules. We will continue to monitor our compliance with all future listing standards that are approved by the SEC and will take actions necessary to ensure that we are in compliance therewith. 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 Powers to Ensure Safety and Soundness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A principal objective of the U.S. bank regulatory system is to ensure the safety and soundness of banking organizations. Safety and soundness is a broad concept that includes financial, operational, compliance and reputational considerations, including matters such as capital, asset quality, quality of board and management oversight, earnings, liquidity, and sensitivity to market and interest rate risk. As part of its commitment to maintain safety and soundness, at the time we acquired Newtek Bank, Newtek Bank entered into an Operating Agreement with the OCC (the “Operating Agreement”). The Operating Agreement sets forth key parameters within which Newtek Bank must operate, such as with respect to its business plan, minimum capital, minimum liquidity, risk management and compliance.</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banking and financial regulators have broad examination and enforcement authority. The regulators require banking organizations to file detailed periodic reports and regularly examine the operations of banking organizations. Banking organizations that do not meet the regulators’ supervisory expectations can be subjected to increased scrutiny and supervisory criticism. The regulators have various remedies available, which may be public or of a confidential supervisory nature, if they determine that an institution’s condition, management, operations or risk profile is unsatisfactory. The regulators may also take action if they determine that the banking organization or its management is violating or has violated any law or regulation. The regulators have the power to, among other things:</w:t>
      </w:r>
    </w:p>
    <w:p>
      <w:pPr>
        <w:spacing w:after="0" w:line="164"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affirmative actions to correct any violation or practice;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administrative orders that can be judicially enforced;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increases in capital;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the sale of subsidiaries or other assets;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dividends and distributions;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growth and activities;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parameters, obligations and/or limitations with respect to the operation of our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 civil monetary penalties;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remove officers and directors;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deposit insurance.</w:t>
      </w:r>
    </w:p>
    <w:p>
      <w:pPr>
        <w:spacing w:after="0" w:line="20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Engaging in unsafe or unsound practices or failing to comply with applicable laws, regulations and supervisory agreements (including the Operating Agreement) could subject us and our subsidiaries or their officers, directors and institution-affiliated parties to a broad variety of sanctions or remedies, including those described above.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Limits on Activities and Approval Requirements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BHCA generally restricts the Company’s ability, directly or indirectly, to engage in, or acquire more than 5% of any class of voting securities of a company engaged in activities other than those determined by the Federal Reserve to be so closely related to banking as to be a proper incident thereto. The Gramm-Leach-Bliley Act of 1999 authorized a bank holding company that meets specified conditions, including being “well capitalized” and “well managed,” to opt to become a “financial holding company” and thereby engage in a broader array of financial activities than previously permitted. The Company has elected to become a financial holding company, allowing it to engage in a broader array of financial activities than bank holding companies.</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bank regulatory regime, including through the Operating Agreement, requires that we obtain prior approval of one or more regulators for various initiatives or corporate actions, including acquisitions or minority investments, the establishment of branches, certain dividends or capital distributions, and significant deviations from Newtek Bank’s previously approved business plan. Regulators take into account a range of factors in determining whether to grant a requested approval, including the supervisory status of the applicant and its affiliates. Thus, there is no guarantee that a particular proposal by us would receive the required regulatory approvals.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Community Reinvestment Act (CRA), enacted in 1977, requires the Federal Reserve and other federal banking regulators to encourage financial institutions to help meet the credit needs of the communities in which they do business, including low- and moderate-income (LMI) neighborhoods. The CRA requires federal banking regulators, in their review of certain applications by banking organizations, to take into account the applicant’s record in helping meet the credit needs of its community, including low- and moderate-income neighborhoods. Newtek Bank is subject to periodic examination under the CRA by the OCC, which will assign ratings based on the methodologies set forth in its regulations and guidance. Less favorable CRA ratings, or concerns raised under the CRA, may adversely affect Newtek Bank’s ability to obtain approval for certain types of applications. Newtek Bank’s latest rating by the OCC under the CRA is “Satisfactory”.</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October 2023, the Federal Reserve, the FDIC and the OCC issued a joint rule to modernize regulations implementing the CRA. Under the final rules, the agencies will evaluate bank performance across the varied activities they conduct and communities in which they operate. This includes evaluating lending outside traditional assessment areas generated by the growth of non-branch delivery systems, such as online and mobile banking, branchless banking and hybrid models. The final rule adopts a new metrics-based approach to evaluating bank retail lending and community development financing, using benchmarks based on peer and demographic data. The final rule also clarifies eligible CRA activities, such as affordable housing, that are focused on low- and moderate-income, underserved, native and rural communities. Most of the requirements of the final rule take effect January 1, 2026, while the data requirements will take effect January 1, 2027. We are continuing to evaluate the potential impact of the new rule to our business, financial condition and results of operations, which cannot be predicted at this time.</w:t>
      </w:r>
    </w:p>
    <w:p>
      <w:pPr>
        <w:spacing w:after="0" w:line="157"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4"/>
          <w:szCs w:val="14"/>
          <w:color w:val="auto"/>
        </w:rPr>
        <w:t>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as a Source of Strength for Newtek Bank</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Federal law and Federal Reserve policy require that a bank holding company serve as a source of financial and managerial strength for any FDIC-insured depository institution that it controls. Thus, if Newtek Bank were to be in financial distress or to otherwise be viewed by the regulators as in an unsatisfactory condition, then the regulators could require the Company to provide additional capital or liquidity support, or take other action, in support of Newtek Bank, even if doing so is not otherwise in the best interest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Capital Requirements and Prompt Corrective Action</w:t>
      </w:r>
    </w:p>
    <w:p>
      <w:pPr>
        <w:spacing w:after="0" w:line="20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banking regulators view capital levels as important indicators of an institution’s financial soundness. As a general matter, FDIC-insured depository institutions and their holding companies are required to maintain a specified level of capital relative to the amount and types of assets they hold. While capital can serve as an important cushion against losses, higher capital requirements can also adversely affect an institution’s ability to grow and/or increase leverage through deposit-gathering or other sources of funding.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and Newtek Bank are each subject to generally similar capital requirements adopted by the Federal Reserve and the OCC, respectively. These requirements establish required minimum ratios for common equity tier 1 risk-based capital, Tier 1 risk-based capital, total risk-based capital and a Tier 1 leverage ratio; set risk-weighting for assets and certain other items for purposes of the risk-based capital ratios; require an additional capital conservation buffer over the minimum required capital ratios in order to avoid certain limitations on paying dividends, engaging in share repurchases, and paying discretionary bonuses; and define what qualifies as capital for purposes of meeting the capital requirements. Specifically, the capital thresholds in order to be regarded as a well-capitalized institution under the Basel Committee on Banking Supervision standardized approach for U.S. banking organizations are as follows: a common equity tier 1 risk-based capital ratio of 6.5%, a Tier 1 risk-based capital ratio of 8.0%, a total risk-based capital ratio of 10.0% and a Tier 1 leverage ratio of 5.0%.</w:t>
      </w:r>
    </w:p>
    <w:p>
      <w:pPr>
        <w:spacing w:after="0" w:line="16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regulators assess any particular institution’s capital adequacy based on numerous factors and may require a particular banking organization to maintain capital at levels higher than the generally applicable minimums. In this regard, and unless otherwise directed by the OCC, we have made commitments for Newtek Bank to maintain a tier 1 leverage ratio of no less than 10% and a total risk-based capital ratio of 11.5% for the term of the Operating Agreement.</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Federal Deposit Insurance Act provides for a system of “prompt corrective action” (“PCA”). The PCA regime provides for capitalization categories ranging from “well-capitalized” to “critically undercapitalized.” An institution’s PCA category is determined primarily by its regulatory capital ratios. The PCA regime requires remedial actions and imposes limitations that become increasingly stringent as an institution’s condition deteriorates and its PCA capitalization category declines. Among other things, institutions that are less than well-capitalized become subject to increasingly stringent restrictions on their ability to accept and/or rollover brokered deposits.</w:t>
      </w:r>
    </w:p>
    <w:p>
      <w:pPr>
        <w:spacing w:after="0" w:line="16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In addition to capital requirements, depository institutions are required to maintain non-interest bearing reserves at specified levels against their transaction accounts and certain non-personal time deposits.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Limits on Dividends and Distributions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ability of the Company or Newtek Bank to pay dividends, repurchase stock and make other capital distributions is limited by regulatory capital rules and other aspects of the regulatory regime. For example, a policy statement of the Federal Reserve provides that, among other things, a bank holding company generally should not pay dividends if its net income for the past year is not sufficient to cover both the cash dividends and a rate of earnings retention that is consistent with the company’s capital needs, asset quality, and overall financial condition.</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Dividends and capital distributions by Newtek Bank are also limited by the regulatory regimes. For example, the Operating Agreement requires Newtek Bank to be in compliance with certain capital levels before paying a dividend. Other laws and regulations generally applicable to national banks also limit the amount of dividends and capital distributions that may be made by a national bank and/or require prior approval of the OCC.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Home Loan Bank System</w:t>
      </w:r>
    </w:p>
    <w:p>
      <w:pPr>
        <w:spacing w:after="0" w:line="20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Newtek Bank is a member of the Federal Home Loan Bank System (“FHLB”), which consists of 11 regional Federal Home Loan Banks. The FHLB provides a central credit facility primarily for member institutions. Newtek Bank, as a member of the FHLB of Atlanta, is required to acquire and hold shares of capital stock in the FHLB. Newtek Bank is in compliance with this requirement with an investment in FHLB capital stock of $463 thousand as of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Consumer Protection</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are subject to a broad array of federal, state and local laws and regulations that govern almost every aspect of our business relationships with consumers. These laws relate to, among other things, the content and adequacy of disclosures, pricing and fees, fair lending, anti-discrimination, privacy, cybersecurity, usury, mortgages and housing finance, lending to service members, escheatment, debt collection, loan servicing, collateral secured lending, and unfair, deceptive or abusive acts or practices.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Consumer Financial Protection Bureau (“CFPB”) is generally responsible for rulemaking with respect to certain federal laws related to the provision of financial products and services to consumers. In addition, the CFPB has examination and primary enforcement authority with respect to federal consumer financial protection laws with respect to banking organizations with assets of $10 billion or more. As of December 31, 2024, Newtek Bank has assets less than $10 billion; therefore, we are not currently subject to the examination and enforcement jurisdiction of the CFPB. However, many consumer protection rules adopted or amended by the CFPB do apply to us and are the subject of examination and enforcement with respect to us by the OCC.</w:t>
      </w:r>
    </w:p>
    <w:p>
      <w:pPr>
        <w:spacing w:after="0" w:line="1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If we fail to comply with these laws and regulations, we may be subject to significant penalties, judgments, other monetary or injunctive remedies, lawsuits (including putative class action lawsuits and actions by state and local attorneys general or other officials), customer rescission rights, supervisory or enforcement actions, and civil or criminal liability. See “Item 1A. Risk Factors - Risks Related to Operation as a Financial Holding Company - The banking industry is highly regulated, and the regulatory framework, together with any future legislative or regulatory changes, may have a significant adverse effect on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Anti-Money Laundering, Sanctions and Financial Crime</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subject to a wide range of laws related to anti-money laundering, economic sanctions and prevention of financial crime, including the Bank Secrecy Act, the USA PATRIOT Act and economic sanctions programs. We are required to, among other things, maintain an effective anti-money laundering and counter-terrorist compliance program, identify and file suspicious activity and currency transaction reports, and block transactions with sanctioned persons or jurisdictions. Compliance with these laws requires significant investment of management attention and resources. These laws are enforced by a number of regulatory authorities, including the Federal Reserve, OCC, Office of Foreign Assets Control, the Financial Crimes Enforcement Network, the U.S. Department of Justice, Drug Enforcement Administration, and Internal Revenue Service. Failure to comply with these laws, or to meet our regulators’ supervisory expectations in connection with these laws, could subject us to supervisory or enforcement action, significant financial penalties, criminal liability and/or reputational harm.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Third-Party Relationship Risk Management</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utilize third-party service providers to perform a wide range of operations and other functions, which may present various risks. Our regulators will expect us to maintain an effective program for managing risk arising from third-party relationships, which should be commensurate with the level of risk and complexity of our business and our third-party relationships. If not managed effectively, the use of third-party service providers may expose us to risks that could result in regulatory action, financial loss, litigation and reputational harm. On June 6, 2023, the FDIC, the Federal Reserve and the OCC issued final guidance providing sound principles that support a risk-based approach to third-party risk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Information Technology and Cybersecurity</w:t>
      </w:r>
    </w:p>
    <w:p>
      <w:pPr>
        <w:spacing w:after="0" w:line="19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We are subject to various laws related to the privacy of consumer information. For example, we and our subsidiaries are required under federal law periodically to disclose to their retail clients our policies and practices with respect to the sharing of nonpublic client information with their affiliates and others, and the confidentiality and security of that information. In some cases, Newtek Bank must obtain a consumer’s consent before sharing information with an unaffiliated third party, and Newtek Bank must allow a consumer to opt out of Newtek Bank’s sharing of information with its affiliates for marketing and certain other purposes. We are also subject to laws and regulatory requirements related to information technology and cybersecurity. For example, the Federal Financial Institutions Examination Council's (“ FFIEC”), which is a council comprised of the primary federal banking regulators, has issued guidance and supervisory expectations for banking organizations with respect to information technology and cybersecurity.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 Our regulators will regularly examine us for compliance with applicable laws, and adherence to industry best practices, with respect to these topics. For example, they will evaluate our security of user and customer credentials, business continuity planning, and the ability to identify and thwart cyber-attacks.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State regulators have also been increasingly active in implementing privacy and cybersecurity standards and regulations. Recently, several states have adopted regulations requiring certain financial institutions to implement cybersecurity programs and providing detailed requirements with respect to these programs, including data encryption requirements. Many states have also recently implemented or modified their data breach notification and data privacy requirements. For example, the California Privacy Rights Act of 2020 became fully operative on January 1, 2023. We expect this trend of state-level activity in those areas to continue, and are continually monitoring developments in the states in which our clients are located.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Transactions with Affiliates and Loans to Insiders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Banks are subject to restrictions on their ability to conduct transactions with affiliates and other related parties under federal banking laws. For example, federal banking laws impose quantitative limits, qualitative requirements, and collateral standards on certain extensions of credit and other transactions by an insured depository institution with, or for the benefit of, its affiliates. In addition, most types of transactions by an insured depository institution with, or for the benefit of, an affiliate must be on terms substantially the same or at least as favorable to the insured depository institution as if the transaction were conducted with an unaffiliated third party. Federal banking laws also impose restrictions and procedural requirements in connection with the extension of credit by an insured depository institution to directors, executive officers, principal stockholders (including the Company) and their related interests. In addition, purchases and sales of assets between an insured depository institution and its executive officers, directors, and principal stockholders may also be limited under such laws. The Sarbanes-Oxley Act generally prohibits loans by public companies to their executive officers and directors. However, there is a specific exception for loans by financial institutions, such as Newtek Bank, to its executive officers and directors that are made in compliance with federal banking 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a Significant Interest in the Company</w:t>
      </w:r>
    </w:p>
    <w:p>
      <w:pPr>
        <w:spacing w:after="0" w:line="19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Banking laws impose various regulatory requirements on parties that may seek to acquire a significant interest in the Company. For example, the Change in Bank Control Act of 1978 would generally require that any party file a formal notice with, and obtain non-objection of, the Federal Reserve prior to acquiring (directly or indirectly, whether alone or acting in concert with any other party) 10% or more of any class of voting securities of the Company. Further approval requirements and significant ongoing regulatory consequences would apply to any company that (directly or indirectly, whether alone or as part of an association with another company) seeks to acquire “control” of the Company or Newtek Bank for purposes of the BHCA. The determination whether a party “controls” a depository institution or its holding company for purposes of these laws is based on applicable regulations and all of the facts and circumstances surrounding the investment. See “Item 1A. Risk Factors - Risks Related to Operation as a Financial Holding Company - Federal law may discourage certain acquisitions of our common stock which could have a material adverse effect on our shareholders.”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on Economic Environment</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policies of regulatory authorities, including the monetary policy of the Federal Reserve, have a significant effect on the operating results of bank holding companies and their subsidiaries. Among the means available to the Federal Reserve to affect the money supply are open market operations in U.S. government securities, changes in the discount rate on borrowings and changes in reserve requirements with respect to deposits. These means are used in varying combinations to influence overall growth and distribution of bank loans, investments and deposits, and their use may affect interest rates charged on loans or paid for deposits. The Federal Reserve monetary policies have materially affected the operating results of commercial banks in the past and are expected to continue to do so in the future. Although we conduct stress tests to measure and prepare for the impact of potential changes in monetary policy, we cannot predict with certainty the nature of future monetary policies and the effect of such policies on our business and earnings.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Oversight and Regulation of NSBF’s and Newtek Bank’s participation in the SBA 7(a) Program</w:t>
      </w:r>
    </w:p>
    <w:p>
      <w:pPr>
        <w:spacing w:after="0" w:line="20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NewtekOne’s subsidiaries (NSBF beginning in 2003 and Newtek Bank since 2023) have been originating loans under the SBA 7(a) Program for 22 years. By making SBA 7(a) guaranteed loans or 504 loans, SBA lenders automatically agree to the terms, conditions, and remedies in SBA Loan Program Requirements, as promulgated or issued from time to time. SBA Lenders further agree that a violation of SBA Loan Program Requirements constitutes default under their respective agreements with SBA. An SBA lender may be subject to an enforcement action for any number of grounds, including: (i) a failure to maintain eligibility requirements for specific SBA programs and delegated authorities, including but not limited to: SBA 7(a) Program and PLP; (ii) failure to comply materially with any requirement imposed by SBA Loan Program Requirements; or (iii) not performing underwriting, closing, disbursing, servicing, liquidation, litigation or other actions in a commercially reasonable and prudent manner for SBA 7(a) or 504 loans, respectively, as applicable.</w:t>
      </w:r>
    </w:p>
    <w:p>
      <w:pPr>
        <w:spacing w:after="0" w:line="15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Newtek Bank is licensed by the SBA to originate and service loans pursuant to section 7(a) of the Small Business Act (the SBA 7(a) Program). As a result of the Acquisition, all SBA 7(a) loan originations were transitioned from NSBF to Newtek Bank in April 2023, and NSBF ceased the origination of SBA 7(a) loans, relinquished its PLP status and is winding-down its operations. During this wind-down process, NSBF is required to continue to own the SBA 7(a) loans and PPP Loans in its SBA loan portfolio to maturity, liquidation, charge-off, or (subject to SBA’s prior written approval) sale or transfer. NSBF is further required to continue to service and liquidate its SBA loan portfolio, including processing forgiveness and loan reviews for PPP Loans, pursuant to an SBA approved lender service provider agreement with SBL. During the wind down process, NSBF is required to maintain minimum capital requirements established by the SBA, required to maintain certain amounts of restricted cash available to meet any obligations to the SBA, and has restrictions on its ability to make dividends and distributions to its parent, and will remain liable to SBA for post-purchase denials and repairs, from the proceeds generated by NSBF’s SBA loan portfolio. The Company has guaranteed NSBF’s obligations to the SBA and has funded a $10.0 million account at Newtek Bank to secure these potential obligations. Any future post-purchase denials and repairs demands on NSBF could negatively impact our results of operations.</w:t>
      </w:r>
    </w:p>
    <w:p>
      <w:pPr>
        <w:spacing w:after="0" w:line="18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Newtek Bank has been granted PLP status. The SBA grants PLP status to certain lenders originating SBA 7(a) loans based on achievement of certain standards in lending which are regularly monitored by the SBA. As a Preferred Lender, Newtek Bank is authorized to place SBA guarantees on SBA 7(a) loans without seeking prior SBA review and approval. Designated PLP lenders are delegated the authority to process, close, service, and liquidate most SBA guaranteed loans without prior SBA review. PLP lenders are authorized to make SBA guaranteed loans, subject only to a brief eligibility review and assignment of a loan number by SBA. In addition, PLP lenders are expected to handle servicing and liquidation of all of their SBA loans with limited involvement of SBA. An SBA lender’s PLP status is renewed by the SBA on an annual basis, or more frequently at the SBA’s discretion. If Newtek Bank fails to maintain PLP status, it would have a material adverse impact on Newtek Bank’s ability to originate SBA 7(a) loans at its current levels. See “Item 1A. Risk Factors - Risks Related to SBA Lending - There can be no guarantee that Newtek Bank will be able to maintain its SBA 7(a) lending license and PLP status.”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Participation in the SBA Secondary Market</w:t>
      </w:r>
    </w:p>
    <w:p>
      <w:pPr>
        <w:spacing w:after="0" w:line="1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In addition, the SBA regulates an SBA lender’s, including Newtek Bank’s, participation in the secondary market for sales of the guaranteed portions of SBA 7(a) loans. The SBA secondary market consists of the sale of certificates, representing either a fractional undivided interest in some or all of the guaranteed portion of an individual SBA 7(a) guaranteed loan or a fractional undivided interest in a pool consisting of the SBA guaranteed portions of a number of SBA 7(a) guaranteed loans. For example, when a lender such as Newtek Bank sells the guaranteed portion of a SBA 7(a) loan in the secondary market, the lender must perform all necessary servicing and liquidation actions for such loan even after SBA has purchased the guaranteed portion of such loan from a purchaser of a guaranteed portion, i.e., a registered holder. In the event that SBA purchases a guaranteed portion of such a loan from the registered holder, the lender must provide SBA with a loan status report within 15 business days of such purchase. This report typically includes, but is not limited to, a status report on the borrower and current condition of the collateral, plans for any type of loan workout or loan restructuring, existing liquidation activities including the sale of loan collateral, or the status of ongoing foreclosure proceedings. Moreover, the lender is required to provide documentation that SBA deems sufficient to be able to review the lender’s administration of the SBA 7(a) loan under the SBA Loan Program Requirements. Newtek Bank’s failure to provide sufficient documentation may constitute a material failure to comply with SBA Loan Program Requirements, and may lead to initiation of an action for recovery from Newtek Bank of all or some of the moneys SBA paid to a registered holder on a guarantee. SBA will also evaluate Newtek Bank’s continued participation in the secondary market and may restrict further sale of guaranteed portions into the secondary market until SBA determines that Newtek Bank has provided sufficient documentation for purchases or demonstrates compliance with any requirement imposed by SBA Loan Program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Pursuant to the SBA’s regulations, the SBA is released from liability on its guaranty of an SBA 7(a) loan and may, in its sole discretion, refuse to honor a guaranty purchase request in full or in part, or recover all or part of the funds already paid in connection with a guaranty purchase, if the lender failed to comply materially with an SBA Loan Program Requirement; failed to make, close, service or liquidate the loan in a prudent manner; placed the SBA at risk through improper action or inaction; failed to disclose a material fact to the SBA in a timely manner; or misrepresented a material fact to the SBA regarding the loan. In certain instances, the SBA may refuse to honor a guaranty purchase request in full (referred to by the SBA as a “denial”) or in part (referred to by the SBA as a “repair”), or recover all or part of the funds already paid in connection with a guaranty purchase. In the event of a repair or denial, liability on the guaranty, in whole or in part, would be transferred to Newtek Bank or NSBF as the originator of the loan, as the case may be. Even though NSBF has ceased originating new SBA 7(a) loans, it has retained and may be exposed to repair and denial liability to the SBA for the SBA 7(a) loans in NSBF’s portfolio. The incurrence of repairs and denials while NSBF is no longer generating income from the sales of guaranteed portions of SBA 7(a) loans can have a material negative impact on our financial results and liquidity. In addition, changes in SBA regulations and economic factors may adversely impact Newtek Bank’s or NSBF’s repair and denial rates.</w:t>
      </w:r>
    </w:p>
    <w:p>
      <w:pPr>
        <w:spacing w:after="0" w:line="33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In connection with NSBF’s 2018 examination by the SBA, NSBF entered into a voluntary agreement with the SBA pursuant to NSBF’s commitment to operate under the SBA Loan Program Requirements. Consistent with the terms of the agreement, NSBF has established a segregated restricted cash account in the amount of $10 million to account for potential post-purchase repairs and denials of guaranteed portions of SBA 7(a) loans, and agreed to take certain actions to, among other things, demonstrate the sufficiency of NSBF’s liquidity.</w:t>
      </w:r>
    </w:p>
    <w:p>
      <w:pPr>
        <w:spacing w:after="0" w:line="14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On March 30, 2023, the CFPB finalized a rule under Section 1071 of the Dodd-Frank Act requiring lenders to collect and report data regarding small business lending activity. We are evaluating the impact of this new rule. The rule was scheduled to take effect on August 29, 2023, and would have required compliance by October 1, 2024, April 1, 2025, or January 1, 2026, depending on the number of covered small business loans that a covered lender originates. The U.S Court of Appeals for the Fifth Circuit has stayed enforcement of this rule against the parties to the litigation, and in addition, the CFPB initially requested a 90-day pause for review by the new administration. Under the new administration, the CFPB has suspended almost all CFPB operations, including rulemaking, enforcement actions and public communications, and directed CFPB counsel to seek pauses in ongoing litigation. We continue to monitor the potential impacts.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Lending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engage in various business and lending strategies in order to achieve our overall business objectives. See “Item 1A. Risk Factors – Risks Related to Our Business and Structure.”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Lending Opportunity Characteristics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and will continue to target loans that generate both current income and capital appreciation. In each case, the following criteria and guidelines are applied to the review of a potential lending opportunity; however, not all criteria are met in every single loan, nor do we guarantee that all criteria will be met in the loans we will make in the future. We have and will continue to limit our lending to the independent business owner/SMB market.</w:t>
      </w:r>
    </w:p>
    <w:p>
      <w:pPr>
        <w:spacing w:after="0" w:line="15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Experienced Management with Meaningful Investment. </w:t>
      </w:r>
      <w:r>
        <w:rPr>
          <w:rFonts w:ascii="Times New Roman" w:cs="Times New Roman" w:eastAsia="Times New Roman" w:hAnsi="Times New Roman"/>
          <w:sz w:val="14"/>
          <w:szCs w:val="14"/>
          <w:color w:val="auto"/>
        </w:rPr>
        <w:t>We seek to lend to businesses in which senior or key managers have significant company-or industry-level experience and have significant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ownership. We have found that these more seasoned managers are more committed to the businesses’ success and more likely to manage the business in a manner that protects our investments.</w:t>
      </w:r>
    </w:p>
    <w:p>
      <w:pPr>
        <w:spacing w:after="0" w:line="14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Invested Capital. </w:t>
      </w:r>
      <w:r>
        <w:rPr>
          <w:rFonts w:ascii="Times New Roman" w:cs="Times New Roman" w:eastAsia="Times New Roman" w:hAnsi="Times New Roman"/>
          <w:sz w:val="14"/>
          <w:szCs w:val="14"/>
          <w:color w:val="auto"/>
        </w:rPr>
        <w:t>We believe that the existence of an appropriate amount of equity in the businesses we lend to provides valuable support for our loans. In addition, the degree to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particular loan is a meaningful one for the businesses’ owners (and their ability and willingness to invest additional equity capital as and to the extent necessary) are also important considerations.</w:t>
      </w:r>
    </w:p>
    <w:p>
      <w:pPr>
        <w:spacing w:after="0" w:line="141"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Appropriate Capital Structures. </w:t>
      </w:r>
      <w:r>
        <w:rPr>
          <w:rFonts w:ascii="Times New Roman" w:cs="Times New Roman" w:eastAsia="Times New Roman" w:hAnsi="Times New Roman"/>
          <w:sz w:val="14"/>
          <w:szCs w:val="14"/>
          <w:color w:val="auto"/>
        </w:rPr>
        <w:t>We seek to lend to businesses that are appropriately capitalized. First, we examine the amount of equity that is being invested by the business’ equity owners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determine whether there is a sufficient capital cushion beneath our loans. We also analyze the amount of senior debt and collateral with lien priority over the loan. A key consideration is a strong balance sheet and sufficient historical or projected free cash flow to service any debt we may invest.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Strong Competitive Position. </w:t>
      </w:r>
      <w:r>
        <w:rPr>
          <w:rFonts w:ascii="Times New Roman" w:cs="Times New Roman" w:eastAsia="Times New Roman" w:hAnsi="Times New Roman"/>
          <w:sz w:val="14"/>
          <w:szCs w:val="14"/>
          <w:color w:val="auto"/>
        </w:rPr>
        <w:t>We seek to lend to businesses that have developed strong, defensible product or service offerings within their respective market segment(s). These businesses should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well positioned to capitalize on organic and strategic growth opportunities, and should compete in industries with strong fundamentals and meaningful barriers to entry. We further analyze prospective lending opportunities in order to identify competitive advantages within their industry, which may result in superior operating margins or industry-leading growth.</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and Supplier Diversification. </w:t>
      </w:r>
      <w:r>
        <w:rPr>
          <w:rFonts w:ascii="Times New Roman" w:cs="Times New Roman" w:eastAsia="Times New Roman" w:hAnsi="Times New Roman"/>
          <w:sz w:val="14"/>
          <w:szCs w:val="14"/>
          <w:color w:val="auto"/>
        </w:rPr>
        <w:t>We seek to lend to businesses with sufficiently diverse customer and supplier bases. We believe these businesses will be better able to endure industry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consolidation, economic contraction and increased competition than those that are not sufficiently diversified. However, we also recognize that from time to time, an attractive lending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risk-weighted pricing scenario.</w:t>
      </w:r>
    </w:p>
    <w:p>
      <w:pPr>
        <w:spacing w:after="0" w:line="16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target our loans made through our business finance ecosystem under the SBA 7(a) program, to produce generally, a coupon rate of prime plus 3.0% to 6.50% which enables us to generate rapid sales of the guaranteed portions of SBA 7(a) loans in the secondary market, which have historically produced gains and a yield on investment.</w:t>
      </w:r>
    </w:p>
    <w:p>
      <w:pPr>
        <w:spacing w:after="0" w:line="14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Collateral and Sources of Repayment. </w:t>
      </w:r>
      <w:r>
        <w:rPr>
          <w:rFonts w:ascii="Times New Roman" w:cs="Times New Roman" w:eastAsia="Times New Roman" w:hAnsi="Times New Roman"/>
          <w:sz w:val="14"/>
          <w:szCs w:val="14"/>
          <w:color w:val="auto"/>
        </w:rPr>
        <w:t>We typically structure our loans with the maximum seniority and collateral along with personal guarantees from business owners, in many cases collateralized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by other assets including real estate. In most cases, our loans will be collateralized by a first lien on the assets of the business and a first or second lien on assets of guarantors, in both cases primarily real estate. All SBA 7(a) loans are made with personal guarantees from any owner(s) of 20% or more of the business’ equity. As of December 31, 2024, substantially all of our SBA 7(a) loans consisted of loans that were secured by first or second priority liens on the assets of the business. In all categories we are a business lender and the business, not the collateral, at underwriting must be the primary source of repayment. All loans must cash flow on a historic or a projected basis if a SBA 7(a) loan, 504 loan, or ALP loan.</w:t>
      </w:r>
    </w:p>
    <w:p>
      <w:pPr>
        <w:spacing w:after="0" w:line="161" w:lineRule="exact"/>
        <w:rPr>
          <w:sz w:val="20"/>
          <w:szCs w:val="20"/>
          <w:color w:val="auto"/>
        </w:rPr>
      </w:pPr>
    </w:p>
    <w:p>
      <w:pPr>
        <w:ind w:left="520" w:right="360" w:hanging="260"/>
        <w:spacing w:after="0" w:line="271" w:lineRule="auto"/>
        <w:tabs>
          <w:tab w:leader="none" w:pos="51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First Lien Loans. </w:t>
      </w:r>
      <w:r>
        <w:rPr>
          <w:rFonts w:ascii="Times New Roman" w:cs="Times New Roman" w:eastAsia="Times New Roman" w:hAnsi="Times New Roman"/>
          <w:sz w:val="14"/>
          <w:szCs w:val="14"/>
          <w:color w:val="auto"/>
        </w:rPr>
        <w:t>Our first lien loans generally have terms of one to 25 years, provide for a variable interest rate, contain no prepayment penalties (however, the SBA will charge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borrower a prepayment fee if the loan has a maturity of 15 or more years and is prepaid during the first three years) and are secured by a first priority security interest in all existing and future assets of the borrower. Our first lien loans may take many forms, including revolving lines of credit, term loans.</w:t>
      </w:r>
    </w:p>
    <w:p>
      <w:pPr>
        <w:spacing w:after="0" w:line="154" w:lineRule="exact"/>
        <w:rPr>
          <w:rFonts w:ascii="Times New Roman" w:cs="Times New Roman" w:eastAsia="Times New Roman" w:hAnsi="Times New Roman"/>
          <w:sz w:val="14"/>
          <w:szCs w:val="14"/>
          <w:i w:val="1"/>
          <w:iCs w:val="1"/>
          <w:color w:val="auto"/>
        </w:rPr>
      </w:pPr>
    </w:p>
    <w:p>
      <w:pPr>
        <w:ind w:left="520" w:right="20" w:hanging="260"/>
        <w:spacing w:after="0" w:line="265" w:lineRule="auto"/>
        <w:tabs>
          <w:tab w:leader="none" w:pos="51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Second Lien Loans. </w:t>
      </w:r>
      <w:r>
        <w:rPr>
          <w:rFonts w:ascii="Times New Roman" w:cs="Times New Roman" w:eastAsia="Times New Roman" w:hAnsi="Times New Roman"/>
          <w:sz w:val="14"/>
          <w:szCs w:val="14"/>
          <w:color w:val="auto"/>
        </w:rPr>
        <w:t>Our second lien loans generally have terms of five to 25 years, also primarily provide for a variable interest rate, contain no prepayment penalties (however, the SBA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 the borrower a prepayment fee if the loan has a maturity of 15 or more years and is prepaid during the first three years) and are secured by a second priority security interest in all existing and future assets of the borrower. We typically take second lien positions on additional collateral when first lien positions exist. All loans are secured by a lien on all available collateral of the business or any owner 20% or greater.</w:t>
      </w:r>
    </w:p>
    <w:p>
      <w:pPr>
        <w:spacing w:after="0" w:line="16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We typically structure our loans to include non-financial covenants that seek to minimize our risk of capital loss such as lien protection and prohibitions against change of control. Our loans are typically structured to have strong protections, including default penalties, information rights and, in some cases, affirmative, negative and financial covenants.</w:t>
      </w:r>
    </w:p>
    <w:p>
      <w:pPr>
        <w:spacing w:after="0" w:line="14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In addition to loans originated under the SBA 7(a) program. our Newtek Lending Platform includes the following loan products originated by Newtek Bank: SBA 504 loans, C&amp;I loans (including ABL and owner occupied CRE and investor CRE). In addition, our ALP loans (formerly referred to as non-conforming conventional loans) are originated by Newtek ALP Holdings, our non-bank subsidiary, and have been originated or acquired by our joint ventures.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SBA 504 loans provide long-term fixed rate financing for major fixed assets such as real estate or equipment. The maximum loan amount for a SBA 504 loan is typically not more than $5.5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C&amp;I Lending, CRE Lending and ABL. Newtek Bank provides C&amp;I loans, which includes ABL and owner occupied CRE and investor CRE loans, to its commercial customers.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“ITEM 7. MANAGEMENT'S DISCUSSION AND ANALYSIS OF FINANCIAL CONDITION AND RESULTS OF OPERATIONS. ”</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Investments to Expand or Enhance the NewtekOne Business and Financial Solutions Ecosystem</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While the vast majority of our lending opportunities have been structured as loans, we have in the past and expect in the future to make selective equity investments primarily as either strategic investments to enhance the integrated operating platform or, to a lesser degree, under our Certified Capital Company (“Capco”) programs (see below). Historically, for investments in our subsidiaries, we focused more on tailoring them to the long-term growth needs of the companies than to immediate return. Our objective with these companies was to foster the development of the businesses as a part of the integrated operational platform of serving the independent business owner market, so we may have sought to reduce the burden on these companies to enable them to grow faster than they would otherwise as another means of supporting their development and that of the integrated whole.</w:t>
      </w:r>
    </w:p>
    <w:p>
      <w:pPr>
        <w:spacing w:after="0" w:line="1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Under state-created Capco programs, states provide a Capco with tax credits generally equal to the amount of funds the Capco raises from insurance company investors. The Capcos then issue the tax credits to its investors — a process which is designed to reduce the Capco’s investors’ state tax liabilities. In exchange for receiving the tax credits, the Capco is obligated to invest the funds raised in certain qualified businesses, which generally are defined by statute to include only businesses that meet certain criteria. If a Capco fails to comply with the performance requirements of each state’s different Capco program, the tax credits are subject to forfeiture. Under state law, a Capco that has invested in qualified businesses an amount equal to 100% of its initial certified capital is able to decertify (i.e., terminate its status as a Capco) and no longer be subject to any state Capco regulation. Our Capcos have historically invested in SMBs. We have de-emphasized our Capco business and do not anticipate creating any new Capcos. As the Capcos reach 100% investment we will seek to decertify them as Capcos, liquidate their remaining assets and thereby reduce their operational costs, particularly the legal and accounting costs associated with compliance. Thirteen of our original eighteen Capcos have reached this stage and been de-certified and liquidated. See “RISKS RELATED TO OUR CAPCO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Origination Process</w:t>
      </w:r>
    </w:p>
    <w:p>
      <w:pPr>
        <w:spacing w:after="0" w:line="202"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4"/>
          <w:szCs w:val="14"/>
          <w:color w:val="auto"/>
        </w:rPr>
        <w:t>The following discussion relates to the Company’s loan origination selection process in connection with SBA 7(a) lending. For more information, see “Item 7. — Management's Discussion and Analysis of Financial Condition and Results of Operations.” The members of our Senior Lending Team and our executive officers are responsible for all aspects of our loan origination selection process. The discussion below describes our procedures. The stages of our selection process for loan originations are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and Deal Generation/Origination</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We believe that the combination of our brand, our portal, our patented NewTracker® technology, and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have created an extensive loan and deal sourcing infrastructure. This is maximized through long-standing and extensive relationships with industry contacts, commercial and investment bankers, entrepreneurs, services providers (such as lawyers and accountants), as well as current and former clients and our extensive network of strategic alliance partners. We supplement our relationships by the selective use of advertising aimed primarily at lending to the SMB market. We believe we have developed a reputation as a knowledgeable and reliable source of capital, providing value-added advice, prompt processing, and management and operations support to our clients.</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We market our business and financial solutions through referrals from our alliance partners such as Stifel Bank, Credit Union National Association, ENT Federal Credit Union, Legacy Bank, Morgan Stanley Smith Barney, Flagstar Bank, Raymond James, Randolph Brooks Federal Credit Union, UBS, Meineke Dealers Purchasing Cooperative, Regions Bank, Hartford Insurance, Bank United, US Century Bank, Anderson Capital Advisors, Transworld Business Advisors, Army Navy Federal Credit Union, Teachers Federal Credit Union, Aamco, 1800 Accountants, Henry Schein, Stearns Bank, California Coast Credit Union, and True Value Company, among others using our patented NewTracker® referral system as well as direct referrals from our web presence, </w:t>
      </w:r>
      <w:r>
        <w:rPr>
          <w:rFonts w:ascii="Times New Roman" w:cs="Times New Roman" w:eastAsia="Times New Roman" w:hAnsi="Times New Roman"/>
          <w:sz w:val="14"/>
          <w:szCs w:val="14"/>
          <w:i w:val="1"/>
          <w:iCs w:val="1"/>
          <w:color w:val="auto"/>
        </w:rPr>
        <w:t>www.newtekone.com</w:t>
      </w:r>
      <w:r>
        <w:rPr>
          <w:rFonts w:ascii="Times New Roman" w:cs="Times New Roman" w:eastAsia="Times New Roman" w:hAnsi="Times New Roman"/>
          <w:sz w:val="14"/>
          <w:szCs w:val="14"/>
          <w:color w:val="auto"/>
        </w:rPr>
        <w:t>. The patent for our NewTracker® referral system is a software application patent covering the systems and methods for tracking, reporting and performing processing activities and transactions in association with referral data and related information for a variety of product and service offerings in a business-to-business environment providing further for security and transparency between referring parties. NewTracker® allows us and our alliance partners to review in real time the status of any referral as well as to provide real time compliance oversight by the respective alliance partner, which we believe creates confidence between the referred business client, the referring alliance partner and 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 xml:space="preserve">Additional deal sourcing and referrals are obtained from individual professionals in geographic markets that have signed up to provide referrals and earn commissions through our BizExec and TechExec Programs. The BizExecs and TechExecs are traditionally information technology professionals, CPAs, independent insurance agents and sales and/or marketing professionals. In addition, electronic payment processing services are marketed through independent sales representatives and web technology, and eCommerce services are marketed through internet-based marketing and third-party resellers. A common thread across all business lines of our subsidiaries and subsidiaries relates to acquiring customers at low cost. We seek to bundle our marketing efforts through our brand, our portal, NewTracker®, our web presence as </w:t>
      </w:r>
      <w:r>
        <w:rPr>
          <w:rFonts w:ascii="Times New Roman" w:cs="Times New Roman" w:eastAsia="Times New Roman" w:hAnsi="Times New Roman"/>
          <w:sz w:val="14"/>
          <w:szCs w:val="14"/>
          <w:i w:val="1"/>
          <w:iCs w:val="1"/>
          <w:color w:val="auto"/>
        </w:rPr>
        <w:t>Your Business Solutions Company</w:t>
      </w:r>
      <w:r>
        <w:rPr>
          <w:rFonts w:ascii="Times New Roman" w:cs="Times New Roman" w:eastAsia="Times New Roman" w:hAnsi="Times New Roman"/>
          <w:sz w:val="14"/>
          <w:szCs w:val="14"/>
          <w:color w:val="auto"/>
        </w:rPr>
        <w:t>® and one easy entry point of contact. We expect that this approach will allow us to continue to cross-sell the business and financial solutions of our subsidiaries and subsidiaries to our customers and customers of our subsidiaries, and to build upon our extensive deal sourcing infrastructure.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Screening</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screen all potential loan opportunities that we receive for suitability and consistency with our underwriting criteria. See “Lending Opportunity Characteristics,” above. In screening potential loan opportunities, our Senior Lending Team and our executive officers utilize a value-oriented lending philosophy and commit resources to managing downside exposure. If a potential lending opportunity meets our basic underwriting criteria, a business service specialist or other member of our team is assigned to perform preliminary due diligence.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Lending Procedures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Newtek Bank originates (and prior to January 6, 2023, for 20 years NSBF originated) loans under the SBA 7(a) Program (authorized by section 7(a) of the Small Business Act, 15 U.S.C. 636(a)), in accordance with our credit and underwriting policy, which incorporates by reference the applicable regulations and the SBA Standard Operating Procedures, Lender and Development Company Loan Program (collectively, “SBA Loan Program Requirements”) as they relate to the financing and servicing of such loans. Following the Acquisition, NBSF continues to service its current portfolio of SBA 7(a) loans via a lender service provider agreement with SBL, and new SBA 7(a) loan originations are being made by Newtek Bank. However, there can be no guarantee that Newtek Bank and NSBF will be able to maintain their SBA 7(a) lending licenses. See “Risk Factors - Risks Related to SBA Lending - There can be no guarantee that Newtek Bank and NSBF will be able to maintain their SBA 7(a) lending licenses.”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During the initial application process for a loan originated under the SBA 7(a) Program, a NewtekOne business service specialist (BSS) assists and guides the applicant through the application process, beginning with the submission of an online form through our customized loan portal. The online loan processing system collects required information and ensures that all necessary forms are provided to the applicant and filled out. The system conducts automatic screenings that focus primarily on whether (i) the requested loan is for an eligible purpose, (ii) the requested loan is for an eligible amount and (iii) the applicant is an eligible borrower. If the applicant is eligible to fill out the entire application, the online system pre-qualifies the applicant based on preset credit parameters meeting the standards of the Company and the SBA.</w:t>
      </w:r>
    </w:p>
    <w:p>
      <w:pPr>
        <w:spacing w:after="0" w:line="164"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Once the online form and the application materials are completed, our underwriting department (the “Underwriting Department”) becomes primarily responsible for reviewing and analyzing the application in order to accurately assess the level of risk that would be undertaken in making a loan. The Underwriting Department is responsible for assuring that all information necessary to prudently analyze the risk associated with a loan application has been obtained and considered. Credit files are developed and maintained with the documentation received during the application process in such a manner as to facilitate file review during subsequent developments during the life of the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Required Information</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For a loan originated under the SBA 7(a) Program, the primary application document to assess eligibility is SBA Form 1919 (Borrower Information Form) (“Form 1919”). Among other things, Form 1919 requires identifying information about the applicant, loan request, indebtedness, principals, beneficial owners, current and/or previous government financing, and certain other certifications used to determine the applicant’s eligibility. For loans submitted using a Lender’s delegated authority, the Lender may now accept the eligibility information provided by the applicant as true when submitting a loan to SBA for validation using the newly implemented Risk Mitigation Framework.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Form 1919, the following additional information is required in order for our Underwriting Department to have the necessary information to make a decision on the loan application:</w:t>
      </w:r>
    </w:p>
    <w:p>
      <w:pPr>
        <w:spacing w:after="0" w:line="189" w:lineRule="exact"/>
        <w:rPr>
          <w:sz w:val="20"/>
          <w:szCs w:val="20"/>
          <w:color w:val="auto"/>
        </w:rPr>
      </w:pPr>
    </w:p>
    <w:p>
      <w:pPr>
        <w:ind w:left="520" w:right="80" w:hanging="260"/>
        <w:spacing w:after="0" w:line="27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SBA Form 413 (Personal Financial Statement), signed and dated with 120 days of submission to the SBA, for all owners of 20% or more (including the assets of the owner’s spouse and any minor children), and proposed guarantors;</w:t>
      </w:r>
    </w:p>
    <w:p>
      <w:pPr>
        <w:spacing w:after="0" w:line="156"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transcripts in accordance with SBA Loan Program Requirements and either business financial statements or tax returns for the prior three years for the applicant and any affiliates, dated within 120 days prior to submission to SBA. Financials should consist of (a) year-end balance sheets for the last three years, including detailed debt schedule, (b) year-end profit &amp; loss (P&amp;L) statements for the last three years, (c) reconciliation of net worth, (d) interim balance sheet, including a detailed debt schedule, and (e) interim P&amp;L statements;</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formation documents for all obligor entities to validate existence and structure;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applicant’s original business license or certificate of doing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records of any loans the applicant may have applied for in the past;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signed personal and business U.S. federal income tax returns of the principals of the applicant’s business for previous three years;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resumes for each principal;</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history of the business and its challenges, including an explanation of why the SBA loan is needed and how it will help the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applicant’s business lease, or note from the applicant’s landlord, giving terms of proposed lease; and</w:t>
      </w:r>
    </w:p>
    <w:p>
      <w:pPr>
        <w:spacing w:after="0" w:line="199"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purchasing an existing business, (a) current balance sheet and P&amp;L statement of business to be purchased, (b) previous two years’ U.S. federal income tax returns of the business, (c) proposed Bill of Sale including Terms of Sale, and (d) asking price with schedule of inventory, machinery and equipment, furniture and fixtures.</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view current financial information as the foundation of sound credit analysis. To that end, verification of all business income tax returns with the Internal Revenue Service is required, and after the loan closes, we request financial statements be submitted on an annual basis. For business entities or business guarantors, we request U.S. federal income tax returns for each fiscal year-end to meet the prior three-year submission requirement. For interim periods, management-prepared financial statements are accepted. The most recent financial information may not be more than 120 days old at the time of submission to the SBA for approval of the loan, but we generally request that the most recent financial information not be older than 90 days in order to provide time for underwriting and submission to SBA for guaranty approval, if required. For individuals or personal guarantors, we require a personal financial statement dated within 120 days of the application (sixty days is preferred) and personal income tax returns for the prior three years. In connection with each yearly update of business financial information, the personal financial information of each principal must also be updated. Spouses are required to sign all personal financial statements in order for the Underwriting Department to verify compliance with the SBA’s personal resource test. In addition, the Underwriting Department will ensure that there has been no adverse impact on the financial condition of the applicant or its principals since the approval of the loan. If closing does not occur within ninety days of the date on which the loan is approved, updated business and personal financial statements must be obtained and any adverse change must be addressed before the proceeds of the loan may be disbursed. If closing does not occur within six months of the date on which the loan is approved, the applicant is generally required to reapply for the loan.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Stress Test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standard underwriting process requires a stress test on the applicant’s interest rate to gauge the amount of increase that the applicant’s cash flow can withstand and still provide sufficient cash to service the debt. The applicant’s cash flow is tested up to a 2% increase in interest rate. If the applicant’s debt service coverage ratio decreases to 1:1 or less than 1:1, the loan may only be made as an exception to our Underwriting Guidelines and would require the approval of our credit committee.</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Required Site Visit</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No loan will be funded without an authorized representative of Newtek Bank first making a site visit to the business premises. We generally use a contracted vendor to make the required site visit but may from time to time send our own employees to perform this function. Each site visit will generate a narrative of the business property as well as photographs of the business property. Additional site visits will be made when a physical on-site inspection is warranted.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Assessment of Applicant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requests are assessed primarily based upon an analysis of the character, cash flow, capital, liquidity and collateral involved in the transaction.</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Character: </w:t>
      </w:r>
      <w:r>
        <w:rPr>
          <w:rFonts w:ascii="Times New Roman" w:cs="Times New Roman" w:eastAsia="Times New Roman" w:hAnsi="Times New Roman"/>
          <w:sz w:val="14"/>
          <w:szCs w:val="14"/>
          <w:color w:val="auto"/>
        </w:rPr>
        <w:t>We require a personal credit report to be obtained on any principal or guarantor involved in a loan transaction. Emphasis is placed upon the importance of individual credit histories, as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 primary indicator of an individual’s willingness and ability to repay debt. Any material negative credit information must be explained in writing by the principal, and must be attached to the personal credit report in the credit file. No loan will be made where an individual’s credit history calls into question the repayment ability of the business operation. A loan request from an applicant who has declared bankruptcy within the ten years preceding the loan application will require special consideration. A thorough review of the facts behind the bankruptcy and impact on creditors will be undertaken in determining whether the principal has demonstrated the necessary willingness and ability to repay debts. In addition, we will examine whether the applicant and its principals and guarantors have abided by the laws of their community. Any situation where a serious question concerning a principal’s character exists will be reviewed on a case-by-case basis. Unresolved character issues are grounds for declining a loan request regardless of the applicant’s financial condition or performance.</w:t>
      </w:r>
    </w:p>
    <w:p>
      <w:pPr>
        <w:spacing w:after="0" w:line="16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Cash Flow: </w:t>
      </w:r>
      <w:r>
        <w:rPr>
          <w:rFonts w:ascii="Times New Roman" w:cs="Times New Roman" w:eastAsia="Times New Roman" w:hAnsi="Times New Roman"/>
          <w:sz w:val="14"/>
          <w:szCs w:val="14"/>
          <w:color w:val="auto"/>
        </w:rPr>
        <w:t>We recognize that cash flow is the primary and desired source of repayment on any loan, and therefore is the primary focus of the credit decision. Any transaction in which the repayment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not reasonably assured through cash flow will be declined, regardless of other possible credit strengths. At a minimum, combined EBITDA will be used to evaluate repayment ability. Other financial analysis techniques will be employed as needed to establish the reasonableness of repayment. Where repayment is based on past experience, the applicant must demonstrate minimum combined cash flow coverage of 1.15 times based upon the most recent fiscal year-end financial statement. A determination of the ability to repay will not be based solely upon interim operating results. Where repayment ability is not evident from historical combined earnings (including new businesses and changes of ownership), projections will be analyzed to determine whether repayment ability is reasonably assured. For changes in ownership, monthly cash flow forecasts will be analyzed to determine adequacy to meet all of the borrower’s needs.</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For business acquisition applications, the applicant will be required to submit projections and support such projections by detailed assumptions made for all major revenue and expense categories and an explanation of how the projections will be met. Analysis must include comparisons with relevant Risk Management Association (“RMA”) industry averages. EBITDA must be reasonably forecast to exceed debt service requirements by at least 1.15 times, after accounting for the initial phase of operations. For change of ownership applications, projections will also be measured against the actual historical financial results of the seller of the business concern. Projections must demonstrate repayment ability of not less than 1.15 times.</w:t>
      </w:r>
    </w:p>
    <w:p>
      <w:pPr>
        <w:spacing w:after="0" w:line="160"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Capital: </w:t>
      </w:r>
      <w:r>
        <w:rPr>
          <w:rFonts w:ascii="Times New Roman" w:cs="Times New Roman" w:eastAsia="Times New Roman" w:hAnsi="Times New Roman"/>
          <w:sz w:val="14"/>
          <w:szCs w:val="14"/>
          <w:color w:val="auto"/>
        </w:rPr>
        <w:t>Capital is a strong traditional indicator of the financial health of a business. For going concern entities, the pro-forma leverage position, as measured by the debt to tangible net worth ratio,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not exceed the RMA industry median or 4 to 1, whichever is greater. For change of ownership transactions, generally 25% of total project costs should be contributed as equity resulting in debt to tangible net worth ratio of 3 to 1.</w:t>
      </w:r>
    </w:p>
    <w:p>
      <w:pPr>
        <w:spacing w:after="0" w:line="157"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In determining the legitimacy of the business value, the loan underwriter reviews a third-party valuation prepared by a Company approved valuation firm. If the business value is found to be acceptable, and the equity injection into the project is within our requirements as outlined herein, then the capital position will be considered satisfactory.</w:t>
      </w:r>
    </w:p>
    <w:p>
      <w:pPr>
        <w:spacing w:after="0" w:line="145"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As a general rule, shareholder and affiliate loans may be added back to net worth only if such loans will be subordinated for the life of the SBA loan, with no principal or interest payments to be made. Financing by the seller of the business may also be considered as equity if the loan will be placed on full standby for the life of the SBA loan. Adjustments to net worth to account for the difference between the book value and appraised value of fixed assets may be made only when supported by a current appraisal. Appraisals on a “subject to” basis are not acceptable.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Liquidity: </w:t>
      </w:r>
      <w:r>
        <w:rPr>
          <w:rFonts w:ascii="Times New Roman" w:cs="Times New Roman" w:eastAsia="Times New Roman" w:hAnsi="Times New Roman"/>
          <w:sz w:val="14"/>
          <w:szCs w:val="14"/>
          <w:color w:val="auto"/>
        </w:rPr>
        <w:t>Liquidity, as measured by the current ratio, must be in line with the RMA industry average. An assessment of the adequacy of working capital is required. An assessment of the liquidity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business is essential in determining the ability to meet future obligations. Lending to cash businesses such as hotels and restaurants requires less analysis of the liquidity of the business due to the timing of cash receipts. Industries with large receivables, payables, and inventory accounts require thorough review of the cash cycle of the business and evaluation of the applicant’s ability to manage these accounts. The current and quick ratios and turnover of receivables, payables and inventory are measured against the RMA industry median in determining the adequacy of these liquidity measures.</w:t>
      </w:r>
    </w:p>
    <w:p>
      <w:pPr>
        <w:spacing w:after="0" w:line="16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Collateral: </w:t>
      </w:r>
      <w:r>
        <w:rPr>
          <w:rFonts w:ascii="Times New Roman" w:cs="Times New Roman" w:eastAsia="Times New Roman" w:hAnsi="Times New Roman"/>
          <w:sz w:val="14"/>
          <w:szCs w:val="14"/>
          <w:color w:val="auto"/>
        </w:rPr>
        <w:t>We are required to reasonably secure each loan transaction with all worthwhile and available assets. Pursuant to SBA SOP 50 10, we may not (and will not) decline a loan if the only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weakness in the application is the value of collateral in relation to the loan amount, provided that all assets available to the business and its principals have been pledged. As set forth in SBA SOP 50 10, the SBA considers a loan to be fully secured if the lender has taken a security interest in all available fixed assets with a combined “net book value” adjusted up to the loan amounts below. For 7(a) loans, “fixed assets” means real estate, including land and structures and machinery and equipment owned by the business. “Net book value” is defined as an asset’s original price minus depreciation and amortization.</w:t>
      </w:r>
    </w:p>
    <w:p>
      <w:pPr>
        <w:spacing w:after="0" w:line="16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attempt to secure each loan transaction with as much real estate and liquid asset collateral as necessary; however, all fixed assets must be evaluated. Fixed assets are evaluated on the basis of the net book value to determine the realizable value among collateral types. Valuation factors are applied as follows:</w:t>
      </w:r>
    </w:p>
    <w:p>
      <w:pPr>
        <w:spacing w:after="0" w:line="145"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 — 75%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real estate — 85%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Vacant land — 50%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Machinery &amp; Equipment — 50%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Furniture &amp; Fixtures — 10%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&amp; inventory —10%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 5%</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Deposit — 100%</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Licenses — will vary dependent upon type of license and geographic area. The liquidation rate used must be fully justified.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an assessment of the criteria specified above, there are certain special industry-specific requirements that will be considered in the loan application decision.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Change of Ownership: </w:t>
      </w:r>
      <w:r>
        <w:rPr>
          <w:rFonts w:ascii="Times New Roman" w:cs="Times New Roman" w:eastAsia="Times New Roman" w:hAnsi="Times New Roman"/>
          <w:sz w:val="14"/>
          <w:szCs w:val="14"/>
          <w:color w:val="auto"/>
        </w:rPr>
        <w:t>The minimum equity injection required in a change of ownership transaction is 10%.</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the event of financing from the seller of the business, the applicant must inject not less than 10% of the project cost; the seller of the business may provide the balance on a complete standby basis for the life of the SBA loan. Exceptions to the equity requirement are reviewed on a case-by-case basis.</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For a change of ownership transaction, the application must be accompanied by a business plan including reasonable financial projections. The financial performance of the seller of the business must be evaluated based upon three years of corporate income tax returns and a current interim financial statement. Projections for the applicant must be in line with the historical financial performance at the business location. In cases where financial performance of the seller of the business is poor, a satisfactory explanation must be provided to detail the circumstances of performance. Projections for the applicant must be accompanied by detailed assumptions and be supported by information contained in the business plan.</w:t>
      </w:r>
    </w:p>
    <w:p>
      <w:pPr>
        <w:spacing w:after="0" w:line="16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Management should have related experience in the industry and demonstrate the ability to successfully operate the business. In the absence of satisfactory related experience, an assessment of management’s experience and capabilities, given the complexity and nature of the business, will be made. In the case of a franchise, we will generally take into account the reputation of a franchisor for providing worthwhile management assistance to its franchisees.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carefully review change of ownership transactions. The loan underwriter will review the contract for sale, which will be included in the credit file. The contract for sale must include a complete breakdown of the purchase price, which must be justified through either a third party appraisal or directly by the loan underwriter through an approved valuation method specified in SBA SOP 50 10. The contract of sale must evidence an arm’s length transaction (but transactions between related parties are permitted so long as they are on an arm’s-length basis) which will preserve the existence of the small business or promote its sound development. In addition, a satisfactory reason for the sale of the business must be provided. The seller of the business must provide the prior three years of business tax returns and a current interim financial statement, as applicable.</w:t>
      </w:r>
    </w:p>
    <w:p>
      <w:pPr>
        <w:spacing w:after="0" w:line="15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As part of due diligence for a change of ownership transaction, the closing department will order and review lien searches run on the seller as well as the borrower/buyer. If such a search identifies any adverse information or unexpected liens, the credit will be referred back to underwriting so that a prudent credit decision may be made on the application in light of the new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Real Estate Transactions: </w:t>
      </w:r>
      <w:r>
        <w:rPr>
          <w:rFonts w:ascii="Times New Roman" w:cs="Times New Roman" w:eastAsia="Times New Roman" w:hAnsi="Times New Roman"/>
          <w:sz w:val="14"/>
          <w:szCs w:val="14"/>
          <w:color w:val="auto"/>
        </w:rPr>
        <w:t>Loan proceeds for the acquisition or refinancing of land or an existing building or for renovation or reconstruction of an existing building must meet the following criteria:</w:t>
      </w:r>
    </w:p>
    <w:p>
      <w:pPr>
        <w:spacing w:after="0" w:line="202"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property must be at least 51% owner-occupied pursuant to SBA policies;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proceeds may not be used to remodel or convert any rental space in the property.</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For new construction, the applicant must occupy 60% of the rentable property, may permanently lease to a third party up to 20% and temporarily lease an additional 20% with the intention of using some of the additional 20% within 3 years and all of it within 10 years.</w:t>
      </w:r>
    </w:p>
    <w:p>
      <w:pPr>
        <w:spacing w:after="0" w:line="14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Newtek Bank’s policy regarding the use of real estate appraisals and environmental reports is intended to provide for a secure, orderly and independent process for the ordering, receipt and approval of independent valuation and environmental reports. CRE appraisals are required on all primary collateral prior to the loan closing. In general, appraisals will be required as follows:</w:t>
      </w:r>
    </w:p>
    <w:p>
      <w:pPr>
        <w:spacing w:after="0" w:line="157"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loans greater than $500,000 secured by commercial real property;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loans $500,000 or less secured by commercial real property, an appraisal will be required if such appraisal is necessary for appropriate evaluation of creditworthiness.</w:t>
      </w:r>
    </w:p>
    <w:p>
      <w:pPr>
        <w:spacing w:after="0" w:line="178" w:lineRule="exact"/>
        <w:rPr>
          <w:rFonts w:ascii="Times New Roman" w:cs="Times New Roman" w:eastAsia="Times New Roman" w:hAnsi="Times New Roman"/>
          <w:sz w:val="14"/>
          <w:szCs w:val="14"/>
          <w:color w:val="auto"/>
        </w:rPr>
      </w:pPr>
    </w:p>
    <w:p>
      <w:pPr>
        <w:ind w:left="520" w:right="220" w:hanging="260"/>
        <w:spacing w:after="0" w:line="25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appraiser must be either State-licensed or State-certified (except when the property’s estimated value is over $1,000,000, when the appraiser must be State-certified) and the appraisal report must conform to Uniform Standards of Professional Appraisal Practice (USPAP);</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Appraisal reviews are required for all CRE with an appraised value of $500,000 or more conducted by a licensed/certified and independent MAI appraiser.</w:t>
      </w:r>
    </w:p>
    <w:p>
      <w:pPr>
        <w:spacing w:after="0" w:line="18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An environmental investigation is performed of all commercial properties upon which a security interest such as a mortgage, deed of trust, or leasehold deed of trust is offered as security for a loan or debenture when SBA loan proceeds are used to acquire, refinance, or improve the real estate.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type and depth of an environmental investigation to be performed varies with the risks of Contamination.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environmental reports are required as follows:</w:t>
      </w:r>
    </w:p>
    <w:p>
      <w:pPr>
        <w:spacing w:after="0" w:line="232" w:lineRule="exact"/>
        <w:rPr>
          <w:sz w:val="20"/>
          <w:szCs w:val="20"/>
          <w:color w:val="auto"/>
        </w:rPr>
      </w:pPr>
    </w:p>
    <w:p>
      <w:pPr>
        <w:jc w:val="both"/>
        <w:ind w:left="520" w:right="20" w:hanging="260"/>
        <w:spacing w:after="0" w:line="244" w:lineRule="auto"/>
        <w:tabs>
          <w:tab w:leader="none" w:pos="516"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If there is a NAICS code match to an environmentally sensitive industry identified in the applicable Appendix of SBA SOP 50 10, the environmental investigation must begin with a Phase I, regardless of the amount of the loan. If the NAICS code begins with 457 (gas stations with or without convenience stores), the environmental investigation must begin with a Phase I and the SBA lender must also refer to and, if applicable, comply with “Environmental Investigation Requirements for Gas Station Loans” in the applicable Appendix of SBA SOP 50 10;</w:t>
      </w:r>
    </w:p>
    <w:p>
      <w:pPr>
        <w:spacing w:after="0" w:line="194" w:lineRule="exact"/>
        <w:rPr>
          <w:rFonts w:ascii="Arial" w:cs="Arial" w:eastAsia="Arial" w:hAnsi="Arial"/>
          <w:sz w:val="17"/>
          <w:szCs w:val="17"/>
          <w:color w:val="auto"/>
        </w:rPr>
      </w:pPr>
    </w:p>
    <w:p>
      <w:pPr>
        <w:ind w:left="500" w:hanging="240"/>
        <w:spacing w:after="0"/>
        <w:tabs>
          <w:tab w:leader="none" w:pos="50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If there is not a NAICS code match to an environmentally sensitive industry, or if the property is a unit in a multi-unit building, the SBA lender must proceed as follows:</w:t>
      </w:r>
    </w:p>
    <w:p>
      <w:pPr>
        <w:spacing w:after="0" w:line="16" w:lineRule="exact"/>
        <w:rPr>
          <w:rFonts w:ascii="Arial" w:cs="Arial" w:eastAsia="Arial" w:hAnsi="Arial"/>
          <w:sz w:val="17"/>
          <w:szCs w:val="17"/>
          <w:color w:val="auto"/>
        </w:rPr>
      </w:pPr>
    </w:p>
    <w:p>
      <w:pPr>
        <w:ind w:left="1020" w:hanging="251"/>
        <w:spacing w:after="0"/>
        <w:tabs>
          <w:tab w:leader="none" w:pos="1020" w:val="left"/>
        </w:tabs>
        <w:numPr>
          <w:ilvl w:val="1"/>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If the loan amount is up to and including $250,000, the environmental investigation may begin with an environmental questionnaire.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1020" w:hanging="251"/>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loan amount is more than $250,000, the environmental investigation must, at a minimum, begin with an environmental questionnaire and records search with risk assessment.</w:t>
      </w:r>
    </w:p>
    <w:p>
      <w:pPr>
        <w:spacing w:after="0" w:line="198"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Medical Professionals: </w:t>
      </w:r>
      <w:r>
        <w:rPr>
          <w:rFonts w:ascii="Times New Roman" w:cs="Times New Roman" w:eastAsia="Times New Roman" w:hAnsi="Times New Roman"/>
          <w:sz w:val="14"/>
          <w:szCs w:val="14"/>
          <w:color w:val="auto"/>
        </w:rPr>
        <w:t>In connection with a loan application relating to the financing of a medical business, all medical licenses will be verified, with the loss or non-renewal of license constituting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grounds for denial of the application. In addition, medical professionals must provide evidence of malpractice liability insurance of at least $2.0 million or the loan amount, whichever is higher. Malpractice insurance must be maintained for the life of the loan.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Package</w:t>
      </w:r>
    </w:p>
    <w:p>
      <w:pPr>
        <w:spacing w:after="0" w:line="19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For each loan application, the loan underwriter will prepare a credit package (the “Credit Package”). All credit and collateral issues are addressed in the Credit Package, including but not limited to, the terms and conditions of the loan request, use of proceeds, collateral adequacy, financial condition of the applicant and business, management strength, repayment ability and conditions precedent. The Underwriting Department will recommend approval, denial or modification of the loan application. The Credit Package is submitted to our credit committee for further review and final decision regarding the loan application.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rejections for ineligibility of the applicant, the type of business or the loan purpose, we may decline a loan application for the following reasons:</w:t>
      </w:r>
    </w:p>
    <w:p>
      <w:pPr>
        <w:spacing w:after="0" w:line="200" w:lineRule="exact"/>
        <w:rPr>
          <w:sz w:val="20"/>
          <w:szCs w:val="20"/>
          <w:color w:val="auto"/>
        </w:rPr>
      </w:pPr>
    </w:p>
    <w:p>
      <w:pPr>
        <w:ind w:left="520" w:right="2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taking into consideration prior liens and considered along with other credit factors, the net value of the collateral offered as security is not sufficient to protect the interest of the U.S. Government;</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of ability to repay loan (and other obligations) from earnings;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that the business can be operated at a rate of profit sufficient to repay the loan (and other obligations) from earnings;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disproportion of loan requested and of debts to tangible net worth before and after the loan;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working capital after the disbursement of the loan;</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 of granting the financial assistance requested would be to replenish funds distributed to the owners, partners, or shareholders;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 portion of the loan requested would be to refinance existing indebtedness presently financed through normal lending channels;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commensurate with applicant’s tangible net worth is already being provided on terms considered reasonable;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disproportion between owner’s actual investment and the loan requested;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reasonable assurance that applicant will comply with the terms of the loan agreement;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unsatisfactory experience on an existing loan; or</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or physical injury not substantiated.</w:t>
      </w:r>
    </w:p>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If a loan application is accepted, we enter the terms and conditions of the proposed SBA 7(a) loan into SBA’s ETRAN portal for review and approval. SBA will take on the responsibility for verification of the applicant eligibility requirements using SBA’s Risk Mitigation Framework, which uses processes in place across the financial services industry. SBA’s Risk Mitigation Framework will conduct compliance checks and should an error code be returned, we must clear the code in order to proceed. Once the code is cleared and SBA has issued an SBA loan number, we may continue processing the loan.</w:t>
      </w:r>
    </w:p>
    <w:p>
      <w:pPr>
        <w:spacing w:after="0" w:line="16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The closing of a loan is handled by SBL’s closing and legal department, consisting of loan closer, in-house attorneys and paralegals, whose primary responsibility is to close the loan in accordance with prudent lending standards and in compliance with SBA requirements thereby seeking to preserve SBA’s guaranty of repayment. Before loan proceeds are disbursed, the closing staff will review all required documentation (including but not limited to entity documentation, proof of insurance and licensing, environmental reports and appraisals), and will verify the applicant’s required capital injection, ensure that loan proceeds are being used as authorized and obtain required lien positions.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Maintenance of Credit Files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files (consisting of credit files, due diligence, loan closing documentation) are maintained and administered in the Newtek Loan Portal and permanently stored in the Newtek File Vault. The loan file contains all documentation necessary to show: (a) the basis and purpose of the loan, (b) compliance with policy, regulation, loan conditions (such as rate, terms of repayment, collateral), and (c) the authority for granting the loan. The loan file is subject to review or audit by the SBA at any time. The files are organized pursuant to a specified format which facilitates the consistency and readability of the documentation for reviewers and/or auditors. Portfolio and servicing documentation are also administered in the Newtek Loan Portal and permanently stored in the Newtek File Vault.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of Guaranteed Portions of SBA 7(a) Loans in the Secondary Market</w:t>
      </w:r>
    </w:p>
    <w:p>
      <w:pPr>
        <w:spacing w:after="0" w:line="19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4"/>
          <w:szCs w:val="14"/>
          <w:color w:val="auto"/>
        </w:rPr>
        <w:t>We have a dedicated capital markets team that sells the guaranteed portions of Newtek Bank’s SBA 7(a) loans shortly after origination and Newtek Bank retains the unguaranteed portions, Historically, NSBF sold SBA guaranteed portions of SBA 7(a) loans at premiums. Any portion of the premium that is above 110% of par value is shared equally with the SBA. However, there is no guarantee that Newtek Bank will be able to continue to earn premiums on future sales of the guaranteed portions of SBA 7(a) loans or will be able to maintain PLP status. See “Item 1A. Risk Factors - Risks Related to SBA Lending - We have specific risks associated with our secondary market sales of the guaranteed portions of SBA loans.”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We compete for SBA 7(a) and other SMB commercial loans with other financial institutions and various nonbank lenders, as well as other sources of funding. Additionally, competition for investment opportunities has emerged among alternative investment vehicles, such as collateralized loan obligations, some of which are sponsored by other alternative asset investors, as these entities have begun to focus on making investments in SMBs. As a result of these new entrants, competition for our lending opportunities may intensify. Many of these entities have greater financial and managerial resources than we do, but we believe that they invariably lack the ability to process loans as quickly as we can and do not have the depth of our customer service capabilities. We believe we will be able to compete with these entities primarily on the basis of our financial technology infrastructure, our experience and reputation, our deep industry knowledge and ability to provide customized business and financial solutions, our willingness to make smaller loans than specialty finance companies, the breadth of our contacts, our responsive and efficient underwriting analysis and decision-making processes, and the lending terms we offer.</w:t>
      </w:r>
    </w:p>
    <w:p>
      <w:pPr>
        <w:spacing w:after="0" w:line="16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and our subsidiaries compete in a large number of markets for the sale of financial and business solutions to independent business owners. We compete not only against suppliers in its particular state or region of the country but also against suppliers operating on a national or even a multi-national scale. None of the markets in which we compete are dominated by a small number of companies that could materially alter the terms of the competition.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electronic payment processing subsidiaries compete with entities including Fiserv, Global Payments, Worldpay, Elavon, and Paymentech, L.P.</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Our business finance ecosystem competes with regional and national banks and non-bank lenders. Other companies, including Intuit®, are bundling electronic payment processing and payroll services similar to ours in offerings that compete in the same SMB market. In addition, Newtek Bank competes with national banks, regional banks and digital banks to acquire and retain deposits. During 2023, the growing competition for deposits in general saw U.S. banks raising rates offered on deposits, which tended to increase weighted average deposit rates. To the extent that competition for deposits remains elevated relative to historical norms or increases from levels observed in 2023, we believe that our deposit costs could increase. Deposit costs are based on multiple factors that impact businesses and consumers and can diverge from observed market indices (e.g. US Treasuries, Prime or SOFR). To the extent deposit costs increase without a corresponding increase in the Prime rate, our profitability and net interest margins can be negatively impacted.</w:t>
      </w:r>
    </w:p>
    <w:p>
      <w:pPr>
        <w:spacing w:after="0" w:line="16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 many cases, we believe that our competitors are not as able as we are to take advantage of changes in business practices due to technological developments and, for those with a larger size, are unable to offer the personalized service that many independent business owners and operators desire.</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While we compete with many different providers in our various businesses, we have been unable to identify any direct and comprehensive competitors that deliver the same broad suite of services focused on the needs of the independent business owner market with the same marketing strategy as we do. We believe that some of the competitive advantages of our platform include: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20" w:right="2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compatible products such as our e-commerce offerings that we are able to bundle to increase sales, reduce costs and reduce risks for our customers and enable us to sell two, three, or four products at the same time;</w:t>
      </w:r>
    </w:p>
    <w:p>
      <w:pPr>
        <w:spacing w:after="0" w:line="145" w:lineRule="exact"/>
        <w:rPr>
          <w:rFonts w:ascii="Times New Roman" w:cs="Times New Roman" w:eastAsia="Times New Roman" w:hAnsi="Times New Roman"/>
          <w:sz w:val="14"/>
          <w:szCs w:val="14"/>
          <w:color w:val="auto"/>
        </w:rPr>
      </w:pPr>
    </w:p>
    <w:p>
      <w:pPr>
        <w:ind w:left="520" w:right="26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patented NewTracker® referral system, which allows us to process new business utilizing a web-based, centralized processing point and provides back end scalability, and allows our alliance partners to offer a centralized access point for their independent business owner clients as part of their larger strategic approach to marketing, thus demonstrating their focus on providing a suite of services to this market in addition to their core service;</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developing and marketing business solutions and financial products and services aimed at the independent business owner market;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scalability, which allows us to size our business solutions capabilities very quickly to meet customer and market needs;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personalized service and competitive rates;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strategy of multiple channel distribution, which gives us maximum exposure in the marketplace;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quality customer service 24/7/365 across all business lines, with a focus primarily on absolute customer service and;</w:t>
      </w:r>
    </w:p>
    <w:p>
      <w:pPr>
        <w:spacing w:after="0" w:line="199"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telephonic and video interview process, as opposed to requiring handwritten or data-typing processes, which allows us to offer high levels of customer service and satisfaction, particularly for independent business owner who do not get this service from our competitors.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including Senior Lending Team and Executive Officers</w:t>
      </w:r>
    </w:p>
    <w:p>
      <w:pPr>
        <w:spacing w:after="0" w:line="20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The long-term success of our Company depends on our people. Our team comprises experienced lending professionals, executive officers and treasury, finance, risk management, administrative support and human resources professionals.</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key members of our senior lending team (“Senior Lending Team”), many of whom have worked together for more than ten years, have over 25 years of experience in finance-related fields. These professionals have worked together to screen opportunities, underwrite new loans and manage a portfolio of loans made to independent business owner through two recessions, a credit crunch, the dot-com boom and bust, a leverage-fueled asset valuation bubble, and the COVID-19 pandemic. Each member brings a complementary component to a team well-rounded in lending, finance, accounting, operations, strategy, business law and executive management.</w:t>
      </w:r>
    </w:p>
    <w:p>
      <w:pPr>
        <w:spacing w:after="0" w:line="15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executive officers also oversee our subsidiaries and, to the extent that we may make additional equity investments in the future, the executive officers will also have primary responsibility for the identification, screening, review and completion of such investments. We do not expect to focus our resources on investing in additional stand-alone equity investments, but may elect to do so from time to time on an opportunistic basis, if such opportunities arise. Our CEO and Chief Lending Officer, Messrs. Sloane and Downs, have been involved together in the structuring and management of loans and equity investments for the past 20 years.</w:t>
      </w:r>
    </w:p>
    <w:p>
      <w:pPr>
        <w:spacing w:after="0" w:line="16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retention of our Senior Lending Team and executive officers is material to the management of our business. The departure of key management personnel could adversely affect our business. As such, we believe that we offer a competitive compensation and benefits structure that we believe is attractive to our current and prospective professionals. As we hire and develop individuals, we take succession planning into account and have succession plans in place for each of our senior leaders.</w:t>
      </w:r>
    </w:p>
    <w:p>
      <w:pPr>
        <w:spacing w:after="0" w:line="15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As of December 31, 2024, our workforce consisted of 591 professionals. We strive to continue to create a welcoming and inclusive work environment for our employees. We are committed to recruiting, motivating and developing a diversity of talent and to creating an inclusive community where all individuals are welcomed, valued, respected, and heard. In order to support a culture of learning, we provide many training opportunities for our employees to continue to build their skills and increase their effectiveness as members of a team, including offering a variety of external and internal classes and training sessions as well as hands-on learning and one-on-one mentorship. We continue to encourage dialogue between managers and employees.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We are committed to fostering a workplace conducive to the open communication of any concerns regarding unethical, fraudulent or illegal activities. Feedback from employees on matters related to their employment or our operations including its financial statement disclosures, accounting, internal accounting controls or auditing matters is greatly appreciated and helps to build a stronger organization. Each director, officer, regular full-time, part-time and temporary employee of the Company has the ability to report confidentially under the Company’s whistleblower policy: (a) questionable or improper accounting, internal controls, auditing matters, disclosure, or fraudulent business practices and (b) illegal or unethical behavior that has occurred, is ongoing, or is about to occur of an applicable law, rule, regulation or policy of the Company. We protect the confidentiality of those making reports of possible misconduct to the maximum extent permitted by law. Our no retaliation policy prohibits retaliation against those who report activities believed in good faith to be a violation of any law, rule, regulation or internal policy.</w:t>
      </w:r>
    </w:p>
    <w:p>
      <w:pPr>
        <w:spacing w:after="0" w:line="16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 xml:space="preserve">We maintain and ensure compliance of all directors, officers and employees to our Code of Business Conduct and Ethics (the “Code of Ethics”) which is acknowledged in writing on joining and annually by all our employees, as a continued condition of employment. Our Code of Ethics establishes applicable policies, guidelines, and procedures that promote ethical practices and conduct by the Company and all its employees, officers, and directors. Our Code of Ethics can be found on our website at </w:t>
      </w:r>
      <w:r>
        <w:rPr>
          <w:rFonts w:ascii="Times New Roman" w:cs="Times New Roman" w:eastAsia="Times New Roman" w:hAnsi="Times New Roman"/>
          <w:sz w:val="14"/>
          <w:szCs w:val="14"/>
          <w:i w:val="1"/>
          <w:iCs w:val="1"/>
          <w:color w:val="auto"/>
        </w:rPr>
        <w:t>https:/investor.newtekbusinessservices.com/corporate-governance</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4"/>
          <w:szCs w:val="14"/>
          <w:color w:val="auto"/>
        </w:rPr>
        <w:t>We aim to provide a safe environment at work. We maintain and support a remote work policy as an option for our employees. In addition to protecting the physical safety of our employees, we seek to promote a safe environment that is free of harassment or bullying. We do not tolerate discrimination and harassment of any kind including but not limited to sexual, gender identity, race, religion, ethnicity, age, or disability, among others. We emphasize employee engagement by encouraging ongoing dialogue with managers, colleagues and leaders. Communications are frequent and help us understand our employees’ diverse needs. We monitor our attrition and analyze reasons for leaving the Company. We value employee feedback and make adjustments to employees’ needs and concerns as they are raised.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SEC and in accordance with those requirements file reports, proxy statements and other information with the SEC. The SEC maintains a web site that contains reports, proxy and information statements and other information regarding registrants that file electronically with the SEC. The address of the SEC’s web site is http://www.sec.gov. Our principal offices are located at 4800 T Rex Avenue, Suite 120, Boca Raton, Florida and our telephone number is (212) 356-9500. Our website may be directly accessed at </w:t>
      </w:r>
      <w:r>
        <w:rPr>
          <w:rFonts w:ascii="Times New Roman" w:cs="Times New Roman" w:eastAsia="Times New Roman" w:hAnsi="Times New Roman"/>
          <w:sz w:val="14"/>
          <w:szCs w:val="14"/>
          <w:u w:val="single" w:color="auto"/>
          <w:color w:val="auto"/>
        </w:rPr>
        <w:t>http://www.newtekone.com</w:t>
      </w:r>
      <w:r>
        <w:rPr>
          <w:rFonts w:ascii="Times New Roman" w:cs="Times New Roman" w:eastAsia="Times New Roman" w:hAnsi="Times New Roman"/>
          <w:sz w:val="14"/>
          <w:szCs w:val="14"/>
          <w:color w:val="auto"/>
        </w:rPr>
        <w:t xml:space="preserve">. We make available through our website, free of charge,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These documents may be directly accessed at </w:t>
      </w:r>
      <w:r>
        <w:rPr>
          <w:rFonts w:ascii="Times New Roman" w:cs="Times New Roman" w:eastAsia="Times New Roman" w:hAnsi="Times New Roman"/>
          <w:sz w:val="14"/>
          <w:szCs w:val="14"/>
          <w:u w:val="single" w:color="auto"/>
          <w:color w:val="auto"/>
        </w:rPr>
        <w:t>https://investor.newtekbusinessservices.com.</w:t>
      </w:r>
      <w:r>
        <w:rPr>
          <w:rFonts w:ascii="Times New Roman" w:cs="Times New Roman" w:eastAsia="Times New Roman" w:hAnsi="Times New Roman"/>
          <w:sz w:val="14"/>
          <w:szCs w:val="14"/>
          <w:color w:val="auto"/>
        </w:rPr>
        <w:t xml:space="preserve"> Information contained on our website is not a part of this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We have adopted a code of ethics pursuant to Section 5610 of the Nasdaq Corporate Governance Requirements that establishes procedures for personal investments and restricts certain transactions by our personnel. Our code of ethics generally does not permit investments by our employees in securities that may be purchased or held by us. The code of ethics is published and available on the Company’s website at https://investor.newtekbusinessservices.com/corporate-governance, is attached as an exhibit and is available on the EDGAR Database on the SEC’s Internet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obtain copies of the code of ethics, after paying a duplicating fee, by electronic request at the following email address: publicinfo@sec.gov.</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Privacy Principles</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We are committed to maintaining the privacy of our shareholders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5"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Generally, we do not receive any non-public personal information relating to our shareholders, although certain non-public personal information of our shareholders may become available to us. We do not disclose any non-public personal information about our shareholders or former shareholders to anyone, except as permitted by law or as is necessary in order to service shareholder accounts (for example, to a transfer agent).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Sarbanes-Oxley Act of 2002 (the “Sarbanes-Oxley Act”) imposes a wide variety of regulatory requirements on publicly-held companies and their insiders. Many of these requirements affect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example:</w:t>
      </w:r>
    </w:p>
    <w:p>
      <w:pPr>
        <w:spacing w:after="0" w:line="185" w:lineRule="exact"/>
        <w:rPr>
          <w:sz w:val="20"/>
          <w:szCs w:val="20"/>
          <w:color w:val="auto"/>
        </w:rPr>
      </w:pPr>
    </w:p>
    <w:p>
      <w:pPr>
        <w:ind w:left="520" w:right="24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13a-14 of the Exchange Act, our Chief Executive Officer and Chief Financial Officer must certify the accuracy of the consolidated financial statements contained in our periodic reports;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307 of Regulation S-K, our periodic reports must disclose our conclusions about the effectiveness of our disclosure controls and procedures;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13a-15 of the Exchange Act, our management must prepare a report regarding its assessment of our internal controls over financial reporting; and</w:t>
      </w:r>
    </w:p>
    <w:p>
      <w:pPr>
        <w:spacing w:after="0" w:line="199" w:lineRule="exact"/>
        <w:rPr>
          <w:rFonts w:ascii="Times New Roman" w:cs="Times New Roman" w:eastAsia="Times New Roman" w:hAnsi="Times New Roman"/>
          <w:sz w:val="14"/>
          <w:szCs w:val="14"/>
          <w:color w:val="auto"/>
        </w:rPr>
      </w:pPr>
    </w:p>
    <w:p>
      <w:pPr>
        <w:ind w:left="520" w:right="14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308 of Regulation S-K and Rule 13a-15 of the Exchange Act, our periodic reports must disclose whether there were significant changes in our internal controls or in other factors that could significantly affect these controls subsequent to the date of their evaluation, including any corrective actions with regard to significant deficiencies and material weaknesses.</w:t>
      </w:r>
    </w:p>
    <w:p>
      <w:pPr>
        <w:spacing w:after="0" w:line="15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 periodically examined by the SEC for compliance with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Nasdaq Global Market Requirements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have adopted certain policies and procedures intended to comply with the Nasdaq Global Market’s corporate governance rules. We will continue to monitor our compliance with all future listing standards that are approved by the SEC and will take actions necessary to ensure that we are in compliance therewith.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SBA Regulation of SBA 7(a) Lenders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Newtek Bank is licensed by the SBA to make loans under the SBA 7(a) Program and our wholly-owned subsidiary, NSBF, is licensed by the SBA as an SBLC that originated loans through the SBA 7(a) Program. NSBF is currently winding down its operations and is no longer originating new SBA 7(a) loans, but remains subject to SBA regulation during its wind-down process. (See Wind-down Agreement below.)</w:t>
      </w:r>
    </w:p>
    <w:p>
      <w:pPr>
        <w:spacing w:after="0" w:line="15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SBA generally reduces risks to lenders by guaranteeing major portions of qualified loans made to small businesses. This enables lenders to provide financing to small businesses when funding may otherwise be unavailable or not available on reasonable terms. Under the SBA 7(a) Program, the SBA typically guarantees 75% of qualified loans over $150,000. The eligibility requirements of the SBA 7(a) Program vary by the industry of the borrower and affiliates and other factors.</w:t>
      </w:r>
    </w:p>
    <w:p>
      <w:pPr>
        <w:spacing w:after="0" w:line="15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The SBA grants PLP status to certain lenders originating SBA 7(a) loans based on achievement of certain standards in lending, which are regularly monitored by the SBA. Newtek Bank has been granted national PLP status and originates, sells and services SBA 7(a) loans. As a Preferred Lender, Newtek Bank is authorized to place SBA guarantees on SBA 7(a) loans without seeking prior SBA review and approval. Designated PLP lenders are delegated the authority to process, close, service, and liquidate most SBA guaranteed loans without prior SBA review. PLP lenders are authorized to make SBA guaranteed loans, subject only to a brief eligibility review and assignment of a loan number by SBA. In addition, they are expected to handle servicing and liquidation of all of their SBA loans with limited involvement of SBA. If Newtek Bank were to lose PLP status, it would have a material adverse impact on its ability to originate loans at current levels. See “Item 1A. Risk Factors - Risks Related to SBA Lending - There can be no guarantee that Newtek Bank will be able to maintain its SBA 7(a) lending license and PLP status.”</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Pursuant to the SBA’s regulations, the SBA is released from liability on its guaranty of a SBA 7(a) loan and may, in its sole discretion, refuse to honor a guaranty purchase request in full or in part, or recover from the lender all or part of the funds already paid in connection with a guaranty purchase, if the lender failed to comply materially with an SBA Loan Program Requirement; failed to make, close, service or liquidate the loan in a prudent manner; placed the SBA at risk through improper action or inaction; failed to disclose a material fact to the SBA in a timely manner; or misrepresented a material fact to the SBA regarding the loan. In certain instances, the SBA may refuse to honor a guaranty purchase request in full (referred to by the SBA as a “denial”) or in part (referred to by the SBA as a “repair”), or recover all or part of the funds already paid in connection with a guaranty purchase. In the event of a repair or denial, liability on the guaranty, in whole or part, would be transferred to NSBF or Newtek Bank. In addition, the growth in the number of loans made by Newtek Bank, changes in SBA regulations and economic factors may adversely impact our current repair and denial rates. See “Item 1A. Risk Factors - Risks Related to SBA Lending - We have specific risks associated with our secondary market sales of the guaranteed portions of SBA loans.”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has been winding-down its operations and NSBF’s SBA 7(a) pipeline of new loans were transitioned to Newtek Bank. During this wind-down process, NSBF continues to own the SBA 7(a) loans and PPP Loans currently in its SBA loan portfolio to maturity, liquidation, charge-off or (subject to SBA’s prior written approval) sale or transfer. SBL is servicing and liquidating NSBF’s SBA loan portfolio pursuant to an SBA approved lender service provider agreement. In addition, during the wind-down process, NSBF is subject to minimum capital requirements established by the SBA, is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originated and sold by NSBF, from the proceeds generated by NSBF’s SBA loan portfolio. The Company has guaranteed certain of NSBF’s obligations to the SBA.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as a Financial Holding Company</w:t>
      </w:r>
    </w:p>
    <w:p>
      <w:pPr>
        <w:spacing w:after="0" w:line="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Prior to our conversion on January 6, 2023 to a financial holding company from a BDC, for any taxable year in which we qualified as a RIC and satisfied the Annual Distribution Requirement, we generally were not be subject to U.S. federal income tax on the portion of our income we distributed to our stockholders. In order to comply with these requirements, we maintained a dividend policy of making quarterly distributions in an amount that approximated 90 - 100% of the Company's annual taxable income. Beginning with 2023, the Company and its subsidiaries no longer qualify as a RIC and files a consolidated U.S. federal income tax return.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income tax rates impacting the amounts and timing of cash flows and the amounts of income tax expense recorded by the Company, because such rates will be dependent upon the nature and amount of future income and expenses as well as actual investments generating investment tax credits and transactions with discrete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following is a summary of the risk factors that we believe are most relevant to our business. These are factors that, individually or in the aggregate, we think could cause our actual results to differ significantly from anticipated or historical results. If any of the following risks occur, our business, financial condition and results of operations could be materially and adversely affected. In that case, the value of our common stock could decline and shareholders may lose all or part of their investment. You should understand that it is not possible to predict or identify all such factors. Consequently, you should not consider the following to be a complete discussion of all potential risks or uncertainties. We undertake no obligation to publicly update forward-looking statements, whether as a result of new information, future events, or otherwise, unless required by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investment in our securities involves risks. The following is a summary of the principal risks that you should carefully consider before investing in our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Operation as a Financial Holding Company</w:t>
      </w:r>
    </w:p>
    <w:p>
      <w:pPr>
        <w:spacing w:after="0" w:line="191" w:lineRule="exact"/>
        <w:rPr>
          <w:sz w:val="20"/>
          <w:szCs w:val="20"/>
          <w:color w:val="auto"/>
        </w:rPr>
      </w:pPr>
    </w:p>
    <w:p>
      <w:pPr>
        <w:ind w:left="520" w:right="340" w:hanging="260"/>
        <w:spacing w:after="0" w:line="24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environment and are subject to extensive regulation and supervision as a financial holding company, and if we are found to be in violation of any of the federal, state or local laws or regulations applicable to us, our business could suffer.</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governing our operations may adversely affect our business or cause us to alter our business strategy.</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regulation and supervision as a financial holding company, which may adversely affect our business.</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adversely affected by increased governmental and regulatory scrutiny or negative publicity.</w:t>
      </w:r>
    </w:p>
    <w:p>
      <w:pPr>
        <w:ind w:left="520" w:right="680" w:hanging="260"/>
        <w:spacing w:after="0" w:line="22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applicable laws, regulations or commitments, or to satisfy our regulators’ supervisory expectations, could subject us to, among other things, supervisory or enforcement action, which could adversely affect our business, financial condition and results of operations.</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law may discourage certain acquisitions of our common stock which could have a material adverse effect on our shareholders.</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 withdrawal of the Company’s election to be regulated as a BDC resulted in a significant change in our accounting and financial reporting requirements.</w:t>
      </w: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deemed to be an investment company under the Investment Company Act of 194, we will not be able to be successfully execute our business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Economy</w:t>
      </w:r>
    </w:p>
    <w:p>
      <w:pPr>
        <w:spacing w:after="0" w:line="202" w:lineRule="exact"/>
        <w:rPr>
          <w:sz w:val="20"/>
          <w:szCs w:val="20"/>
          <w:color w:val="auto"/>
        </w:rPr>
      </w:pPr>
    </w:p>
    <w:p>
      <w:pPr>
        <w:ind w:left="520" w:right="400" w:hanging="260"/>
        <w:spacing w:after="0" w:line="26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social and market conditions, including uncertainty about the financial stability of the United States could have a significant adverse effect on our business, operating results and financial condition.</w:t>
      </w:r>
    </w:p>
    <w:p>
      <w:pPr>
        <w:ind w:left="520" w:right="46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health emergency, or the threat thereof, and the resulting financial and economic market uncertainty could have a significant adverse impact on us and the fair value of our investments, our subsidiaries and our clients.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recessions or downturns could impair our clients and our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may adversely affect our business, operating results and financial condition.</w:t>
      </w:r>
    </w:p>
    <w:p>
      <w:pPr>
        <w:spacing w:after="0" w:line="8" w:lineRule="exact"/>
        <w:rPr>
          <w:rFonts w:ascii="Times New Roman" w:cs="Times New Roman" w:eastAsia="Times New Roman" w:hAnsi="Times New Roman"/>
          <w:sz w:val="14"/>
          <w:szCs w:val="14"/>
          <w:color w:val="auto"/>
        </w:rPr>
      </w:pPr>
    </w:p>
    <w:p>
      <w:pPr>
        <w:ind w:left="520" w:right="40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attacks, acts of war, global health emergencies or natural disasters may impact the businesses in which we lend to and/or operate, and harm our business, operating results and financial condition.</w:t>
      </w:r>
    </w:p>
    <w:p>
      <w:pPr>
        <w:ind w:left="520" w:right="380" w:hanging="260"/>
        <w:spacing w:after="0" w:line="26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cannot obtain additional capital because of either regulatory or market price constraints, we could be forced to curtail or cease our new lending activities and the value of our loan portfolio value could decrease and our level of liquidity and distributions could be affected adversely.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Structure</w:t>
      </w:r>
    </w:p>
    <w:p>
      <w:pPr>
        <w:spacing w:after="0" w:line="202" w:lineRule="exact"/>
        <w:rPr>
          <w:sz w:val="20"/>
          <w:szCs w:val="20"/>
          <w:color w:val="auto"/>
        </w:rPr>
      </w:pPr>
    </w:p>
    <w:p>
      <w:pPr>
        <w:ind w:left="520" w:hanging="260"/>
        <w:spacing w:after="0" w:line="25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Senior Lending Team and our executive officers for our future success, and if we are unable to hire and retain qualified personnel or if we lose any member of our Senior Lending Team or our executive officers our ability to execute on our business plan could be significantly harmed.</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the soundness of other financial institutions.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for clients, which could reduce returns and result in losses.</w:t>
      </w:r>
    </w:p>
    <w:p>
      <w:pPr>
        <w:ind w:left="520" w:hanging="260"/>
        <w:spacing w:after="0" w:line="23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acquire and process clients effectively, we may be unable to achieve our business objectives.</w:t>
      </w:r>
    </w:p>
    <w:p>
      <w:pPr>
        <w:ind w:left="520" w:hanging="260"/>
        <w:spacing w:after="0" w:line="23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adversely affected if our risk management framework does not effectively identify, assess and mitigate risk.</w:t>
      </w:r>
    </w:p>
    <w:p>
      <w:pPr>
        <w:ind w:left="520" w:hanging="260"/>
        <w:spacing w:after="0" w:line="23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could adversely affect our business and financial results.</w:t>
      </w:r>
    </w:p>
    <w:p>
      <w:pPr>
        <w:ind w:left="520" w:hanging="260"/>
        <w:spacing w:after="0" w:line="237"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expose ourselves to risks as we engage in hedging transactions.</w:t>
      </w:r>
    </w:p>
    <w:p>
      <w:pPr>
        <w:ind w:left="26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maintain adequate liquidity could jeopardize our business and financial condition.</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acquisitions and other strategic transactions, including the acquisition of Newtek Bank, may not yield the intended benefits.</w:t>
      </w:r>
    </w:p>
    <w:p>
      <w:pPr>
        <w:ind w:left="520" w:right="300" w:hanging="260"/>
        <w:spacing w:after="0" w:line="23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control deficiencies could impact the accuracy of our financial results or prevent the detection of fraud. As a result, shareholders could lose confidence in our financial and other public reporting, which would harm our business and the trading price of our common stock.</w:t>
      </w:r>
    </w:p>
    <w:p>
      <w:pPr>
        <w:ind w:left="520" w:right="100" w:hanging="260"/>
        <w:spacing w:after="0" w:line="23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and 2024, we identified and remediated material weaknesses in our internal controls over financial reporting which, if not remediated, could have adversely affected our ability to report our financial condition and results of operations in a timely and accurate manner, investor confidence in our Company and, as a result the value of our common stock.</w:t>
      </w:r>
    </w:p>
    <w:p>
      <w:pPr>
        <w:ind w:left="520" w:hanging="260"/>
        <w:spacing w:after="0" w:line="221"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increasingly complex governance, public disclosure and accounting requirements that are costly and could adversely affect our business and financial results.</w:t>
      </w:r>
    </w:p>
    <w:p>
      <w:pPr>
        <w:ind w:left="520" w:right="200" w:hanging="260"/>
        <w:spacing w:after="0" w:line="23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clients may be concentrated in a limited number of industries, which may subject us to a risk of significant loss if there is a downturn in a particular industry in which a number of our loans are concentrated.</w:t>
      </w:r>
    </w:p>
    <w:p>
      <w:pPr>
        <w:ind w:left="520" w:hanging="260"/>
        <w:spacing w:after="0" w:line="23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and our subsidiaries are unable to protect our intellectual property rights, our business and prospects could be harmed.</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use of Artificial Intelligence (“AI”) present risks and challenges that may adversely impact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SBA Lending</w:t>
      </w:r>
    </w:p>
    <w:p>
      <w:pPr>
        <w:spacing w:after="0" w:line="203"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to the SBA 7(a) Program can negatively impact our SBA 7(a) loan origination volume.</w:t>
      </w:r>
    </w:p>
    <w:p>
      <w:pPr>
        <w:ind w:left="520" w:hanging="260"/>
        <w:spacing w:after="0" w:line="23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can be no guarantee that Newtek Bank will be able to maintain its SBA 7(a) lending license and PLP status.</w:t>
      </w:r>
    </w:p>
    <w:p>
      <w:pPr>
        <w:ind w:left="520" w:hanging="260"/>
        <w:spacing w:after="0" w:line="23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NSBF will remain subject to SBA regulation as it winds down its operations.</w:t>
      </w:r>
    </w:p>
    <w:p>
      <w:pPr>
        <w:ind w:left="520" w:hanging="260"/>
        <w:spacing w:after="0" w:line="23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specific risks associated with our secondary market sales of the guaranteed portions of SBA loans.</w:t>
      </w:r>
    </w:p>
    <w:p>
      <w:pPr>
        <w:ind w:left="520" w:right="100" w:hanging="260"/>
        <w:spacing w:after="0" w:line="23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NSBF or Newtek Bank fail to comply with SBA regulations in connection with the origination, servicing, or liquidation of an SBA 7(a) loan, liability on the SBA guaranty, in whole or in part, could be transferred to NSBF or Newtek Bank.</w:t>
      </w:r>
    </w:p>
    <w:p>
      <w:pPr>
        <w:ind w:left="520" w:hanging="260"/>
        <w:spacing w:after="0" w:line="23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Curtailment of the government-guaranteed loan programs could adversely affect our results of operations.</w:t>
      </w:r>
    </w:p>
    <w:p>
      <w:pPr>
        <w:ind w:left="520" w:hanging="260"/>
        <w:spacing w:after="0" w:line="221"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loans under the SBA 7(a) Program involve a high risk of default and such default could adversely impact our results of operations.</w:t>
      </w:r>
    </w:p>
    <w:p>
      <w:pPr>
        <w:ind w:left="520" w:hanging="260"/>
        <w:spacing w:after="0" w:line="23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we make under the SBA 7(a) Program face competition.</w:t>
      </w:r>
    </w:p>
    <w:p>
      <w:pPr>
        <w:ind w:left="520" w:hanging="260"/>
        <w:spacing w:after="0" w:line="23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governmental failure to fund the SBA could adversely affect Newtek Bank’s SBA 7(a) loan originations and our results of operations.</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weakness in the residential housing and CRE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Payment Processing</w:t>
      </w:r>
    </w:p>
    <w:p>
      <w:pPr>
        <w:spacing w:after="0" w:line="191"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if any bank sponsorship is terminated.</w:t>
      </w:r>
    </w:p>
    <w:p>
      <w:pPr>
        <w:spacing w:after="0" w:line="14" w:lineRule="exact"/>
        <w:rPr>
          <w:rFonts w:ascii="Times New Roman" w:cs="Times New Roman" w:eastAsia="Times New Roman" w:hAnsi="Times New Roman"/>
          <w:sz w:val="14"/>
          <w:szCs w:val="14"/>
          <w:color w:val="auto"/>
        </w:rPr>
      </w:pPr>
    </w:p>
    <w:p>
      <w:pPr>
        <w:ind w:left="520" w:right="200" w:hanging="260"/>
        <w:spacing w:after="0" w:line="23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NMS or its processors or bank sponsors fail to adhere to the standards of the Visa® and Mastercard® bankcard associations, its registrations with these associations could be terminated and it could be required to stop providing payment processing services for Visa® and Mastercard®.</w:t>
      </w:r>
    </w:p>
    <w:p>
      <w:pPr>
        <w:ind w:left="520" w:hanging="260"/>
        <w:spacing w:after="0" w:line="237" w:lineRule="auto"/>
        <w:tabs>
          <w:tab w:leader="none" w:pos="5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occasion, NMS experiences increases in interchange and sponsorship fees. If it cannot pass along these increases to its merchants, its profit margins will be reduced.</w:t>
      </w:r>
    </w:p>
    <w:p>
      <w:pPr>
        <w:ind w:left="520" w:hanging="260"/>
        <w:spacing w:after="0" w:line="23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is liable if its processing merchants refuse or cannot reimburse charge-backs resolved in favor of their customers.</w:t>
      </w:r>
    </w:p>
    <w:p>
      <w:pPr>
        <w:ind w:left="520" w:hanging="260"/>
        <w:spacing w:after="0" w:line="23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has potential liability for customer or merchant fraud.</w:t>
      </w:r>
    </w:p>
    <w:p>
      <w:pPr>
        <w:ind w:left="520" w:hanging="260"/>
        <w:spacing w:after="0" w:line="23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and others in the payment processing industry have come under increasing pressures from various regulatory agencies seeking to use the leverage of the payment processing business to limit or modify the practices of merchants which could lead to increased costs.</w:t>
      </w:r>
    </w:p>
    <w:p>
      <w:pPr>
        <w:ind w:left="520" w:right="240" w:hanging="260"/>
        <w:spacing w:after="0" w:line="235"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regulatory focus on the payments industry may result in costly new compliance burdens on NMS’ clients and on NMS itself, leading to increased costs and decreased payments volume and 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Newtek Bank</w:t>
      </w:r>
    </w:p>
    <w:p>
      <w:pPr>
        <w:spacing w:after="0" w:line="255" w:lineRule="exact"/>
        <w:rPr>
          <w:sz w:val="20"/>
          <w:szCs w:val="20"/>
          <w:color w:val="auto"/>
        </w:rPr>
      </w:pPr>
    </w:p>
    <w:p>
      <w:pPr>
        <w:ind w:left="520" w:right="140" w:hanging="260"/>
        <w:spacing w:after="0" w:line="249" w:lineRule="auto"/>
        <w:tabs>
          <w:tab w:leader="none" w:pos="516"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credit decisioning, pricing, loss forecasting and scoring models we use contain errors, do not adequately assess risk, or are otherwise ineffective, our reputation and relationships with customers could be harmed, our market share could decline and the value of loans held on our balance sheet may be adversely affected.</w:t>
      </w:r>
    </w:p>
    <w:p>
      <w:pPr>
        <w:ind w:left="520" w:right="60" w:hanging="260"/>
        <w:spacing w:after="0" w:line="24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collection efforts on delinquent loans are ineffective or unsuccessful, the return on investment for investors in those loans would be adversely affected and investors may not find investing through our marketplace bank desirable.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Payroll Processing</w:t>
      </w:r>
    </w:p>
    <w:p>
      <w:pPr>
        <w:spacing w:after="0" w:line="19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Newtek Payroll and Benefit Solutions (“PMT”) is subject to risks surrounding Automated Clearing House (“ACH”) payments.</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PMT could incur unreimbursed costs or damages due to delays in processing inherent in the banking system.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Capco Business</w:t>
      </w:r>
    </w:p>
    <w:p>
      <w:pPr>
        <w:spacing w:after="0" w:line="191" w:lineRule="exact"/>
        <w:rPr>
          <w:sz w:val="20"/>
          <w:szCs w:val="20"/>
          <w:color w:val="auto"/>
        </w:rPr>
      </w:pPr>
    </w:p>
    <w:p>
      <w:pPr>
        <w:ind w:left="520" w:hanging="260"/>
        <w:spacing w:after="0" w:line="239"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Capco programs and the tax credits they provided were created by state legislation and implemented through regulation, and such laws and rules are subject to possible action to repeal or retroactively revise the programs for political, economic or other reasons. Such an attempted repeal or revision would create substantial difficulty for the Capco programs and could, if ultimately successful, cause us material financial harm.</w:t>
      </w:r>
    </w:p>
    <w:p>
      <w:pPr>
        <w:spacing w:after="0" w:line="1" w:lineRule="exact"/>
        <w:rPr>
          <w:rFonts w:ascii="Times New Roman" w:cs="Times New Roman" w:eastAsia="Times New Roman" w:hAnsi="Times New Roman"/>
          <w:sz w:val="14"/>
          <w:szCs w:val="14"/>
          <w:color w:val="auto"/>
        </w:rPr>
      </w:pPr>
    </w:p>
    <w:p>
      <w:pPr>
        <w:ind w:left="520" w:hanging="260"/>
        <w:spacing w:after="0" w:line="24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our Capcos are subject to requirements under state law, a failure of any of them to meet these requirements could subject the Capco and our shareholders to the loss of one or more Capcos.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Securities</w:t>
      </w:r>
    </w:p>
    <w:p>
      <w:pPr>
        <w:spacing w:after="0" w:line="191" w:lineRule="exact"/>
        <w:rPr>
          <w:sz w:val="20"/>
          <w:szCs w:val="20"/>
          <w:color w:val="auto"/>
        </w:rPr>
      </w:pPr>
    </w:p>
    <w:p>
      <w:pPr>
        <w:ind w:left="520" w:right="100" w:hanging="260"/>
        <w:spacing w:after="0" w:line="249"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issuances of our common stock or other securities, including preferred shares, may dilute the per share book value of our common stock or have other adverse consequences to our common shareholders.</w:t>
      </w:r>
    </w:p>
    <w:p>
      <w:pPr>
        <w:ind w:left="520" w:hanging="260"/>
        <w:spacing w:after="0" w:line="237" w:lineRule="auto"/>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and issuance of “blank check” preferred shares could have an anti-takeover effect detrimental to the interests of our shareholders.</w:t>
      </w:r>
    </w:p>
    <w:p>
      <w:pPr>
        <w:ind w:left="520" w:right="60" w:hanging="260"/>
        <w:spacing w:after="0" w:line="23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the Maryland General Corporation Law and of our charter and bylaws could deter takeover attempts and have an adverse impact on the price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Outstanding Indebtedness</w:t>
      </w:r>
    </w:p>
    <w:p>
      <w:pPr>
        <w:spacing w:after="0" w:line="191"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150% asset coverage requirements due to covenants contained in certain of our outstanding debt.</w:t>
      </w:r>
    </w:p>
    <w:p>
      <w:pPr>
        <w:spacing w:after="0" w:line="8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Risks Related to Cybersecurity</w:t>
      </w:r>
    </w:p>
    <w:p>
      <w:pPr>
        <w:spacing w:after="0" w:line="1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We could be adversely affected by information security breaches or cyber security attacks.</w:t>
      </w:r>
    </w:p>
    <w:p>
      <w:pPr>
        <w:spacing w:after="0" w:line="3" w:lineRule="exact"/>
        <w:rPr>
          <w:rFonts w:ascii="Times New Roman" w:cs="Times New Roman" w:eastAsia="Times New Roman" w:hAnsi="Times New Roman"/>
          <w:sz w:val="14"/>
          <w:szCs w:val="14"/>
          <w:b w:val="1"/>
          <w:bCs w:val="1"/>
          <w:i w:val="1"/>
          <w:iCs w:val="1"/>
          <w:color w:val="auto"/>
        </w:rPr>
      </w:pPr>
    </w:p>
    <w:p>
      <w:pPr>
        <w:ind w:left="520" w:right="20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in cyber-security systems, as well as the occurrence of events unanticipated in our disaster recovery systems and management continuity planning could impair our ability to conduct business effectively.</w:t>
      </w: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subsidiaries are subject to risks associated with “phishing” and other cyber-attack.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202"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price may be volatile and may decrease substantially.</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fluctuations in our quarterly and annual results.</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how new tax legislation will affect us, our investments, or our stockholders, and any such legislation could adversely affect our business.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corporate social responsibility.</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global climate change may impact our operations and the operations of our subsidiaries and clients.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7"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OPERATION AS A FINANCIAL HOLDING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banking industry is highly regulated, and the regulatory framework, together with any future legislative or regulatory changes, may have a significant adverse effect on our operations.</w:t>
      </w:r>
    </w:p>
    <w:p>
      <w:pPr>
        <w:spacing w:after="0" w:line="1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The banking industry is extensively regulated and supervised under both federal and state laws and regulations that are intended primarily for the protection of depositors, customers, federal deposit insurance funds, and the banking system as a whole, not for the protection of security holders. We are subject to regulation and supervision by the FDIC, OCC and Federal Reserve.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maintenance of adequate capital and liquidity, changes in the control of Newtek Bank and us, restrictions on dividends, and establishment of new offices. We must obtain approval from our regulators before engaging in certain activities or acquisitions, and there is the risk that such approvals may not be obtained, either in a timely manner or at all. Our regulators also have the ability to compel us to take,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civil money penalties, or damage to our reputation, all of which could have a material adverse effect on our business, financial condition or results of operations.</w:t>
      </w:r>
    </w:p>
    <w:p>
      <w:pPr>
        <w:spacing w:after="0" w:line="17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Federal and state banking laws and regulations, as well as interpretations and implementations of these laws and regulations, are continually undergoing substantial review and change. Financial institutions generally have also been subject to increased scrutiny from regulatory authorities. These changes and increased scrutiny have resulted and may continue to result in increased costs of doing business and may in the future result in decreased revenues and net income, reduce our ability to effectively compete to attract and retain customers, or make it less attractive for us to continue providing certain products and services. Any future changes in federal and state law and regulations, as well as the interpretations and implementations, or modifications or repeals, of such laws and regulations, could affect us in substantial and unpredictable ways, including those listed above or other ways that could have a material adverse effect on our business, financial condition or results of operations.</w:t>
      </w:r>
    </w:p>
    <w:p>
      <w:pPr>
        <w:spacing w:after="0" w:line="164"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4"/>
          <w:szCs w:val="14"/>
          <w:color w:val="auto"/>
        </w:rPr>
        <w:t>Our inability to remain in compliance with regulatory requirements could have a material adverse effect on our operations in that market and on our reputation generally. No assurance can be given that applicable laws or regulations will not be amended or construed differently or that new laws and regulations will not be adopted, either of which could materially adversely affect our business, financial condition or results of operations.</w:t>
      </w:r>
    </w:p>
    <w:p>
      <w:pPr>
        <w:spacing w:after="0" w:line="236" w:lineRule="auto"/>
        <w:rPr>
          <w:sz w:val="20"/>
          <w:szCs w:val="20"/>
          <w:color w:val="auto"/>
        </w:rPr>
      </w:pPr>
      <w:r>
        <w:rPr>
          <w:rFonts w:ascii="Times New Roman" w:cs="Times New Roman" w:eastAsia="Times New Roman" w:hAnsi="Times New Roman"/>
          <w:sz w:val="14"/>
          <w:szCs w:val="14"/>
          <w:color w:val="auto"/>
        </w:rPr>
        <w:t>The USA PATRIOT Act of 2001 and the Bank Secrecy Act, or the BSA, require financial institutions to design and implement programs to prevent financial institutions from being used for money laundering and terrorist activities. Federal and state bank regulators also have focused on compliance with Bank Secrecy Act and anti-money laundering regulations. Failure to comply with these regulations could result in fines or sanctions, including restrictions on conducting acquisitions or expanding activities. During the last several years, several banking institutions have received large fines for non-compliance with these laws and regulations. Although we have policies and procedures designed to assist in compliance with the BSA and other anti-money laundering laws and regulations, there can be no assurance that such policies or procedures will work effectively all of the time or protect us against liability for actions taken by our employees, agents, and intermediaries with respect to our business or any businesses that we may acquire. Failure to maintain and implement adequate programs to combat money laundering and terrorist financing could also have serious reputational consequences for us, which could have a material adverse effect on our business, financial condition or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regulations, or policies may adversely affect our business.</w:t>
      </w:r>
    </w:p>
    <w:p>
      <w:pPr>
        <w:spacing w:after="0" w:line="19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We are unable to predict all of the ways in which any change in the regulatory environment could impact our anticipated business models or objectives. The laws and regulations governing lending, servicing, and debt collection activities or the regulatory or enforcement environment at the federal level or in any of the states in which we anticipate operating may change at any time which may have an adverse effect on our current or anticipated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level of regulatory scrutiny may also fluctuate over time based on numerous factors, including changes in the U.S. presidential administrations or one or both houses of Congress and public sentiment regarding financial institutions (which can be influenced by scandals and other incidents that involve participants in the industry). Recent political developments, including the new U.S. presidential administration, have added additional uncertainty with respect to new laws or regulations or changes in the interpretations or enforcement of existing laws or regulations, including potential deregulation in some areas. We are unable to predict the form or nature of any future changes to the laws, rules, regulations, or supervisory guidance and policies, including the interpretation or implementation thereof. Changes in laws and regulations may increase our operating costs or reduce our revenues, limit the types of financial services and products we may offer, alter the investments we may make, affect the way we conduct our business and operations, increase our litigation and regulatory costs, and enhance the ability of others to offer more competitive financial services and products. We continue to devote substantial time and resources to risk management, compliance, regulatory-change management, and cybersecurity and other technology initiatives, each of which—whether successful or not—also may adversely affect our ability to operate profitably or to pursue advantageous business opportunities.</w:t>
      </w:r>
    </w:p>
    <w:p>
      <w:pPr>
        <w:spacing w:after="0" w:line="17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For example, the federal banking agencies issued a final rule in October 2023 that largely begins to apply in January 2026 and may make it more challenging and/or costly for insured depository institutions to achieve an Outstanding or Satisfactory CRA rating. If Newtek Bank is unable to maintain at least a “Satisfactory” CRA rating, its ability to complete the acquisition of another financial institution or open a new branch will be adversely impacted. Newtek Bank received a rating of “Satisfactory” in its most recent CRA performance evaluation. We are unable to predict how future legislative proposals or programs will be administered or implemented or in what form, or whether any additional or similar changes to statutes or regulations, including the interpretation or implementation thereof, will occur in the future. Any such action could affect us in substantial and unpredictable ways and could have an adverse effect on our anticipated business operations.</w:t>
      </w:r>
    </w:p>
    <w:p>
      <w:pPr>
        <w:spacing w:after="0" w:line="1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Our inability to comply with regulatory requirements in a particular jurisdiction could have a material adverse effect on our anticipated operations in that market and on our reputation generally. No assurance can be given that applicable laws or regulations will not be amended or construed differently or that new laws and regulations will not be adopted, either of which could materially adversely affect our anticipated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regulation and supervision as a financial holding company, which may adversely affect our business.</w:t>
      </w:r>
    </w:p>
    <w:p>
      <w:pPr>
        <w:spacing w:after="0" w:line="19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Upon becoming a financial holding company, we became subject to a wide range of statutory and regulatory restrictions and requirements that will affect many aspects of our business, including our lending practices, capital structure, investment practices, dividend policy and growth. We may be required to restructure, terminate or divest certain of our businesses to comply with applicable requirements, which may impose additional costs and adversely affect our business, results of operations or financial condition. Failure to comply with laws, regulations, policies or other regulatory guidance could result in civil or criminal sanctions by regulatory agencies, civil monetary penalties and damage to our reputation. In addition, we will be required to serve as a “source of strength” to Newtek Bank.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increased governmental and regulatory scrutiny or negative publicity.</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Political and public sentiment regarding financial institutions has in the past resulted and may in the future result in a significant amount of adverse press coverage, as well as adverse statements or charges by regulators or other government officials. Press coverage and other public statements that assert some form of wrongdoing (including, in some cases, press coverage and public statements that do not directly involve us) often result in some type of investigation by regulators, legislators and law enforcement officials or in lawsuits. Adverse publicity, governmental scrutiny and legal and enforcement proceedings can also have a negative impact on our reputation and on the morale and performance of our employees, which could adversely affect our business and results of operations.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financial services industry generally has been subject to negative publicity. Our reputation and business may be adversely affected by negative publicity or information regarding our business and personnel, whether or not accurate or true, that may be posted on social media or other internet forums or published by news organizations. Postings on these types of forums may also adversely impact risk positions of our clients and other parties that owe us money, securities or other assets and increase the chance that they will not perform their obligations to us or reduce the revenues we receive from their use of our services. The speed and pervasiveness with which information can be disseminated through these channels, in particular social media, may magnify risks relating to negative publicity.</w:t>
      </w:r>
    </w:p>
    <w:p>
      <w:pPr>
        <w:spacing w:after="0" w:line="16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The rapid dissemination of negative information through social media, in part, is believed to have led to the collapse of Silicon Valley Bank, Signature Bank and First Republic Bank. These banks suffered a level of deposit withdrawals within a time period not previously experienced by a financial institution. We could also be subject to rapid deposit withdrawals or other outflows as a result of negative social media posts or other negative publicity.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applicable laws, regulations or commitments, or to satisfy our regulators’ supervisory expectations, could subject us to, among other things, supervisory or enforcement action, which could adversely affect our business, financial condition and results of operations.</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If we do not comply with applicable laws, regulations or commitments, if we are deemed to have engaged in unsafe or unsound conduct, or if we do not satisfy our regulators’ supervisory expectations, then we may be subject to increased scrutiny, supervisory criticism, governmental or private litigation and/or a wide range of potential monetary penalties or consequences, enforcement actions, criminal liability and/or reputational harm. Such actions could be public or of a confidential nature, and arise even if we are acting in good faith or operating under a reasonable interpretation of the law and could include, for example, monetary penalties, payment of damages or other monetary relief, restitution or disgorgement of profits, directives to take remedial action or to cease or modify practices, restrictions on growth or expansionary proposals, denial or refusal to accept applications, removal of officers or directors, prohibition on dividends or capital distributions (both from Newtek Bank to its parent, NewtekOne, and/or from NewtekOne to its stockholders), increases in capital or liquidity requirements and/or termination of Newtek Bank’s deposit insurance. Additionally, compliance with applicable laws, regulations and commitments requires significant investment of management attention and resources. Any failure to comply with applicable laws, regulations or commitments could have an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law may discourage certain acquisitions of our common stock which could have a material adverse effect on our shareholders.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Federal law may make it more difficult for someone to acquire our common stock in certain circumstances. Under federal law and subject to certain exemptions, a person, entity or group must notify the federal banking agencies before acquiring control of a bank holding company. An acquisition of 10% or more of any class of voting stock of a bank holding company generally creates a rebuttable presumption that the acquirer will “control” the bank holding company. In addition, a bank holding company must obtain the prior approval of the Board of Governors of the Federal Reserve System before, among other things, acquiring direct or indirect ownership or control of more than 5 percent of the voting shares of any bank or bank holding company. These provisions could delay or prevent a third party from acquiring us, despite the possible benefit to our shareholders, or otherwise adversely affect the market price of our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2023 withdrawal of the Company’s election to be regulated as a BDC resulted in a significant change in our accounting and financial reporting requirements.</w:t>
      </w:r>
    </w:p>
    <w:p>
      <w:pPr>
        <w:spacing w:after="0" w:line="22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Due to the Company’s withdrawal of its election to be regulated as a BDC on January 6, 2023, the Company is no longer subject to FASB Accounting Standards Codification Topic 946, Financial Services – Investment Companies, which resulted in a significant change in our accounting and financial reporting requirements; for example, certain of our current subsidiaries were deemed portfolio (controlled or majority-owned) companies and were not consolidated in our financial statements prior to 2023. However, beginning with the first quarter of 2023, we were required to consolidate the financial statements of these portfolio companies (now consolidated subsidiaries), which was a significant change in our accounting and financial reporting requirements. As disclosed in Part II - Item 9A. of the Company’s Annual Report on Form 10-K for the year ended December 31, 2023, these significant changes in our accounting and financial reporting requirements resulted in failures by the Company to adequately and timely identify financial reporting risks and the associated identification of key controls in connection therewith, resulting in material weaknesses in our internal controls that impacted the overall effectiveness of our internal controls over financial reporting (“ICFR”). We have taken actions to enhance our ICFR relating to the material weaknesses identified and throughout the year ended December 31, 2024, our management executed upon its previously disclosed remediation plan (see “Item 9A. Controls and Procedures.” and “Item 1A. Risk Factors - Risks Related to Our Business and Structure). Based upon testing of the design and operating effectiveness of the re-designed control environment during the year ended December 31, 2024, management found them to be operating effectively. As a result, management has concluded that the material weaknesses in ICFR have been remediated as of December 31, 2024.</w:t>
      </w:r>
    </w:p>
    <w:p>
      <w:pPr>
        <w:spacing w:after="0" w:line="169"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4"/>
          <w:szCs w:val="14"/>
          <w:color w:val="auto"/>
        </w:rPr>
        <w:t>Because of its inherent limitations, management does not expect that our disclosure controls and procedures or our ICFR will prevent or detect all error and fraud. Any control system, no matter how well designed and operated, is based upon certain assumptions and can provide only reasonable, not absolute, assurance that its objectives will be met. Also, projections of any evaluation of effectiveness to future periods are subject to the risk that controls may become inadequate because of changes in conditions, or that the degree of compliance with the policies or procedures may deteriorate. Further, no evaluation of controls can provide absolute assurance that misstatements due to error or fraud will not occur or that all control issues and instances of fraud, if any, within the Company have been detected. Ineffective internal controls over financial reporting could adversely affect our ability to report our financial condition and results of operations in a timely and accurate manner, investor confidence in our company and, as a result,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deemed to be an investment company under the Investment Company Act of 1940, we will not be able to successfully execute our business strategy.</w:t>
      </w:r>
    </w:p>
    <w:p>
      <w:pPr>
        <w:spacing w:after="0" w:line="19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Certain of our subsidiaries rely on Rule 3a-7 to exclude their securitization activities from the definition of an “investment company” under the 1940 Act. Additionally, the Company has determined that, after withdrawing its election to be treated as a business development company, it is not an “investment company” because it neither holds more than 40% of its assets in “investment securities,” nor is it primarily engaged in, or holding itself out as being primarily engaged in, the business of investing, reinvesting or trading in securities. As a part of its determination, the Company has determined that certain of the loans held by its subsidiaries are neither securities nor “investment securities” under the 1940 Act. However, the staff of the SEC may disagree with our conclusions that (i) loans held by us and our subsidiaries are not securities as defined in the Act and that (ii) the Company did not meet the definition of an investment company under section 3 of the 1940 Act</w:t>
      </w:r>
    </w:p>
    <w:p>
      <w:pPr>
        <w:spacing w:after="0" w:line="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4"/>
          <w:szCs w:val="14"/>
          <w:color w:val="auto"/>
        </w:rPr>
        <w:t>subsequent to our withdrawal of the election to be regulated as a BDC. If the SEC or a court determines that one or more of our subsidiaries’ activities cause us to fall within the definition of an “investment company,” and if no exemption is available, we could be required to register under the 1940 Act. Compliance with the 1940 Act, as a registered investment company, would require us to significantly alter our business and could impair our ability to operate as financial holding company, with potential adverse impacts on our business, and, thus, our shareholders.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ECONOMY</w:t>
      </w:r>
    </w:p>
    <w:p>
      <w:pPr>
        <w:spacing w:after="0" w:line="18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social and market conditions, including uncertainty about the financial stability of the United States could have a significant adverse effect on our business, operating results and financial condition</w:t>
      </w:r>
    </w:p>
    <w:p>
      <w:pPr>
        <w:spacing w:after="0" w:line="14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The current worldwide financial markets situation, as well as various social, political, economic and other conditions and events (including political tensions in the United States and around the world, wars and other forms of conflict, terrorist acts, security operations and catastrophic events such as natural disasters, epidemics and pandemics) may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Uncertainty can result in or coincide with, among other things: increased volatility in the financial markets for securities, derivatives, loans, credit and currency; a decrease in the reliability of market prices and difficulty in valuing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7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4"/>
          <w:szCs w:val="14"/>
          <w:color w:val="auto"/>
        </w:rPr>
        <w:t>In addition, the conflicts in the Middle East and the war between Russia and Ukraine, and resulting market volatility, could adversely affect our business, financial condition or results of operations. The ongoing conflicts has negatively affected the global economy and business activity and could have a material adverse effect on our business, financial condition, cash flows and results of operations. The severity and duration of conflicts and their impact on global economic and market conditions are impossible to predict. In 2024, numerous elections were held globally, including the recent U.S. presidential election. The outcomes of the elections are expected to result in changes in policy, which could also have adverse effects on us or the business environment in which we operate more generally. For example, the new U.S. presidential administration has imposed or increased tariffs, including on imports from China, and proposed imposing or increasing tariffs on U.S. trading partners, which could adversely affect markets, the business environment and our business.</w:t>
      </w:r>
    </w:p>
    <w:p>
      <w:pPr>
        <w:spacing w:after="0" w:line="1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Any public health emergency, or the threat thereof, and the resulting financial and economic market uncertainty could have a significant adverse impact on us and the fair value of our investments, our subsidiaries and our clients.</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extent of the impact of any public health emergency, such as the COVID-19 pandemic, on our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personnel. This could create widespread business continuity issues for us.</w:t>
      </w:r>
    </w:p>
    <w:p>
      <w:pPr>
        <w:spacing w:after="0" w:line="16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 number of factors related to a public health emergency impacting us or our borrowers, customers or business partners could materially adversely affect our business, results of operations, and financial condition, including but not limited to:</w:t>
      </w:r>
    </w:p>
    <w:p>
      <w:pPr>
        <w:spacing w:after="0" w:line="145"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loan delinquencies, losses and charge-offs;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borrowers seeking and being granted deferments of principal and interest payments;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for loans, including real estate, may decline in value, which could cause loan losses to increase;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business products and solutions may decline, making it difficult to grow or maintain our assets and income;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worth and liquidity of the guarantors on our loans may decline, which could cause loan losses to increase;</w:t>
      </w:r>
    </w:p>
    <w:p>
      <w:pPr>
        <w:spacing w:after="0" w:line="8" w:lineRule="exact"/>
        <w:rPr>
          <w:rFonts w:ascii="Times New Roman" w:cs="Times New Roman" w:eastAsia="Times New Roman" w:hAnsi="Times New Roman"/>
          <w:sz w:val="14"/>
          <w:szCs w:val="14"/>
          <w:color w:val="auto"/>
        </w:rPr>
      </w:pPr>
    </w:p>
    <w:p>
      <w:pPr>
        <w:ind w:left="520" w:right="280" w:hanging="260"/>
        <w:spacing w:after="0" w:line="25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risk management policies and practices may be negatively impacted by, among other things, changes in the SBA 7(a) Program, including changes to SBA rules, regulations and SBA standard operating procedures;</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cyber risk as criminals may take advantage of the changes of business practices necessitated by a public health emergency.</w:t>
      </w:r>
    </w:p>
    <w:p>
      <w:pPr>
        <w:spacing w:after="0" w:line="1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If the economy is unable to substantially reopen or remain reopened after a public health emergency,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Any public health emergency, pandemic or any outbreak of other existing or new epidemic diseases, or the threat thereof, and the resulting financial and economic market uncertainty could have a significant adverse impact on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recessions or downturns could impair our clients and our operating results.</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Many of our clients may be susceptible to economic slowdowns, a prolonged period of high interest rates or recessions and may be unable to repay our debt investments during these periods.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In an economic downturn or a prolonged period of high interest rates, we may have non-performing assets or non-performing assets may increase, and the value of our portfolio is likely to decrease during these periods. Adverse economic conditions may also decrease the value of any collateral securing our loans. A severe recession may further decrease the value of such collateral and result in losses of value in our portfolio and a decrease in our revenues, net income, assets and net worth. Unfavorable economic conditions also could increase our funding costs, limit our access to the capital markets or result in a decision by lenders not to extend credit to us on terms we deem acceptable. These events could prevent us from increasing investments and harm our operating results.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of recessionary conditions and/or negative developments in the domestic and international credit markets may</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significantly affect the markets in which we do business, the value of our investments, and our ongoing operations, costs and profitability. Any such unfavorable economic conditions, including rising interest rates or a prolonged period of high interest rates, may also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w:t>
      </w:r>
    </w:p>
    <w:p>
      <w:pPr>
        <w:spacing w:after="0" w:line="165" w:lineRule="exact"/>
        <w:rPr>
          <w:sz w:val="20"/>
          <w:szCs w:val="20"/>
          <w:color w:val="auto"/>
        </w:rPr>
      </w:pPr>
    </w:p>
    <w:p>
      <w:pPr>
        <w:ind w:right="4120"/>
        <w:spacing w:after="0" w:line="287" w:lineRule="auto"/>
        <w:rPr>
          <w:sz w:val="20"/>
          <w:szCs w:val="20"/>
          <w:color w:val="auto"/>
        </w:rPr>
      </w:pPr>
      <w:r>
        <w:rPr>
          <w:rFonts w:ascii="Times New Roman" w:cs="Times New Roman" w:eastAsia="Times New Roman" w:hAnsi="Times New Roman"/>
          <w:sz w:val="14"/>
          <w:szCs w:val="14"/>
          <w:color w:val="auto"/>
        </w:rPr>
        <w:t>These events could limit our investment originations, limit our ability to grow and negatively impact our operating results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changes in interest rates may adversely affect our business, results of operations and financial condition.</w:t>
      </w:r>
    </w:p>
    <w:p>
      <w:pPr>
        <w:spacing w:after="0" w:line="19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Recent inflationary pressures have increased the costs of capital, labor, energy and raw materials and have adversely affected consumer spending, economic growth and our clients’ operations. Certain of our clients may be in industries that have been, or are expected to be, impacted by inflation. If such clients are unable to pass any increases in their costs along to their customers, it could adversely affect their results and impact their ability to pay interest and principal on our loans. In addition, any projected future decreases in our clients’ operating results due to inflation could adversely impact the fair value of those investments. Any deterioration in the quality of our assets could result in future unrealized losses and require increased loan loss reserves and therefore negatively impact our financial condition or results of operations. A meaningful rise in inflation during 2021 and through 2022 prompted the Federal Reserve to sharply increase the federal funds rate during 2022 and 2023 before it decreased the rate at the end of 2024. The Federal Reserve may further raise or lower interest rates in response to economic conditions, particularly inflationary pressures and unemployment statistics. Future changes to the Federal Reserve’s monetary policy and the timing of them are not certain.</w:t>
      </w:r>
    </w:p>
    <w:p>
      <w:pPr>
        <w:spacing w:after="0" w:line="16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Our earnings depend substantially on our interest rate spread, which is the difference between (i) the rates Newtek Bank earns on loans, securities and other earning assets and (ii) the interest rates Newtek Bank pays on deposits and other borrowings, and its costs of capital. These rates are highly sensitive to many factors, some of which are beyond our control (e.g., general economic conditions, geopolitical events, competition for loans and deposits, and the policies of various governmental and regulatory authorities) and others of which we can influence over time (e.g. the amounts and mix of fixed and variable assets and liabilities and related durations). We are increasingly exposed to varying levels and types of basis risk (e.g., Prime based assets partially funded with SOFR- and/or US Treasury-based liabilities). In periods of rising interest rates, our cost of funds would increase, which could reduce our net interest margin. Further, rising interest rates could also adversely affect our performance if we hold loans with floating interest rates, subject to specified minimum interest rates, while at the same time engaging in borrowings subject to floating interest rates not subject to such minimums. In such a scenario, rising interest rates may increase our interest expense, even though our interest income is not increasing in a corresponding manner as a result of such minimum interest rates. Rising interest rates could also cause clients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which could adversely affect our net interest margin, as increases in our cost of borrowed funds would not be accompanied by increased interest income from such fixed-rate loans. Also, an increase in interest rates available to investors could make an investment in our common stock less attractive if we are not able to increase our dividend rate, which could reduce the value of our common stock. If the shape of the yield curve continues to twist towards an upward sloping yield curve, our net interest margin could be negatively impacted. Refer to “Item 7, Management Discussion and Analysis of Financial Results” and “Item 7A, Quantitative and Qualitative Disclosures About Market Risk.” For risks related to SBA lending, see “We have specific risks associated with our secondary market sales of the guaranteed portions of SBA loans.”</w:t>
      </w:r>
    </w:p>
    <w:p>
      <w:pPr>
        <w:spacing w:after="0" w:line="3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While the United States and other developed economies have recently experienced higher-than-normal inflation rates, it remains uncertain whether substantial inflation will be sustained over an extended period of time or have a significant effect on the U.S. economy or other economies. During periods of rising inflation, interest and dividend rates of any instruments we or our subsidiaries may have issued could increase, which would tend to reduce returns to our investors. Inflationary expectations or periods of rising inflation could also be accompanied by the rising prices of commodities which are critical to the operation of our clients as noted above. Clients may have fixed income streams and, therefore, be unable to pay their debts when they become due. The market value of such investments may decline in value in times of higher inflation rates. Some of our investments may have income linked to inflation through contractual rights or other means. However, as inflation may affect both income and expenses, any increase in income may not be sufficient to cover increases in expenses. Governmental efforts to curb inflation, including by raising of interest rates, often have negative effects on the level of economic activity. There can be no assurance that continued and more widespread inflation in the United States and/or other economies or the maintenance of higher interest rests in an effort to curb inflation will not become a serious problem in the future and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4"/>
          <w:szCs w:val="14"/>
          <w:color w:val="auto"/>
        </w:rPr>
        <w:t>In addition, concerns regarding the escalation in protectionist policies, including the imposition of punitive tariffs by the United States on foreign made goods, including those imported from China, Canada, Mexico, Russia and the EU among other countries, and the retaliatory tariffs imposed or threatened by China, Canada, Mexico, Russia and the EU on U.S. made products could have a significantly negative impact on global trade and on the economic growth and prosperity of the countries involved. In addition, these tariffs could cause significant economic damage to the specific businesses and industries being targeting with these punitive tariffs, and could in the long run result in higher consumer prices but it could also result in an increase in the cost of manufactured and imported goods. Volatility in exchange rates of the major currencies, including that of China, and the price of crude oil and natural gas and of other commodity prices, among other factors, could adversely impact the financial and credit markets, including the availability of debt and equity capital. Increases in U.S. and global interest rates in response to accelerating economic growth in the United States and in Europe and Asia may also adversely impact credit markets and could make borrowing more costly. Furthermore, many state and local governments in the United States are</w:t>
      </w:r>
    </w:p>
    <w:p>
      <w:pPr>
        <w:spacing w:after="0" w:line="3"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14"/>
          <w:szCs w:val="14"/>
          <w:color w:val="auto"/>
        </w:rPr>
        <w:t>experiencing, and are expected to continue to experience, severe budgetary strain. One or more states could default on their debt, or one or more significant local governments could default on their debt or seek relief from their debt under the Bankruptcy Code or by agreement with their creditors. Any or all of the circumstances described above may lead to further volatility in or disruption of the credit markets at any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Terrorist attacks, acts of war, global health emergencies or natural disasters may impact the businesses in which we invest and harm our business, operating results and financial condition.</w:t>
      </w:r>
    </w:p>
    <w:p>
      <w:pPr>
        <w:spacing w:after="0" w:line="19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Terrorist acts, acts of war, global health emergencies or natural disasters, including the recent Los Angeles wild fires,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global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natural disasters are generally uninsurable.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failure or the perceived risk of a failure to raise the statutory debt limit of the U.S. could have a material adverse effect on our business, financial condition and results of operations.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recent years, the U.S. government has approached its statutory debt limit, which required specific measures taken by the U.S. Treasury Department to prevent the U.S. government’s default on its payment obligations. In the future, delays to raise or suspend the federal debt ceiling in similar circumstances could have severe repercussions within the United States and to global credit and financial markets and could result in a variety of adverse effects for our business, results of operations, liquidity and financial condition. A default by the United States could result in unprecedented market volatility and illiquidity, heightened operational risks relating to the clearance and settlement of transactions, margin and other disputes with clients and counterparties, an adverse impact to investors including money market funds that invest in U.S. Treasuries, downgrades in the U.S. credit rating, further increases in interest rates and borrowing costs and a recession in the United States or other economies. Continued uncertainty relating to the debt ceiling could result in downgrades of the U.S. credit rating, which could adversely affect market conditions, lead to margin disputes, further increases in interest rates and borrowing costs and necessitate significant operational changes among market participants, including us. A downgrade of the U.S. federal government’s credit rating could also materially and adversely affect the market for repurchase agreements, securities borrowing and lending, and other financings typically collateralized by U.S. Treasury or agency obligations. Further, the fair value, liquidity and credit ratings of securities issued by, or other obligations of, agencies of the U.S. government or related to the U.S. government or its agencies, as well as municipal bonds could be similarly adversely affected. An increasing frequency of government shutdowns, or near shutdowns, in the United States could also lead to uncertainty as to the continued funding of the U.S. government, which could, in turn, adversely affect the credit ratings of the United States and the market for U.S. Treasury or agency obligations. Continued adverse political and economic conditions could have a material adverse effect on our business, financial condition and results of operations.</w:t>
      </w:r>
    </w:p>
    <w:p>
      <w:pPr>
        <w:spacing w:after="0" w:line="17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obtain additional capital because of either regulatory or market price constraints, we could be forced to curtail or cease our new lending activities and our level of distributions and liquidity could be affected adversely.</w:t>
      </w:r>
    </w:p>
    <w:p>
      <w:pPr>
        <w:spacing w:after="0" w:line="1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STRUCTURE</w:t>
      </w:r>
    </w:p>
    <w:p>
      <w:pPr>
        <w:spacing w:after="0" w:line="20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dependent upon our Senior Lending Team and our executive officers for our future success, and if we are unable to hire and retain qualified personnel or if we lose any member of our Senior Lending Team or our executive officers our business could be significantly harmed.</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depend on our Senior Lending Team and executive officers as well as other key personnel for the management of our and our subsidiaries’ businesses. These executive officers and employees have critical industry experience and relationships that we rely on to implement our business plan. Our future success depends on the continued service of our Senior Lending Team and our executive officers and the replacement of any departing individuals with others of comparable skills and experience. The departure of any of the members of our Senior Lending Team, our executive officers or a significant number of our senior personnel could have a material adverse effect on our business. As a result, we may not be able to operate our business as we expect, and our ability to compete could be harmed, which could cause our operating results to suffer.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for clients, which could reduce returns and result in losses.</w:t>
      </w:r>
    </w:p>
    <w:p>
      <w:pPr>
        <w:spacing w:after="0" w:line="19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The commercial lending market and the electronic payment processing market to independent business owners is very competitive and is served by a variety of entities, including commercial banks, savings and loan associations, credit unions, independent finance companies, and nonbank lenders, including financial technology companies. The lending market and the electronic payment processing market to independent business owners are also highly fragmented, with a small number of players capturing large shares of each market and many smaller players competing for the remaining market share. We compete for clients with other financial institutions and various SMB lenders, as well as other sources of funding. Additionally, competition for clients has emerged among alternative investment vehicles, such as collateralize loan obligations (CLOs), some of which are sponsored by other alternative asset investors, as these entities have begun to focus on making investments in SMBs. As a result of these new entrants, competition for our clients may intensify. Many of our competitors will be substantially larger and have considerably greater financial and marketing resources than us. For example, some competitors may have a lower cost of capital and access to funding sources that will not be available to us. Our competitors often seek to provide financing on terms more favorable to independent business owners than we offer. Many of these competitors also have long-standing relationships with independent business owners and may offer other forms of financing that we do not offer. In addition, some of our competitors may have higher risk tolerances or different risk assessments than we will have. Additionally, some of our competitors may also be subject to less burdensome licensing and other regulatory requirements and, as a result, these competitors may have advantages in conducting certain business and providing certain services and may be more aggressive in their loan origination activities. These characteristics could allow our competitors to establish more relationships and offer better pricing and more flexible structuring than we will be able to offer. The introduction of new technologies could dramatically change the competitive environment and require significant changes and costs for us to remain competitive. We may lose clients if we do not match our competitors’ pricing, terms, structure or service. If we are forced to match our competitors’ pricing, terms, structure and service, we may not be able to achieve acceptable returns or may bear substantial risk of capital loss.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We may encounter greater competition as we expand our operations, and competition may also increase in more stable or favorable economic conditions. Increasing competition could also require us to lower the rates we charge on loans in order to maintain our desired loan origination volume, which could also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the soundness of other financial institutions.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Moreover, we may be adversely affected by the soundness of other financial institutions even when we are not directly exposed to those institutions. For example,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many financial institutions. Defaults by, declines in the financial condition of, or even rumors or questions about, one or more financial institutions, financial service companies or the financial services industry generally, may lead to difficulties related to liquidity, asset quality or other problems and could lead to losses or defaults by us or by other institutions. These problems, losses or defaults could have an adverse effect on our business, financial condition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acquire and process clients effectively, we may be unable to achieve our objectives.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ability to achieve our objectives depends on our Senior Lending Team’s and our executive officers’ ability to acquire clients. Accomplishing this result on a cost-effective basis is largely a function of our marketing capabilities, our management of our client processing, our ability to provide efficient services and our access to financing sources on acceptable terms.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manage our future growth effectively could have a material adverse effect on our business, financial condition and results of operations.</w:t>
      </w:r>
    </w:p>
    <w:p>
      <w:pPr>
        <w:spacing w:after="0" w:line="162"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model depends to a significant extent upon strong referral relationships, and our inability to maintain or further develop these relationships, as well as the failure of these relationships to generate investment opportunities, could adversely affect our business.</w:t>
      </w:r>
    </w:p>
    <w:p>
      <w:pPr>
        <w:spacing w:after="0" w:line="1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We expect that members of our Senior Lending Team and our Executive Committee will maintain their relationships with intermediaries, financial institutions, investment bankers, commercial bankers, financial advisors, attorneys, accountants, consultants, alliance partners, and other individuals within their networks, and we will rely, to a significant extent, upon these relationships to provide us with potential clients. If our Senior Lending Team and our executive officers fail to maintain its existing relationships or develop new relationships with potential clients, we may not be able to acquire new clients. In addition, individuals with whom members of our Senior Lending Team and our executive officers have relationships are not obligated to provide us with client opportunities, and, therefore, there is no assurance that such relationships will generate opportunities for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 could adversely affect our business and financial results.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the past, we have had a significant amount of indebtedness. If our debt service obligations increase, whether due to the increased cost of existing indebtedness or the incurrence of additional indebtedness, more of our cash flow from operations, including dividends our holding company receives from its subsidiaries, would need to be allocated to the payment of principal of, and interest on, our indebtedness, which would reduce the funds available for other purposes. Our indebtedness also could limit our ability to execute our business plans and withstand competitive pressures and could reduce our flexibility in responding to changing business and economic conditions.</w:t>
      </w:r>
    </w:p>
    <w:p>
      <w:pPr>
        <w:spacing w:after="0" w:line="16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ability to make payments on our debt, to repay our existing indebtedness when due, and to fund our business, operations and significant planned capital expenditures will depend on our ability to pay with available cash or generate cash in the future. This, to a certain extent, is subject to financial, competitive, legislative, regulatory and other factors that are beyond our control. In addition, if we cannot service our indebtedness, we may have to take actions such as utilizing available capital, limiting the origination of loans, selling assets, selling equity or reducing, delaying, or eliminating capital expenditures or returns of capital, strategic acquisitions, investments and alliances, any of which could impede the implementation of our business strategy, prevent us from entering into transactions that would otherwise benefit our business and/or adversely affect our business and financial results. We also may not be able to refinance our indebtedness or take such other actions, if necessary,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expose ourselves to risks as we engage in hedging transactions.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use derivatives to hedge interest rate exposure on specific fixed rate loans originated by us or our subsidiaries until such fixed rate loans are sold or securitized. We may continue to enter into such hedging transactions in an effort to mitigate our exposure to adverse fluctuations in interest rates and we may increase our floating rate investments to position the portfolio for rate increases. However, we cannot assure you that such transactions will be successful in mitigating our exposure to interest rate risk or if we will continue to enter into such interest rate hedges. Hedging transactions may also limit our ability to participate in the benefits of lower interest rates with respect to our loans. Moreover, as we engage in hedging transactions, we expose ourselves to certain risks associated with such transactions. We may utilize instruments such as forward contracts, currency options and interest rate swaps, caps, collars and floors to seek to hedge against fluctuations in the relative values of certain of our portfolio positions from changes in market interest rates. Hedging against a decline in the values of our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holdings being hedged. Any such imperfect correlation may prevent us from achieving the intended hedge and expose us to risk of loss. In addition, it may not be possible to hedge fully or perfectly against interest rate fluctuations affecting the value of securities in our portfolio.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stringent capital and liquidity regulations and requirements.</w:t>
      </w:r>
    </w:p>
    <w:p>
      <w:pPr>
        <w:spacing w:after="0" w:line="1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NewtekOne is the parent company of and a separate and distinct legal entity from Newtek Bank. Legal entity liquidity is an important consideration as there are legal, regulatory, contractual and other limitations on our ability to utilize liquidity from one legal entity to satisfy the liquidity requirements of another, which could result in adverse liquidity events at either NewtekOne and/or Newtek</w:t>
      </w:r>
    </w:p>
    <w:p>
      <w:pPr>
        <w:spacing w:after="0" w:line="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Bank. Applicable laws and regulations, including capital and liquidity requirements and the Operating Agreement, could restrict our ability to transfer funds between Newtek Bank and NewtekOne, which could adversely affect our cash flow and financial condition. Additionally, applicable laws and regulations may restrict what NewtekOne is able to do with the liquidity it does possess, which may adversely affect our business and results of operations.</w:t>
      </w:r>
    </w:p>
    <w:p>
      <w:pPr>
        <w:spacing w:after="0" w:line="15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Further, pursuant to the Operating Agreement we have made certain commitments to the OCC which requires Newtek Bank to hold capital incremental to the “well capitalized” thresholds under the applicable standards, which could also impact the Company’s ability to invest in and grow assets. From time to time, regulators may implement changes to these capital adequacy and liquidity requirements. If we fail to meet these minimum capital adequacy and liquidity guidelines and other regulatory requirements, our business activities, including lending, and its ability to expand could be limited. It could also result in the Company being required to take steps to increase its regulatory capital that may be dilutive or adverse to stockholders, including limiting the Company’s ability to pay dividends to stockholders or limiting the Company’s ability to invest in assets even if deemed more desirable from a financial and business perspective.</w:t>
      </w:r>
    </w:p>
    <w:p>
      <w:pPr>
        <w:spacing w:after="0" w:line="1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Federal law and Federal Reserve policy require that a bank holding company serve as a source of financial and managerial strength for any FDIC-insured depository institution that it controls. Thus, if Newtek Bank were to be in financial distress or to otherwise be viewed by the regulators as in an unsatisfactory condition, then the federal banking regulators could require the Company to provide additional capital or liquidity support, or take other action, in support of Newtek Bank, even if doing so is not otherwise in the best interest of the Company or its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inability to maintain adequate liquidity could jeopardize our business and financial condition.</w:t>
      </w:r>
    </w:p>
    <w:p>
      <w:pPr>
        <w:spacing w:after="0" w:line="20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Liquidity is essential to our business. Although we believe that we currently have an adequate amount of liquidity to support our business, there are a number of factors that could reduce and/or deplete our existing liquidity position, including results of operations that are reduced relative to our projections, costs related to existing or future litigation or regulatory matters, the pursuit of strategic business opportunities (whether through acquisition or organic) and unanticipated liabilities. Additionally, as noted above, we are subject to stringent capital and liquidity regulations and requirements and need to manage our liquidity position at both NewtekOne and Newtek Bank within the parameters and terms set forth by applicable regulations and regulators. Newtek Bank is subject to various legal, regulatory and other restrictions on its ability to make distributions and payments to the Company. Any inability to maintain an adequate liquidity position could adversely affect our operations, our compliance with applicable regulations and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Further, our ability to raise additional capital, should that be deemed beneficial and/or necessary, depends on conditions in the capital markets, economic conditions and a number of other factors, including investor perceptions regarding the financial services and banking industry, market conditions, governmental activities, and our financial condition and performance. Accordingly, we may be unable to raise additional capital if needed or on acceptable terms, which may adversely affect our liquidity,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acquisitions and other strategic transactions may not yield the intended benefits.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have historically and may continue to evaluate and consider strategic transactions, combinations, acquisitions, dispositions or alliances.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w:t>
      </w:r>
    </w:p>
    <w:p>
      <w:pPr>
        <w:spacing w:after="0" w:line="15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Any acquisition, disposition or other strategic transaction involve risks and may not be successful, may not benefit our business strategy, may not generate sufficient revenue to offset the associated costs or may not otherwise result in the intended benefits. Additionally, 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Any transactions, combinations, acquisitions, dispositions or alliances may also require us to issue additional equity securities, spend our cash, or incur debt (and increased interest expense), liabilities and amortization expenses related to intangible assets or write-offs of goodwill, which could adversely affect our results of operations and dilute the economic and voting rights of our stockholders and the interests of holders of our indebtedness.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addition, we cannot assure you that any acquisition of new businesses or technology will lead to the successful development of new or enhanced products and services or that any new or enhanced products and services, if developed, will achieve market acceptance or prove to be profitable.</w:t>
      </w:r>
    </w:p>
    <w:p>
      <w:pPr>
        <w:spacing w:after="0" w:line="13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Finally, we may also choose to divest certain businesses or product lines that no longer fit with our strategic objectives or whose divestiture are required by regulators. If we decide to sell assets or a business, we may have difficulty obtaining terms acceptable to us in a timely manner, or at all. Additionally, the terms of such potential transactions may expose us to ongoing obligations and liabilities.</w:t>
      </w:r>
    </w:p>
    <w:p>
      <w:pPr>
        <w:spacing w:after="0" w:line="157" w:lineRule="exact"/>
        <w:rPr>
          <w:sz w:val="20"/>
          <w:szCs w:val="20"/>
          <w:color w:val="auto"/>
        </w:rPr>
      </w:pPr>
    </w:p>
    <w:p>
      <w:pPr>
        <w:ind w:right="4080"/>
        <w:spacing w:after="0" w:line="270" w:lineRule="auto"/>
        <w:rPr>
          <w:sz w:val="20"/>
          <w:szCs w:val="20"/>
          <w:color w:val="auto"/>
        </w:rPr>
      </w:pPr>
      <w:r>
        <w:rPr>
          <w:rFonts w:ascii="Times New Roman" w:cs="Times New Roman" w:eastAsia="Times New Roman" w:hAnsi="Times New Roman"/>
          <w:sz w:val="14"/>
          <w:szCs w:val="14"/>
          <w:color w:val="auto"/>
        </w:rPr>
        <w:t>As a result of commitments made to the Federal Reserve, the Company divested of NTS on January 2, 2025. The divestiture of NTS may negatively impact the Company’s revenue and income and our ability to effectively manage our information technology systems and infrastructure and cybersecurity risk. See also “ITEM I.C Cybersecurity.”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pursuant to the terms of Agreement to sell NTS to IPM, we received $4.0 million in cash and 4.0 million shares of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newly created series of IPM non-voting preferred stock, the Series A Non-Voting Common Equivalent Stock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Refer to “Subsequent Events - Sale of NTS.” We currently anticipate retaining the Preferred Stock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in the Preferred Stock will be reflected on our balance sheet and valued on a quarterly basis in accordance with ASC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321, beginning in the first quarter of 2025. IPM common shares have historically been thinly traded and may not be easily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exchanged without a significant change in price, which can lead to volatile changes in the market price for IPM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Volatile changes in the market price for IPM common shares could have a material impact on the value of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up or down, as reflected on our balance sheet on a quarter to quarter basis.</w:t>
      </w:r>
    </w:p>
    <w:p>
      <w:pPr>
        <w:spacing w:after="0" w:line="18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Also pursuant to the terms of the Agreement to sell NTS to IPM, we received the right to receive additional cash or shares of IPM in the future, provided that IPM earns certain levels of “Adjusted EBITDA” over a two to three year period following the sale (“IPM Earnout”). We will be required to recognize an estimate of value associated with the IPM Earnout in 2025 and</w:t>
      </w:r>
    </w:p>
    <w:p>
      <w:pPr>
        <w:spacing w:after="0" w:line="1" w:lineRule="exact"/>
        <w:rPr>
          <w:sz w:val="20"/>
          <w:szCs w:val="20"/>
          <w:color w:val="auto"/>
        </w:rPr>
      </w:pPr>
    </w:p>
    <w:p>
      <w:pPr>
        <w:ind w:right="4280"/>
        <w:spacing w:after="0" w:line="257" w:lineRule="auto"/>
        <w:rPr>
          <w:sz w:val="20"/>
          <w:szCs w:val="20"/>
          <w:color w:val="auto"/>
        </w:rPr>
      </w:pPr>
      <w:r>
        <w:rPr>
          <w:rFonts w:ascii="Times New Roman" w:cs="Times New Roman" w:eastAsia="Times New Roman" w:hAnsi="Times New Roman"/>
          <w:sz w:val="14"/>
          <w:szCs w:val="14"/>
          <w:color w:val="auto"/>
        </w:rPr>
        <w:t>remeasure it value on a recurring basis, which could positively or negatively impact our earnings and further compound the volatility associated with the value of IPM stock referenced above. Additionally, while we are IPM’s largest customer, there can be no assurances that IPM will earn the levels of Adjusted EBITDA. In the event IPM fails to earn such levels, our earnings and capital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if our risk management framework does not effectively identify, assess and mitigate risk.</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risk management framework seeks to appropriately balance risk and return and mitigate our risks, including risks attributable to third parties. We have established policies intended to regularly identify and assess our risk profile, including credit risk, pricing risk, liquidity risk, strategic risk and operational risk, and then implement appropriate processes and controls to mitigate risk.</w:t>
      </w:r>
    </w:p>
    <w:p>
      <w:pPr>
        <w:spacing w:after="0" w:line="13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If our risk management framework does not effectively identify, assess and/or mitigate our risk profile, we could suffer unexpected losses or be adversely affected, which could have a material adverse effect on our business. For example, assessment of our risk profile depends, in part, upon the use of forecasting models. If these models are ineffective at predicting future losses or are otherwise inadequate, we may incur unexpected losses or otherwise be adversely affected. In addition, the information we use may be inaccurate or incomplete, both of which may be difficult to detect and avoid. Inaccuracies in the input data as well as issues with the quality and effectiveness of our data or parameters used in our models may further increase the risks to which we are subject. These risks may be amplified to the extent our models utilize Artificial Intelligence, machine learning or other emerging technologies, to among other things, gather and analyze customer data. Weaknesses or inaccuracies in the algorithms or datasets underlying our models could result in deficient or biased data outputs or other unintended consequences, including ineffective decision making or reporting errors. There may also be risks that exist, or that develop in the future, that we have not appropriately anticipated, identified or mitigated.</w:t>
      </w:r>
    </w:p>
    <w:p>
      <w:pPr>
        <w:spacing w:after="0" w:line="16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Finally, our risk management framework may be deemed insufficient or inadequate by our regulators, which have in the past required, and we expect to continue to require, that we invest additional resources into remediating any deficiencies and adversely impact our ability to operate our business until such time as the revised framework is deemed sufficient and adequate by our regulators.</w:t>
      </w:r>
    </w:p>
    <w:p>
      <w:pPr>
        <w:spacing w:after="0" w:line="143"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Internal control deficiencies could impact the accuracy of our financial results or prevent the detection of fraud. As a result, shareholders could lose confidence in our financial and other public reporting, which would harm our business and the trading price of our common stock.</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Any failure by us to identify future deficiencies in our internal control over financial reporting in a timely manner or remediate any such deficiencies, could prevent us from accurately and timely reporting our financial results.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review and update our internal controls, disclosure controls and procedures and corporate governance policies as our Company continues to evolve. In addition, we are required to comply with the internal control evaluation and certification requirements of Section 404 of the Sarbanes-Oxley Act of 2002 (SOX). We are required to disclose changes made in our internal control and procedures on a quarterly basis and our management is required to assess the effectiveness of these controls annually. An independent assessment of the effectiveness of our internal controls could detect problems that our management’s assessment might not have detected. Undetected material weaknesses in our internal controls could lead to financial statement restatements and require us to incur the expense of remediation. In the event that we are unable to maintain or achieve compliance with Section 404 of the SOX and related rules, the market price of our common stock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During 2023 and 2024, we identified and remediated material weaknesses in our internal controls over financial reporting which, if not remediated, could have adversely affected our ability to report our financial condition and results of operations in a timely and accurate manner, investor confidence in our Company and, as a result, the value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assessed the effectiveness of our internal controls over financial reporting based upon the criteria set forth by the Committee of Sponsoring Organizations of the Treadway Commission (COSO) in Internal Control — Integrated Framework (2013). Based on this assessment, we concluded that we did not maintain effective internal controls over financial reporting as of December 31, 2023, as a result of the material weaknesses described in “Item 9A. Controls and Procedures,” herein. During 2024, we took actions to enhance our internal controls over financial reporting relating to the material weaknesses identified as of December 31, 2023, and have remediated each of the material weaknesses as set forth in “Item 9A. Controls and Procedures.” We can give no assurance that additional material weaknesses or significant deficiencies in our internal controls over financial reporting will not be identified in the future. A failure by us to timely and effectively remediate any future material weaknesses or significant deficiencies in our internal controls could prevent us from accurately and timely reporting our financial results and could also cause investors to lose confidence in our reported financial information, which could have a negative effect on the trading price of our common stock.</w:t>
      </w:r>
    </w:p>
    <w:p>
      <w:pPr>
        <w:spacing w:after="0" w:line="165"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54"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We are subject to changing rules and regulations of federal and state government as well as the stock exchange on which our common stock is listed. These entities, including the Public Company Accounting Oversight Board, the SEC, the OCC and the Nasdaq Global Market, have issued a significant number of new and increasingly complex requirements and regulations over the course of the last several years and continue to develop additional regulations and requirements in response to laws enacted by Congress. Our efforts to comply with existing requirements, or any revised or amended requirements, have resulted in, and may continue to result in, an increase in expenses and a diversion of management’s time from other business activities.</w:t>
      </w:r>
    </w:p>
    <w:p>
      <w:pPr>
        <w:spacing w:after="0" w:line="1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addition, our failure to keep pace with any such rules, or for our management to appropriately address compliance with such rules fully and in a timely manner, exposes us to an increasing risk of inadvertent non-compliance. While our management team takes reasonable efforts to ensure that we are in full compliance with all laws applicable to its operations, the increasing rate and extent of regulatory change increases the risk of a failure to comply, which may result in our ability to operate our business in the ordinary course or may subject us to potential fines, regulatory findings or other matters that may materially impact our business.</w:t>
      </w:r>
    </w:p>
    <w:p>
      <w:pPr>
        <w:spacing w:after="0" w:line="149"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clients may be concentrated in a limited number of industries, which may subject us to a risk of significant loss if there is a downturn in a particular industry in which a number of our loans are concentrated.</w:t>
      </w:r>
    </w:p>
    <w:p>
      <w:pPr>
        <w:spacing w:after="0" w:line="144"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4"/>
          <w:szCs w:val="14"/>
          <w:color w:val="auto"/>
        </w:rPr>
        <w:t>Our clients may be concentrated in a limited number of industries. A downturn in any particular industry in which we provide loans could significantly impact the aggregate returns we realize. If an industry to which we provide significant loans suffers from adverse business or economic conditions, as these industries have to varying degrees, a material portion of our business could be affected adversely, which, in turn, could adversely affect our financial position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and our subsidiaries are unable to protect our intellectual property rights, our business and prospects could be harmed.</w:t>
      </w:r>
    </w:p>
    <w:p>
      <w:pPr>
        <w:spacing w:after="0" w:line="18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The proprietary software and trademarks essential to our business, including NewTracker</w:t>
      </w:r>
      <w:r>
        <w:rPr>
          <w:rFonts w:ascii="Times New Roman" w:cs="Times New Roman" w:eastAsia="Times New Roman" w:hAnsi="Times New Roman"/>
          <w:sz w:val="18"/>
          <w:szCs w:val="18"/>
          <w:color w:val="auto"/>
          <w:vertAlign w:val="superscript"/>
        </w:rPr>
        <w:t>(R)</w:t>
      </w:r>
      <w:r>
        <w:rPr>
          <w:rFonts w:ascii="Times New Roman" w:cs="Times New Roman" w:eastAsia="Times New Roman" w:hAnsi="Times New Roman"/>
          <w:sz w:val="14"/>
          <w:szCs w:val="14"/>
          <w:color w:val="auto"/>
        </w:rPr>
        <w:t xml:space="preserve"> and Newtek Advantage</w:t>
      </w:r>
      <w:r>
        <w:rPr>
          <w:rFonts w:ascii="Times New Roman" w:cs="Times New Roman" w:eastAsia="Times New Roman" w:hAnsi="Times New Roman"/>
          <w:sz w:val="18"/>
          <w:szCs w:val="18"/>
          <w:color w:val="auto"/>
          <w:vertAlign w:val="superscript"/>
        </w:rPr>
        <w:t>(R)</w:t>
      </w:r>
      <w:r>
        <w:rPr>
          <w:rFonts w:ascii="Times New Roman" w:cs="Times New Roman" w:eastAsia="Times New Roman" w:hAnsi="Times New Roman"/>
          <w:sz w:val="14"/>
          <w:szCs w:val="14"/>
          <w:color w:val="auto"/>
        </w:rPr>
        <w:t>, and that of our subsidiaries, is owned by us and made available to them for their use. Our future success and competitive position will depend in part upon our ability to maintain and protect proprietary technology used in our products and services. We will rely, in part, on patent, trade secret and trademark law to protect that technology, but competitors may misappropriate our intellectual property, and disputes as to ownership of intellectual property may arise. We may, from time to time, be required to institute litigation to enforce the patents, copyrights or other intellectual property rights, protect trade secrets, determine the validity and scope of the proprietary rights of others or defend against claims of infringement. Such litigation could result in substantial costs and diversion of resources.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development and use of Artificial Intelligence (“AI”) present risks and challenges that may adversely impact our business.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or our third-party vendors, clients or counterparties may develop or incorporate AI technology in certain business processes, services or products. The development and use of AI present a number of risks and challenges to our business. The legal and regulatory environment relating to AI is uncertain and rapidly evolving, both in the United States and internationally, and includes regulatory schemes targeted specifically at AI as well as provisions in intellectual property, privacy, consumer protection, employment and other laws applicable to the use of AI. These evolving laws and regulations could require changes in our implementation of AI technology and increase our compliance costs and the risk of non-compliance. AI models, particularly generative AI models, may produce output or take action that is incorrect, that result in the release of private, confidential or proprietary information, that reflect biases included in the data on which they are trained, infringe on the intellectual property rights of others, or that is otherwise harmful. In addition, the complexity of many AI models makes it challenging to understand why they are generating particular outputs. This limited transparency increases the challenges associated with assessing the proper operation of AI models, understanding and monitoring the capabilities of the AI models, reducing erroneous output, eliminating bias and complying with regulations that require documentation or explanation of the basis on which decisions are made. Further, we may rely on AI models developed by third parties, and, to that extent, would be dependent in part on the manner in which those third parties develop and train their models, including risks arising from the inclusion of any unauthorized material in the training data for their models, and the effectiveness of the steps these third parties have taken to limit the risks associated with the output of their models, matters over which we may have limited visibility. Any of these risks could expose us to liability or adverse legal or regulatory consequences and harm our reputation and the public perception of our business or the effectiveness of our security measures.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our use of AI technologies, we are exposed to risks arising from the use of AI technologies by bad actors to commit fraud and misappropriate funds and to facilitate cyberattacks.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Generative AI, if used to perpetrate fraud or launch cyberattacks, could create panic at a particular financial institution or exchange, which could pose a threat to financial stability.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SBA LENDING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the SBA 7(a) Program can negatively impact our SBA 7(a) loan origination volume.</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Changes to the SBA 7(a) Program, including revisions to SBA Standard Operating Procedures (“SOP”), may negatively impact, among other things, the volume of SBA 7(a) loans originated by PLP lenders, including Newtek Bank, which could have an adverse impact on the Company’s business, financial condition and/or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guarantee that Newtek Bank will be able to maintain its SBA 7(a) lending license and PLP status.</w:t>
      </w:r>
    </w:p>
    <w:p>
      <w:pPr>
        <w:spacing w:after="0" w:line="19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color w:val="auto"/>
        </w:rPr>
        <w:t>Newtek Bank has been granted an SBA 7(a) lending license and PLP status, which allows it to place SBA guarantees on loans without seeking prior SBA review and approval. PLP status allows Newtek Bank to expedite loans since they are not required to present applications to the SBA for concurrent review and approval. There can be no guarantee that Newtek Bank will be able to maintain its SBA 7(a) lending license. The loss Newtek Bank’s SBA 7(a) lending license would negatively impact our results of operations.</w:t>
      </w:r>
    </w:p>
    <w:p>
      <w:pPr>
        <w:spacing w:after="0" w:line="14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Further, there can be no assurance that Newtek Bank will be able to maintain its status as a PLP. Newtek Bank’s loss of PLP status would adversely impact our marketing efforts and ultimately loan origination volume which would negatively impact our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 will remain subject to SBA regulation as it winds down its operations.</w:t>
      </w:r>
    </w:p>
    <w:p>
      <w:pPr>
        <w:spacing w:after="0" w:line="1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As a result of the Acquisition, all SBA 7(a) loan originations were transitioned to Newtek Bank in April 2023, and NSBF has ceased origination of SBA 7(a) loans, relinquished its PLP status and is winding-down its operations. During this wind down process, NSBF is required to continue to own the SBA 7(a) loans and PPP Loans in its SBA loan portfolio to maturity, liquidation, charge-off, or (subject to SBA’s prior written approval), sale or transfer. NSBF is required to continue to service and liquidate its SBA Loan Portfolio, including processing forgiveness and loan reviews for PPP Loans, pursuant to an SBA approved lender service provider agreement with SBL. During the wind down process NSBF is required to maintain minimum capital requirements established by the SBA, required to maintain certain amounts of restricted cash available to meet any obligations to the SBA, has restrictions on its ability to make dividends and distributions to its parent, and remains liable to SBA for post-purchase denials and repairs, from the proceeds generated by NSBF’s SBA loan portfolio. Any post-purchase denials and repairs demands on NSBF could negatively impact our results of operations. In addition, the Company has agreed to guarantee NSBF’s obligations to the SBA and has deposited $10.0 million at Newtek Bank to secure NSBF’s potential obligations to the SBA.</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specific risks associated with our secondary market sales of the guaranteed portions of SBA loans.</w:t>
      </w:r>
    </w:p>
    <w:p>
      <w:pPr>
        <w:spacing w:after="0" w:line="20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The SBA regulates an SBA lender’s, including Newtek Bank’s, participation in the secondary market for sales of the guaranteed portions of SBA 7(a) loans. The SBA secondary market consists of the sale of certificates, representing either a fractional undivided interest in some or all of the guaranteed portion of an individual SBA 7(a) guaranteed loan or a fractional undivided interest in a pool consisting of the SBA guaranteed portions of a number of 7(a) guaranteed loans. For example, when a lender such as Newtek Bank sells the guaranteed portion of a SBA 7(a) loan in the secondary market, the lender must perform all necessary servicing and liquidation actions for such loan even after SBA has purchased the guaranteed portion of such loan from a purchaser of a guaranteed portion, i.e., a registered holder. In the event that SBA purchases a guaranteed portion of such a loan from the registered holder, the lender must provide SBA with a loan status report within 15 business days of such purchase. This report typically includes, but is not limited to, a status report on the borrower and current condition of the collateral, plans for any type of loan workout or loan restructuring, existing liquidation activities including the sale of loan collateral, or the status of ongoing foreclosure proceedings. Moreover, the lender is required to provide documentation that SBA deems sufficient to be able to review the lender’s administration of the SBA 7(a) loan under the SBA Loan Program Requirements. Newtek Bank’s failure to provide sufficient documentation may constitute a material failure to comply with SBA Loan Program Requirements, and may lead to initiation of an action for recovery from Newtek Bank of all or some of the moneys SBA paid to a registered holder on a guarantee. SBA also has the ability evaluate Newtek Bank’s continued participation in the secondary market and may restrict further sale of guaranteed portions into the secondary market until SBA determines that Newtek Bank has provided sufficient documentation for purchases.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Newtek Bank generally sells the guaranteed portion of SBA loans in the secondary market. Such sales have resulted in our earning premiums and creating a stream of servicing income. Sale prices for guaranteed portions of SBA 7(a) loans can be negatively impacted by market conditions, in particular a higher interest rate environment, which can lead to higher prepayments during the period, resulting in lower sale prices in the secondary market. A reduction in the price of guaranteed SBA 7(a) loans could negatively impact our business. Moreover, there can be no assurance that we will be able to continue originating these loans, or that a secondary market will exist for, that we will continue to realize premiums upon the sale of the guaranteed portions of the SBA 7(a) loans, that Newtek Bank will continue to sell the guaranteed portions of the SBA 7(a) loans or that the SBA will not place constraints on Newtek Bank’s ability to access the secondary market. We may hold the guaranteed portions of the SBA 7(a) loans for longer periods, which may reduce or delay any future sales of guaranteed SBA 7(a) and related premiums, which could reduce or delay future investment in new assets, adversely impact liquidity and capital, and produce lower returns.</w:t>
      </w:r>
    </w:p>
    <w:p>
      <w:pPr>
        <w:spacing w:after="0" w:line="166"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NSBF or Newtek Bank fail to comply with SBA regulations in connection with the origination, servicing, or liquidation of an SBA 7(a) loan, liability on the SBA guaranty, in whole or in part, could be transferred to NSBF or Newtek Bank.</w:t>
      </w:r>
    </w:p>
    <w:p>
      <w:pPr>
        <w:spacing w:after="0" w:line="14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Since we sell the guaranteed portion of substantially all of our SBA 7(a) loan portfolio, we retain credit risk on the non-guaranteed portion of the SBA loans. We share pro rata with the SBA in any recoveries. In the event of default on an SBA loan, our pursuit of remedies against a borrower is subject to SBA approval.</w:t>
      </w:r>
    </w:p>
    <w:p>
      <w:pPr>
        <w:spacing w:after="0" w:line="1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If we fail to comply with certain of the SBA’s regulations in connection with the origination, servicing, or liquidation of an SBA 7(a) loan, the SBA may be released from liability on its guaranty of a 7(a) loan, and may refuse to honor a guaranty purchase request in full (referred to by SBA as a “denial”) or in part (referred to by SBA as a “repair”), or recover all or part of the funds already paid in connection with a guaranty purchase. In the event of a repair or denial, liability on the guaranty, in whole or part, would be transferred to NSBF or Newtek Bank. In addition, the growth in the number of loans made by Newtek Bank, changes in SBA regulations and economic factors may adversely impact our current repair and denial rate. In connection with NSBF’s 2018 examination by the SBA, NSBF entered into a voluntary agreement with the SBA pursuant to which NSBF established a segregated restricted cash account in the amount of $10.0 million to account for potential post-purchase repairs and denials of guaranteed portions of SBA 7(a) loans, and take certain actions to demonstrate the sufficiency of NSBF’s liquidity and establish certain additional reporting and compliance procedures. In addition, if we fail to comply with SBA Loan Program Requirements in connection with the origination and servicing of SBA 7(a) loans, the SBA could restrict, in whole or part, our ability to sell the guaranteed portions of the SBA 7(a) loans in the secondary market, which could negatively impact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Curtailment of the government-guaranteed loan programs could adversely affect our results of operations.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Although the SBA 7(a) Program has been in existence since 1953, there can be no assurance that the federal government will maintain the SBA 7(a) Program or the SBA 504 loan program, or that it will continue to guarantee loans at current levels. Furthermore, in an effort to support our communities during the pandemic, we participated in the PPP under the CARES Act whereby we made loans to small businesses and those loans are subject to the regulatory requirements that require forbearance of loan payments for a specified time or limit our ability to pursue all available remedies in the event of a loan default. If the borrower under the PPP loan fails to qualify for loan forgiveness, we may be at the heightened risk of holding these loans at unfavorable interest rates as compared to the loans to customers that we would have otherwise extended credit. If we cannot continue originating and selling government-guaranteed loans, we will generate fewer origination fees and our ability to generate gains on the sale of loans will decrease. From time-to-time, the government agencies that guarantee these loans reach their internal budgeted limits and cease to guarantee loans for a stated time period. In addition, these agencies may change their rules for extending loans. Also, Congress may adopt legislation that would have the effect of discontinuing or changing the SBA’s programs. Non-governmental programs could replace government programs for some borrowers, but the terms might not be equally acceptable. If these changes occur, the volume of loans to SMBs and industrial borrowers of the types that now qualify for government-guaranteed loans could decline, as could the profitability of these loans.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loans under the SBA 7(a) Program involve a high risk of default and such default could adversely impact our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Loans to small businesses involve a high risk of default. Such loans are generally not rated by any statistical rating organization. Small businesses usually have smaller product lines and market shares than larger companies and therefore may be more vulnerable to competition and general economic conditions. These businesses’ success typically depends on their management talents and efforts of one person or a small group of persons whose death, disability or resignation would adversely affect the business. Because these businesses frequently have highly leveraged capital structures, reduced cash flow resulting from economic downturns can severely impact the businesses’ ability to meet their obligations, which could impact our results of operations. The unguaranteed portions of SBA 7(a) loans to be retained by us do not benefit directly from any SBA guarantees; in an event of default, however, we and the SBA typically cooperate in collateral foreclosure or other work-out efforts and share in any resulting collections.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loans we make under the SBA 7(a) Program face competition.</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There are a large number of banks and several non-bank lenders that participate in the SBA 7(a) Program. All of these participants compete for the business of eligible borrowers. Accordingly, we may be at a competitive disadvantage with regard to other lenders or financial institutions that may be able to achieve greater leverage at a lower cost.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governmental failure to fund the SBA could adversely affect Newtek Bank’s SBA 7(a) loan originations and our results of operations.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dependent upon the Federal government to maintain the SBA 7(a) Program. Newtek Bank’s lending business could be materially and adversely affected by circumstances or events limiting the availability of funds for this program. In October 2013, Congress failed to approve a budget, which, in turn, eliminated availability of funds for the SBA 7(a) program. At the time, the government shutdown affected SBA 7(a) lenders’ ability to originate SBA 7(a) loans. More recently, the government shut down in January 2018 due to a lapse in appropriations, and the SBA closed all non-disaster related programs and activities, including the SBA 7(a) program. The government could again fail to fund the SBA which would affect Newtek Bank’s ability to originate government guaranteed loans and to sell the government guaranteed portions of those loans in the secondary market. Any failure to fund the SBA could adversely affect Newtek Bank’s SBA 7(a) loan originations and our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weakness in the residential housing and CRE markets.</w:t>
      </w:r>
    </w:p>
    <w:p>
      <w:pPr>
        <w:spacing w:after="0" w:line="19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Weakness in residential home and CRE values could impair our ability to collect on defaulted loans, as real estate is pledged in many of our loans as part of the collateral package. Weakness in real estate markets could result in higher net charge-offs, nonperforming assets, provision for credit losses, and losses on loans accounted for at fair value in addition to delayed and/or lower reinvestment of proceeds into earning assets or repayment of debt or other obligations.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PAYMENT PROCESSING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if any bank sponsorship is terminated.</w:t>
      </w:r>
    </w:p>
    <w:p>
      <w:pPr>
        <w:spacing w:after="0" w:line="18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4"/>
          <w:szCs w:val="14"/>
          <w:color w:val="auto"/>
        </w:rPr>
        <w:t>Newtek Merchant Solutions (NMS) relies on bank sponsorships for payment processing. Because NMS is not a bank, it is unable to belong to and directly access the Visa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Mastercard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bankcard associations. The Visa and Mastercard operating regulations require NMS to be sponsored by a bank in order to process bankcard transactions. NMS is currently sponsored by two banks. If either of the sponsorships is terminated, and NMS is not able to secure or transfer the respective merchant portfolio to a new bank sponsor or sponsors, the business, financial condition, results of operations and cash flows of the electronic payment processing business could be materially adversely affected. If both the sponsorships are terminated and NMS is unable to secure a bank sponsor for the merchant portfolios, it will not be able to process bankcard transactions for the affected portfolios. Consequently, the loss of both of NMS’ sponsorships would have a material adverse effect on our business. Furthermore, NMS’ agreements with sponsoring banks gives the sponsoring banks substantial discretion in approving certain elements of its business practices, including its solicitation, application and qualification procedures for merchants, the terms of their agreements with merchants, the processing fees that they charge, their customer service levels and its use of independent sales organizations and independent sales agents. We cannot guarantee that NMS’ sponsoring banks’ actions under these agreements would not be detrimental to us.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service providers, some of whom are NMS’ competitors, are necessary for the conduct of NMS’ business. The termination by service providers of these arrangements with NMS or their failure to perform these services efficiently and effectively may adversely affect NMS’ relationships with the merchants whose accounts it serves and may cause those merchants to terminate their processing agreements with NMS.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NMS or its processors or bank sponsors fail to adhere to the standards of the Visa® and Mastercard® bankcard associations, its registrations with these associations could be terminated and it could be required to stop providing payment processing services for Visa® and Mastercard®.</w:t>
      </w:r>
    </w:p>
    <w:p>
      <w:pPr>
        <w:spacing w:after="0" w:line="14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Substantially all of the transactions NMS processes involve Visa or Mastercard. If NMS, its bank sponsors or its processors fail to comply with the applicable requirements of the Visa® and Mastercard® bankcard associations, Visa or Mastercard could suspend or terminate its registration. The termination of NMS’ registration or any changes in the Visa or Mastercard rules that would impair its registration could require it to stop providing payment processing services, which would have a material adverse effect on its business and could be detrimental to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 occasion, NMS experiences increases in interchange and sponsorship fees. If it cannot pass along these increases to its merchants, its profit margins will be reduced.</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NMS pays interchange fees or assessments to bankcard associations for each transaction it processes using their credit and debit cards. From time to time, the bankcard associations increase the interchange fees that they charge processors and the sponsoring banks, which generally pass on such increases to NMS. From time to time, the sponsoring banks increase their fees as well. If NMS is not able to pass these fee increases along to merchants through corresponding increases in its processing fees, its profit margins in this line of business will be reduced.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NMS is liable if its processing merchants refuse or cannot reimburse charge-backs resolved in favor of their customers.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If a billing dispute between a merchant and a cardholder is not ultimately resolved in favor of the merchant, the disputed transaction is “charged back” to the merchant’s bank and credited to the account of the cardholder. If NMS or its processing banks are unable to collect the charge-back from the merchant’s account, or if the merchant refuses or is financially unable due to bankruptcy or other reasons to reimburse the merchant’s bank for the charge-back, NMS must bear the loss for the amount of the refund paid to the cardholder’s bank. Most of NMS’ merchants deliver products or services when purchased, so a contingent liability for charge-backs is unlikely to arise, and credits are issued on returned items. However, some of its merchants do not provide services until sometime after a purchase, which increases the potential for contingent liability and future charge-backs. NMS and the sponsoring bank can require that merchants maintain cash reserves under its control to cover charge-back liabilities but such reserves may not be sufficient to cover the liability or may not even be available to them in the event of a bankruptcy or other legal action.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NMS has potential liability for customer or merchant fraud.</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Credit card fraud occurs when a merchant’s customer uses a stolen card (or a stolen card number in a card-not-present transaction) to purchase merchandise or services. In a traditional card-present transaction, if the merchant swipes the card, receives authorization for the transaction from the card issuing bank and verifies the signature on the back of the card against the paper receipt signed by the customer, the card issuing bank remains liable for any loss. In a fraudulent card-not-present transaction, even if the merchant receives authorization for the transaction, the merchant is liable for any loss arising from the transaction. Many NMS customers are small and transact a substantial percentage of their sales over the Internet or by telephone or mail orders. Because their sales are card-not-present transactions, these merchants are more vulnerable to customer fraud than larger merchants, and NMS could experience charge-backs arising from cardholder fraud more frequently with these merchants.</w:t>
      </w:r>
    </w:p>
    <w:p>
      <w:pPr>
        <w:spacing w:after="0" w:line="16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Anytime a merchant is unable to satisfy a charge-back, NMS is ultimately responsible for that charge-back unless it has required that a cash reserve be established. We cannot assure that the systems and procedures NMS has established to detect and reduce the impact of merchant fraud are or will be effective. Failure to effectively manage risk and prevent fraud could increase NMS charge-back liability and adversely affect its results of operations.</w:t>
      </w:r>
    </w:p>
    <w:p>
      <w:pPr>
        <w:spacing w:after="0" w:line="15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NMS and others in the payment processing industry have come under increasing pressures from various regulatory agencies seeking to use the leverage of the payment processing business to limit or modify the practices of merchants which could lead to increased costs.</w:t>
      </w:r>
    </w:p>
    <w:p>
      <w:pPr>
        <w:spacing w:after="0" w:line="1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Various agencies, particularly the Federal Trade Commission (“FTC”), have within the past few years attempted to pressure merchants to discontinue or modify various sales or other practices. As a part of the payment processing industry, processors such as NMS could experience pressure and/or litigation aimed at restricting access to credit card sales by such merchants. These efforts could cause an increase in the cost to NMS of doing business or otherwise make its business less profitable and may subject NMS to assess penalties for not taking actions deemed sufficiently aggressive to limit such practices. As a result of a litigation brought by the FTC in October 2012, NMS voluntarily entered into, and is presently operating under, a permanent injunction with respect to certain of its business practices. NMS’s failure to comply with the terms of the permanent injunction could result in FTC seeking penalties against NMS and/or negatively impact NMS’ ability to conduct its business.</w:t>
      </w:r>
    </w:p>
    <w:p>
      <w:pPr>
        <w:spacing w:after="0" w:line="16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regulatory focus on the payments industry may result in costly new compliance burdens on NMS’ clients and on NMS itself, leading to increased costs and decreased payments volume and revenues.</w:t>
      </w:r>
    </w:p>
    <w:p>
      <w:pPr>
        <w:spacing w:after="0" w:line="13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Regulation of the payments industry has increased significantly in recent years, with regulations covering privacy, data security, anti-money laundering and money transfer rules at both the state and federal level. Complying with these and other regulations increases costs and can reduce revenue opportunities. Similarly, the impact of such regulations on clients may reduce the volume of payments processed. Moreover, such regulations can limit the types of products and services that are offered. Any of these occurrences can materially and adversely affect NMS’ business, prospects for future growth, financial condition and results of operations.</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NMS is suspected of violating government statutes, governmental agencies may formally investigate NMS. As a result of such a formal investigation, criminal or civil charges could be filed against NMS and it could be required to pay significant fines or penalties in connection with such investigation or other governmental investigations. Any criminal or civil charges by a governmental agency, including any fines or penalties, could materially harm NMS’ business, results of operations, financial position and cash flows. Currently, NMS is operating under an order for injunctive relief it voluntarily entered into with the FTC.</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RISKS RELATED TO NEWTEK BANK</w:t>
      </w:r>
    </w:p>
    <w:p>
      <w:pPr>
        <w:spacing w:after="0" w:line="263"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credit decisioning, pricing, loss forecasting and scoring models we use contain errors, do not adequately assess risk, or are otherwise ineffective, our reputation and relationships with customers could be harmed, our market share could decline and the value of loans held on our balance sheet may be adversely affected.</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ability to attract clients to, and build trust in, Newtek Bank is significantly dependent on our ability to effectively evaluate a borrower’s credit profile and likelihood of default. To conduct this evaluation, we utilize credit decisioning, pricing, loss forecasting and scoring models that assign each loan offered through our marketplace bank a grade and a corresponding interest rate. Our models are based on algorithms that evaluate a number of factors, including behavioral data, transactional data, bank data and employment information, which may not effectively predict future loan losses. If we are unable to effectively segment borrowers into relative risk profiles, we may be unable to offer attractive interest rates for borrowers and risk-adjusted returns for investors.</w:t>
      </w:r>
    </w:p>
    <w:p>
      <w:pPr>
        <w:spacing w:after="0" w:line="16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Additionally, if these models fail to adequately assess the creditworthiness of our borrowers, we may experience higher than forecasted losses. Furthermore, as stated above, we hold loans on our balance sheet. We periodically assess the value of these loans and in doing so we review and incorporate a number of factors including forecasted losses. Accordingly, if we fail to adequately assess the creditworthiness of our borrowers such that we experience higher than forecasted losses, the value of the loans held on our balance sheet may be adversely affected.</w:t>
      </w:r>
    </w:p>
    <w:p>
      <w:pPr>
        <w:spacing w:after="0" w:line="15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continually refine these algorithms based on new data and changing macroeconomic conditions. However, there is no guarantee that the credit decisioning, pricing, loss forecasting and scoring models that we use have accurately assessed the creditworthiness of our borrowers, or will be effective in assessing creditworthiness in the future.</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Similarly, if any of these models contain programming or other errors, are ineffective or the data provided by borrowers or third parties is incorrect or stale, our loan pricing and approval process could be negatively affected, resulting in mispriced or misclassified loans or incorrect approvals or denials of loans. If these errors were to occur, we may be obligated to repurchase the affected loans, investors may try to rescind their affected investments or decide not to invest in loans in the future or borrowers may seek to revise the terms of their loans or reduce the use of our marketplace bank for loans.</w:t>
      </w:r>
    </w:p>
    <w:p>
      <w:pPr>
        <w:spacing w:after="0" w:line="16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collection efforts on delinquent loans are ineffective or unsuccessful, the return on investment for investors in those loans would be adversely affected and investors may not find investing through our marketplace bank desirable.</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Many of our loan products are unsecured obligations of borrowers, and they are not secured by any collateral. None of the non-SBA loans facilitated on our platform are guaranteed or insured by any third party or backed by any governmental authority in any way. We are the loan servicer for all non-SBA loans supporting notes, all certificates and certain secured borrowings, and we are the loan servicer for most, though not all, loans sold as whole loans. The ability to collect on the loans is dependent on the borrower’s continuing financial stability, and consequently, collections can be adversely affected by a number of factors, including bankruptcy or the economic and/or social factors. Furthermore, the application of various federal and state laws, including federal and state bankruptcy and insolvency laws, may limit the amount that can be recovered on these loans. Accordingly, we are limited in our ability to collect loans.</w:t>
      </w:r>
    </w:p>
    <w:p>
      <w:pPr>
        <w:spacing w:after="0" w:line="16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because our servicing fees depend on the collectability of the loans, if we experience a significant increase in the number of delinquent or charged-off loans we will be unable to collect our entire servicing fee for such loans and our revenue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PAYROLL PROCESSING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Newtek Payroll and Benefit Solutions (“PMT”) is subject to risks surrounding Automated Clearing House (“ACH”) payments.</w:t>
      </w:r>
    </w:p>
    <w:p>
      <w:pPr>
        <w:spacing w:after="0" w:line="19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PMT provides payroll and benefit solutions services. Credit risk in ACH payments arises when a party to a contract fails to deposit funds required to settle the contract. This can occur if a client of PMT suffers losses, enters into bankruptcy or defrauds PMT. In such an event, PMT could bear the financial burden of settling the customer’s contract.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PMT could incur unreimbursed costs or damages due to delays in processing inherent in the banking system.</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PMT generally determines the availability of customer (employer) funds prior to making payments to employees or taxing authorities, and such employer funds are generally transferred in to its accounts prior to making payments out. Due to the structure of the banking system however, there are times when PMT may make payroll or tax payments and not immediately receive the funds to do so from the employer. There can be no assurance that the procedures PMT has in place to prevent these occurrences or mitigate the damages will be sufficient to prevent loss to its business. In addition, PMT could incur unreimbursed costs or damages due to delays in processing customer payrolls or payroll taxes in a timely manner.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CAPCO BUSINESS</w:t>
      </w:r>
    </w:p>
    <w:p>
      <w:pPr>
        <w:spacing w:after="0" w:line="20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Capco programs and the tax credits they provided were created by state legislation and implemented through regulation, and such laws and rules are subject to possible action to repeal or retroactively revise the programs for political, economic or other reasons. Such an attempted repeal or revision would create substantial difficulty for the Capco programs and could, if ultimately successful, cause us material financial harm.</w:t>
      </w:r>
    </w:p>
    <w:p>
      <w:pPr>
        <w:spacing w:after="0" w:line="15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tax credits associated with the Capco programs and provided to our Capcos’ investors are to be utilized by the investors over a period of time, which is typically ten years. Much can change during such a period and it is possible that one or more states may revise or eliminate the tax credits. Any such revision or repeal could have a material adverse economic impact on our Capcos, either directly or as a result of the Capco’s insurer’s actions. Any such final state action that jeopardizes the tax credits could result in the provider of our Capco insurance assuming partial or full control of the particular Capco in order to minimize its liability under the Capco insurance policies issued to our investors.</w:t>
      </w:r>
    </w:p>
    <w:p>
      <w:pPr>
        <w:spacing w:after="0" w:line="16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our Capcos are subject to requirements under state law, a failure of any of them to meet these requirements could subject the Capco and our shareholders to the loss of one or more Capcos.</w:t>
      </w:r>
    </w:p>
    <w:p>
      <w:pPr>
        <w:spacing w:after="0" w:line="14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Despite the fact that we have met all applicable minimum requirements of the Capco programs in which we still participate, each Capco remains subject to state regulation until it has invested 100% of its funds and otherwise remains in full legal compliance. There can be no assurance that we will continue to be able to do so. A major regulatory violation, while not fatal to our Capco business, would materially increase the cost of operating the Capcos.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17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issuances of our common stock or other securities, including preferred shares, may dilute the per share book value of our common stock or have other adverse consequences to our common shareholders.</w:t>
      </w:r>
    </w:p>
    <w:p>
      <w:pPr>
        <w:spacing w:after="0" w:line="13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 xml:space="preserve">Our Board has the authority, without the action or vote of our shareholders </w:t>
      </w:r>
      <w:r>
        <w:rPr>
          <w:rFonts w:ascii="Times New Roman" w:cs="Times New Roman" w:eastAsia="Times New Roman" w:hAnsi="Times New Roman"/>
          <w:sz w:val="14"/>
          <w:szCs w:val="14"/>
          <w:color w:val="0000FF"/>
        </w:rPr>
        <w:t>but subject to applicable exchange listing rules</w:t>
      </w:r>
      <w:r>
        <w:rPr>
          <w:rFonts w:ascii="Times New Roman" w:cs="Times New Roman" w:eastAsia="Times New Roman" w:hAnsi="Times New Roman"/>
          <w:sz w:val="14"/>
          <w:szCs w:val="14"/>
          <w:color w:val="auto"/>
        </w:rPr>
        <w:t>, to issue all or part of the approximately 173,709,332 authorized but unissued shares of our common stock. Our business strategy relies in part upon the originations of loans using the resources available to us, including our common stock. Additionally, we anticipate granting additional options or restricted stock awards to our employees and directors in the future pursuant to the 2023 Stock Incentive Plan, which has reserved a maximum of 3,000,000 shares of common stock for issuance to our employees and directors, and 2,420,966 shares of common stock remain available for issuance as of December 31, 2024.</w:t>
      </w:r>
    </w:p>
    <w:p>
      <w:pPr>
        <w:spacing w:after="0" w:line="17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may also issue additional securities, through public or private offerings, in order to raise capital. Future issuances of our common stock will dilute the percentage of ownership interest of current shareholders and could decrease the per share book value of our common stock.</w:t>
      </w:r>
    </w:p>
    <w:p>
      <w:pPr>
        <w:spacing w:after="0" w:line="14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Pursuant to our amended and restated charter, our Board is authorized to classify any unissued shares of stock and reclassify any previously classified but unissued shares of stock of any class or series from time to time, into one or more classes or series of stock, including preferred stock. If we issue preferred stock, the preferred stock would rank “senior” to common stock in our capital structure, preferred shareholders could have separate voting rights on certain matters and might have other rights, preferences, or privileges more favorable than those of our common shareholders, and the issuance of preferred stock could have the effect of delaying, deferring or preventing a transaction or a change of control that might involve a premium price for holders of our common stock or otherwise be in your best interest. If we raise additional funds by issuing more common stock or senior securities convertible into, or exchangeable for, our common stock, then the percentage ownership of our shareholders at that time will decrease, and shareholders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authorization and issuance of “blank check” preferred shares could have an anti-takeover effect detrimental to the interests of our shareholders.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certificate of incorporation allows our Board to issue preferred shares with rights and preferences set by the Board without further shareholder approval. The issuance of these “blank check” preferred shares could have an anti-takeover effect detrimental to the interests of our shareholders. For example, in the event of a hostile takeover attempt, it may be possible for management and the Board to impede the attempt by issuing the preferred shares, thereby diluting or impairing the voting power of the other outstanding common shares and increasing the potential costs to acquire control of us. Under our certificate of incorporation, our Board has the right to issue any new shares, including preferred shares, without first offering them to the holders of common shares, as they have no preemptive rights.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the Maryland General Corporation Law and of our charter and bylaws could deter takeover attempts and have an adverse impact on the price of our common stock.</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may discourage, delay or make more difficult a change in control of Newtek or the removal of our directors. We are subject to the Maryland Business Combination Act. Our Board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Maryland Control Share Acquisition Act, the Maryland Control Shares Acquisition Act may make it more difficult for a third party to obtain control of us and increase the difficulty of consummating such a transaction.</w:t>
      </w:r>
    </w:p>
    <w:p>
      <w:pPr>
        <w:spacing w:after="0" w:line="16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OUTSTANDING INDEBTEDNESS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150% asset coverage requirements due to covenants contained in certain of our outstanding debt.</w:t>
      </w:r>
    </w:p>
    <w:p>
      <w:pPr>
        <w:spacing w:after="0" w:line="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Certain of our outstanding debt include covenants requiring us to comply with (regardless of whether we are subject to) the asset coverage requirements set forth in Section 18(a)(1)(A) of the 1940 Act as modified by Section 61(a) of the 1940 Act (or any successor provisions), to comply with (regardless of whether we are subject to) the restrictions on dividends, distributions and purchase of capital stock set forth in Section 18(a)(1)(B) of the 1940 Act as modified by Section 61(a) of the 1940 Act and to provide financial information to the holders of the Notes and the Trustee if we should no longer be subject to the reporting requirements under the Exchange Act. As a result, we are subject to 150% asset coverage requirements under the 1940 Act even though we are not regulated as a BDC.</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4"/>
          <w:szCs w:val="14"/>
          <w:color w:val="auto"/>
        </w:rPr>
        <w:t>Under these requirements we are only permitted to issue multiple classes of indebtedness and one class of shares senior to our common stock if our asset coverage, as defined in the 1940 Act, is at least equal to 150% immediately after each such issuance.</w:t>
      </w:r>
    </w:p>
    <w:p>
      <w:pPr>
        <w:ind w:right="40"/>
        <w:spacing w:after="0" w:line="247" w:lineRule="auto"/>
        <w:rPr>
          <w:sz w:val="20"/>
          <w:szCs w:val="20"/>
          <w:color w:val="auto"/>
        </w:rPr>
      </w:pPr>
      <w:r>
        <w:rPr>
          <w:rFonts w:ascii="Times New Roman" w:cs="Times New Roman" w:eastAsia="Times New Roman" w:hAnsi="Times New Roman"/>
          <w:sz w:val="14"/>
          <w:szCs w:val="14"/>
          <w:color w:val="auto"/>
        </w:rPr>
        <w:t>The ratio of our total assets (less total liabilities other than indebtedness represented by senior securities) to our total indebtedness represented by senior securities plus preferred stock, if any, must be at least 150%.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information security breaches or cyber security attacks.</w:t>
      </w:r>
    </w:p>
    <w:p>
      <w:pPr>
        <w:spacing w:after="0" w:line="19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Our business operations and our subsidiaries’ business operations rely upon secure information technology systems for data processing, storage and reporting. Such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 For example, we collect and store sensitive data about borrowers, merchants and cardholders, and we collect and store sensitive employee and payroll data. If anyone penetrates our network security or otherwise misappropriates sensitive customer, merchant or cardholder data, we could be subject to liability or business interruption.</w:t>
      </w:r>
    </w:p>
    <w:p>
      <w:pPr>
        <w:spacing w:after="0" w:line="1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In addition, our business operations involve the storage and transmission of Company, customer and employee proprietary information. Our businesses rely on our digital technologies, computer and email systems, software, and networks to conduct operations. Our technologies, systems and networks may become the target of criminal cyber-attacks or information security breaches that could result in the unauthorized release, gathering, monitoring, misuse, loss or destruction of confidential, proprietary and other information of us or third parties with whom we deal, or otherwise disrupt our or our customers’ or other third parties’ business operations. In the event of any breach of any third-party data processors’ system, we may also be subject to class action lawsuits or other liability. SMBs are less prepared for the complexities of safeguarding cardholder data than their larger counterparts. In the event of noncompliance by a customer or other third-party of data safety and data privacy laws and regulations, we could face fines from governmental or non-governmental agencies. Further, the use of AI by cybercriminals may increase the frequency and severity of cyber-attacks against us or our third-party vendors and clients. It is critical to our business strategy that our facilities and infrastructure remain secure and are perceived by the marketplace to be secure.</w:t>
      </w:r>
    </w:p>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Although we believe we and our IT providers employ security technologies (including data encryption processes, intrusion detection systems), and conduct comprehensive risk assessments and other internal control procedures designed to assure the security of our and our customers’ data, we cannot guarantee that these measures will be sufficient for this purpose. If our and our IT provider’s security measures are breached as a result of third-party action, employee error or otherwise, and as a result our or our customers’ data becomes available to unauthorized parties, we could incur liability and our reputation would be damaged, which could lead to the loss of current and potential customers. If we experience any breaches of our network security or sabotage, we might be required to expend significant capital and other resources to detect, remedy, protect against or alleviate these and related problems, and we may not be able to remedy these problems in a timely manner, or at all. Because techniques used by outsiders to obtain unauthorized network access or to sabotage systems change frequently and generally are not recognized until launched against a target, we may be unable to anticipate these techniques or implement adequate preventative measures.</w:t>
      </w:r>
    </w:p>
    <w:p>
      <w:pPr>
        <w:spacing w:after="0" w:line="1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Additionally, the increased use of mobile and cloud technologies due to the increased amount of remote work could heighten these and other operational risks as certain aspects of the security of such technologies may be complex and unpredictable.</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Prior to the January 2025 divestiture of NTS to IPM, we relied on our subsidiary NTS to manage our IT, including software, hardware and cybersecurity. In connection with the sale of NTS to IPM, we entered into an agreement for IPM to continue to manage the Company’s IT. There can be no assurance that IPM will continue to provide the Company with the same level of service or cybersecurity as a third-party provider that NTS provided as a wholly owned subsidiary.</w:t>
      </w:r>
    </w:p>
    <w:p>
      <w:pPr>
        <w:spacing w:after="0" w:line="15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4"/>
          <w:szCs w:val="14"/>
          <w:color w:val="auto"/>
        </w:rPr>
        <w:t>As cyber threats continue to evolve, we may be required to expend significant additional resources to continue to modify or enhance our protective measures or to investigate and remediate any information security vulnerabilities. Although we have insurance in place that covers such incidents, the cost of a breach or cyber-attack could well exceed any such insurance coverage.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4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and our subsidiaries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subsidiaries’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6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4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 Any failure or interruption of the systems we rely on, including as a result of the termination of an agreement with any such third party service provider, could cause delays or other problems in our activities. This, in turn, could have a material adverse effect on our operating results and negatively affect the market price of our securities and our ability to make distributions to our shareholders.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cybersecurity has become a top priority for regulators around the world, and some jurisdictions have enacted laws requiring companies to notify individuals of data security breaches involving certain types of personal data. For example, the SEC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 If we fail to comply with the relevant laws and regulations, we could suffer financial losses, a disruption of our businesses, liability to investors, regulatory intervention or reputational damage.</w:t>
      </w:r>
    </w:p>
    <w:p>
      <w:pPr>
        <w:spacing w:after="0" w:line="164"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4"/>
          <w:szCs w:val="14"/>
          <w:color w:val="auto"/>
        </w:rPr>
        <w:t>We and our service providers continue to be impacted by the increase in remote work.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Accordingly, the risks described above are heightened under current conditions.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and our subsidiaries are subject to risks associated with “phishing” and other cyber-attack.</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business and the business of our subsidiaries relies upon secure information technology systems for data processing, storage and reporting. Despite careful security and controls design, implementation and updating, ours and our subsidiaries’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 Our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 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1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Our and our service providers’ increased use of mobile and cloud technologies could heighten the risk of a cyber-attack as well as other operational risks, as certain aspects of the security of such technologies may be complex, unpredictable or beyond their control. Our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 may be volatile and may decrease substantially.</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trading price of our common stock may fluctuate substantially. The price of our common stock may be higher or lower depending on many factors, some of which are beyond our control and may not be directly related to our operating performance. These factors include, but are not limited to, the following:</w:t>
      </w:r>
    </w:p>
    <w:p>
      <w:pPr>
        <w:spacing w:after="0" w:line="145"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demand for our stock;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securities of other companies in our sector, which are not necessarily related to the operating performance of these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or tax guidelines with respect to financial holding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shortfall in revenue or net income or any increase in losses from levels expected by investors or securities analysts;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perceived changes, in the value of our loan portfolios;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departures of key Company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performance of companies comparable to us;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trends and other external factors.</w:t>
      </w:r>
    </w:p>
    <w:p>
      <w:pPr>
        <w:spacing w:after="0" w:line="1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In the past, following periods of volatility in the market price of a company’s securities, securities class action litigation has often been brought against that company. Due to the potential volatility of our stock price, we may become the target of securities litigation in the future. Securities litigation could result in substantial costs and divert management’s attention and resources from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quarterly and annual results.</w:t>
      </w:r>
    </w:p>
    <w:p>
      <w:pPr>
        <w:spacing w:after="0" w:line="19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We may experience fluctuations in our quarterly and annual operating results due to a number of factors, including our ability or inability to make loans that meet our investment criteria, the default rate of such loans, the level of dividend, interest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how new tax legislation will affect us, our investments, or our stockholders, and any such legislation could adversely affect our business.</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Department.Significant changes to the existing U.S. tax rules have been enacted in recent years,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corporate social responsibility.</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business may continue to face increasing public scrutiny related to environmental, social and governance (“ESG”) activities. We may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w:t>
      </w:r>
    </w:p>
    <w:p>
      <w:pPr>
        <w:spacing w:after="0" w:line="15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Views about ESG are diverse, dynamic and rapidly changing, with a number of competing constituencies, and there has been an increased focus by investors and other stakeholders on topics related to corporate policies and approaches regarding ESG and diversity, equity and inclusion issues. Due to divergent stakeholder views on these matters, we are at increased risk that any action, or lack thereof, concerning these matters will be perceived negatively by some stakeholders. If our ESG practices, oversight and disclosures were perceived to be inadequate or inappropriate by governmental officials, supervisory authorities, investors, customers or other constituencies with the ability to affect our business and financial results, we could suffer reputational damage, a loss of customer and investor confidence, increased litigation risk and regulatory scrutiny, and adverse effects on our results of operations and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effect of global climate change may impact our operations and the operations of our subsidiaries and clients.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Climate change is widely considered to be a significant threat to the global economy. Climate change creates physical and financial risk and we, our subsidiaries or our clients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subsidiaries or clients if the use of energy products or services is material to their business. A decrease in energy use due to weather changes may affect some of our subsidiaries’ or clients’ financial condition, through decreased revenues. Extreme weather conditions in general require more system backup, adding to costs, and can contribute to increased system stresses, including service interruptions.</w:t>
      </w:r>
    </w:p>
    <w:p>
      <w:pPr>
        <w:spacing w:after="0" w:line="15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Governments and policymakers at the federal, state and international levels are increasingly focused on climate change and related environmental, social and governance issues, and the potential for climate-related risks to impact the safety and soundness of large financial institutions. For example, in March 2024, the SEC finalized a rule requiring certain public issuers to provide certain climate-related disclosures in their SEC filings beginning in 2026 with respect to fiscal year 2025; however, the rule is currently stayed by the SEC pending the completion of judicial review of litigation challenging the rule. The risks associated with climate change are rapidly changing and evolving in an escalating fashion, making them difficult to assess due to limited data. We, our subsidiaries or our clients may become subject to new or strengthened regulations or legislation, which could increase their operating costs and/or decrease their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NewtekOne maintains a Risk Management framework to identify, measure, mitigate, monitor and report material risks to the Risk Committee of our Board. Our Risk Management process includes participation by our senior management and employees across NewtekOne and its consolidated subsidiaries and is overseen by our Chief Risk Officer who reports to the Risk Committee and our CEO. The Risk Committee sets the risk appetite across NewtekOne while the executive leadership team and our associates identify and monitor current and emerging risks and manage those risks within our risk appetite. Cybersecurity has been identified among the material risks in our business and the following approach has been developed to address cybersecurity.</w:t>
      </w:r>
    </w:p>
    <w:p>
      <w:pPr>
        <w:spacing w:after="0" w:line="16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and NTS, and NTS’s successor, IPM, which manages our IT infrastructure and cybersecurity under the direction of our CTO, have developed an enterprise-wide cybersecurity risk management system and strategy to safeguard our assets and operations, including the protection of the confidentiality of nonpublic, sensitive personal and business information and the integrity and security of our information systems, as follows: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Assessment, Identification, and Management of Material Risks:</w:t>
      </w:r>
    </w:p>
    <w:p>
      <w:pPr>
        <w:spacing w:after="0" w:line="200" w:lineRule="exact"/>
        <w:rPr>
          <w:sz w:val="20"/>
          <w:szCs w:val="20"/>
          <w:color w:val="auto"/>
        </w:rPr>
      </w:pPr>
    </w:p>
    <w:p>
      <w:pPr>
        <w:ind w:left="520" w:right="20" w:hanging="260"/>
        <w:spacing w:after="0" w:line="263"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Comprehensive Risk Assessments: We conduct regular and comprehensive assessments to identify potential cybersecurity risks to our organization. These assessments encompass internal systems, networks, applications, and data repositories, as well as external threats and vulnerabilities within the broader digital ecosystem.</w:t>
      </w:r>
    </w:p>
    <w:p>
      <w:pPr>
        <w:ind w:left="520" w:right="100" w:hanging="260"/>
        <w:spacing w:after="0" w:line="253"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 Intelligence Monitoring: We continuously monitor threat intelligence sources to stay abreast of emerging cyber threats and trends. This proactive approach enables us to anticipate potential risks and take preemptive measures to mitigate them.</w:t>
      </w:r>
    </w:p>
    <w:p>
      <w:pPr>
        <w:ind w:left="520" w:hanging="260"/>
        <w:spacing w:after="0" w:line="253"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Prioritization: Following the assessment phase, we prioritize identified risks based on their potential impact on our operations, data integrity, confidentiality, and reputation. This risk-based approach allows us to allocate resources effectively and focus on addressing the most significant threats first.</w:t>
      </w:r>
    </w:p>
    <w:p>
      <w:pPr>
        <w:ind w:left="520" w:right="260" w:hanging="260"/>
        <w:spacing w:after="0" w:line="259"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Mitigation Strategies: We develop and implement robust mitigation strategies tailored to address specific cybersecurity risks. These strategies may include the deployment of technical controls, such as firewalls, intrusion detection systems, and encryption protocols, as well as the implementation of policies, procedures, and employee training programs to promote cybersecurity awareness and adherence to best practices.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Integration into Overall Risk Management System:</w:t>
      </w:r>
    </w:p>
    <w:p>
      <w:pPr>
        <w:spacing w:after="0" w:line="20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Our cybersecurity risk management processes are fully integrated into our overall risk management system and corporate governance framework. This integration ensures that cybersecurity considerations are embedded within our strategic decision-making processes and are aligned with our broader business objectives. By integrating cybersecurity into our overall risk management system, we promote a comprehensive approach to risk mitigation and resilience-building across the organization.</w:t>
      </w: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7"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Engagement of Assessors, Consultants, and Auditors:</w:t>
      </w:r>
    </w:p>
    <w:p>
      <w:pPr>
        <w:spacing w:after="0" w:line="200" w:lineRule="exact"/>
        <w:rPr>
          <w:sz w:val="20"/>
          <w:szCs w:val="20"/>
          <w:color w:val="auto"/>
        </w:rPr>
      </w:pPr>
    </w:p>
    <w:p>
      <w:pPr>
        <w:ind w:left="520" w:right="220" w:hanging="260"/>
        <w:spacing w:after="0" w:line="263"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Expertise: Our CTO is responsible for overseeing the Company’s IT infrastructure and cybersecurity and reports to our executive management team and the Technology Steering Committee of our Board.</w:t>
      </w:r>
    </w:p>
    <w:p>
      <w:pPr>
        <w:ind w:left="520" w:right="80" w:hanging="260"/>
        <w:spacing w:after="0" w:line="253"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Expertise: We recognize the value of external expertise in assessing and enhancing our cybersecurity posture. Historically, the Company’s subsidiary NTS and its team of professionals, including NTS’ Chief Information Security Officer (“CISO”), who currently serves as our CISO, and CTO, and their team of professionals, have managed the Company’s IT infrastructure, including our dedicated server hosting, managed cybersecurity, backup and disaster recovery, and other related services. As of the January 2, 2025, close of our divestiture of NTS to IPM, we and IPM entered into a Master Services Agreement pursuant to which IPM provides us with the same services NTS provided to the Company prior to the divestiture. Our CTO is responsible for overseeing IPM’s provision of the managed technology services, including cybersecurity, to NewtekOne. In addition, we engage assessors, consultants, auditors, and other third-party experts with specialized knowledge in cybersecurity. These external stakeholders conduct independent assessments, penetration testing, vulnerability scans, and audits to evaluate the effectiveness of our cybersecurity controls and identify areas for improvement.</w:t>
      </w:r>
    </w:p>
    <w:p>
      <w:pPr>
        <w:ind w:left="520" w:right="440" w:hanging="260"/>
        <w:spacing w:after="0" w:line="266"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 Improvement: The insights and recommendations provided by external assessors and consultants inform our ongoing efforts to strengthen our cybersecurity defenses. We prioritize the implementation of their recommendations, ensuring that our cybersecurity measures remain robust and adaptive to evolving threats.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Oversight of Third-Party Service Providers:</w:t>
      </w:r>
    </w:p>
    <w:p>
      <w:pPr>
        <w:spacing w:after="0" w:line="200"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4"/>
          <w:szCs w:val="14"/>
          <w:color w:val="auto"/>
        </w:rPr>
        <w:t>Our management is actively engaged in overseeing our third-party service providers. Our Enterprise Third Party Risk Management (TPRM) Policy establishes requirements and practices used to oversee and manage the activities of third parties with whom we have a relationship, under which we identify, measure, monitor, and manage third-party risk (including information cybersecurity risks) in alignment with our strategic objectives and in compliance with applicable law. Any identified threats, vulnerabilities, or cybersecurity incidents are addressed as appropriate through our CTO, CISO and IPM.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9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Our Board oversees material risks facing the Company. For some categories of risk, the Board has empowered committees to provide more focused oversight. In the case of cybersecurity and technology risk, in 2024 the Board formed the Technology Steering Committee which has that responsibility.</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Technology Steering Committee is informed of risks from cybersecurity threats through regular reports from the Company’s management, including our CTO. Our CTO and the CISO, who is employed by IPM, oversee our cybersecurity risk management program. The CISO is chiefly responsible for developing, maintaining, and enforcing cybersecurity and cyber risk-related policies; ensuring the Company and its subsidiaries satisfy requirements of relevant regulations, industry standards, and third-party risk assessment requirements; keeping abreast of developing security threats, and helping both the Board and the Technology Steering Committee understand potential security problems that might arise from the changing threat landscape; and overseeing and implementing regular security awareness training of all employees on cybersecurity, and supporting effective communication with users to limit security vulnerabilities. The CISO regularly reports to our CTO who reports to the Technology Steering Committee on a quarterly and more frequently as needed, on the state of our cybersecurity risk management program and provides updates on cybersecurity matters.</w:t>
      </w:r>
    </w:p>
    <w:p>
      <w:pPr>
        <w:spacing w:after="0" w:line="33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Technology Steering Committee also receives regular reports on how management identifies, assesses, and manages cybersecurity and broader technology risks. The Technology Steering Committee reviews these reports and discusses them with management. The Technology Steering Committee reports to the full Board on key aspects of management’s presentations on cybersecurity and broader technology risks. All members of the Board have access to written cybersecurity reports that are provided to the Technology Steering Committee.</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While our Board and Technology Steering Committee oversee cybersecurity and technology risk, our senior leadership is responsible for identifying, assessing, and managing our exposure to risks from cybersecurity threats. Accountability of our cybersecurity program is housed within IPM, with oversight by our CTO. Reporting to our CTO is the CISO, the individual who provides day-to-day oversight of our cybersecurity program. Our CISO is responsible for assessing and managing material risks from cybersecurity threats, including monitoring the prevention, detection, mitigation and remediation of cybersecurity threats. Our CISO oversees a team that regularly communicates with respect to the prevention, detection, mitigation and remediation of cybersecurity threats and incidents. The CISO’s team consists of individuals that have knowledge, skills and expertise to respond to a cybersecurity incident. Our CISO coordinates with the CTO, who coordinates with the Company’s and our subsidiaries’ executive officers relating to potentially material cybersecurity incidents and regularly discusses with the Technology Steering Committee the effectiveness of the Company’s technology security, capabilities for disaster recovery, data protection, cyber threat detection and cyber incident response and management of technology-related compliance risks.</w:t>
      </w:r>
    </w:p>
    <w:p>
      <w:pPr>
        <w:spacing w:after="0" w:line="1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Our CISO is a Certified Information System Security Professional (CISSP) with decades of experience with technology in security, architecture, infrastructure and support in the financial, education, healthcare and verticals. He is a results driven leader who has managed multimillion dollar projects and solutions to successful completion. Our CTO has over 25 years of experience in enterprise technology solutions, with expertise in managed services, private cloud, service operations, and security. He is committed to driving reliability of services while prioritizing robust security measures.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conduct our principal business activities in facilities leased from unrelated parties at market rates. Our headquarters are located in Boca Raton, Florida. Our operating subsidiaries have properties which are material to the conduct of their business as noted below. In addition, our Capcos maintain offices in each of the states in which they operate.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list of our leased offices and space as of December 31, 2024, which are material to the conduct of our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Lease expiration</w:t>
            </w:r>
          </w:p>
        </w:tc>
        <w:tc>
          <w:tcPr>
            <w:tcW w:w="5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Purpose</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Approximate square feet</w:t>
            </w:r>
          </w:p>
        </w:tc>
      </w:tr>
      <w:tr>
        <w:trPr>
          <w:trHeight w:val="32"/>
        </w:trPr>
        <w:tc>
          <w:tcPr>
            <w:tcW w:w="320" w:type="dxa"/>
            <w:vAlign w:val="bottom"/>
            <w:tcBorders>
              <w:top w:val="single" w:sz="8" w:color="auto"/>
            </w:tcBorders>
          </w:tcPr>
          <w:p>
            <w:pPr>
              <w:spacing w:after="0"/>
              <w:rPr>
                <w:sz w:val="2"/>
                <w:szCs w:val="2"/>
                <w:color w:val="auto"/>
              </w:rPr>
            </w:pPr>
          </w:p>
        </w:tc>
        <w:tc>
          <w:tcPr>
            <w:tcW w:w="29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r>
      <w:tr>
        <w:trPr>
          <w:trHeight w:val="138"/>
        </w:trPr>
        <w:tc>
          <w:tcPr>
            <w:tcW w:w="3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4800</w:t>
            </w:r>
          </w:p>
        </w:tc>
        <w:tc>
          <w:tcPr>
            <w:tcW w:w="306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 Rex Avenue</w:t>
            </w:r>
          </w:p>
        </w:tc>
        <w:tc>
          <w:tcPr>
            <w:tcW w:w="154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April 2026</w:t>
            </w:r>
          </w:p>
        </w:tc>
        <w:tc>
          <w:tcPr>
            <w:tcW w:w="508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Corporate headquarters, lending operations and subsidiaries’ offices</w:t>
            </w:r>
          </w:p>
        </w:tc>
        <w:tc>
          <w:tcPr>
            <w:tcW w:w="12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7,800</w:t>
            </w:r>
          </w:p>
        </w:tc>
      </w:tr>
      <w:tr>
        <w:trPr>
          <w:trHeight w:val="191"/>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Boca Raton, FL 33431</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38"/>
        </w:trPr>
        <w:tc>
          <w:tcPr>
            <w:tcW w:w="3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w w:val="99"/>
              </w:rPr>
              <w:t>1981</w:t>
            </w:r>
          </w:p>
        </w:tc>
        <w:tc>
          <w:tcPr>
            <w:tcW w:w="30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Marcus Avenue</w:t>
            </w:r>
          </w:p>
        </w:tc>
        <w:tc>
          <w:tcPr>
            <w:tcW w:w="15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April 2027</w:t>
            </w:r>
          </w:p>
        </w:tc>
        <w:tc>
          <w:tcPr>
            <w:tcW w:w="508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Newtek Bank, lending operations, corporate operations, NY Capco offices and</w:t>
            </w:r>
          </w:p>
        </w:tc>
        <w:tc>
          <w:tcPr>
            <w:tcW w:w="12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44,800</w:t>
            </w:r>
          </w:p>
        </w:tc>
      </w:tr>
      <w:tr>
        <w:trPr>
          <w:trHeight w:val="187"/>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Lake Success, NY 11042</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subsidiaries’ offices</w:t>
            </w:r>
          </w:p>
        </w:tc>
        <w:tc>
          <w:tcPr>
            <w:tcW w:w="1280" w:type="dxa"/>
            <w:vAlign w:val="bottom"/>
          </w:tcPr>
          <w:p>
            <w:pPr>
              <w:spacing w:after="0"/>
              <w:rPr>
                <w:sz w:val="16"/>
                <w:szCs w:val="16"/>
                <w:color w:val="auto"/>
              </w:rPr>
            </w:pPr>
          </w:p>
        </w:tc>
      </w:tr>
      <w:tr>
        <w:trPr>
          <w:trHeight w:val="141"/>
        </w:trPr>
        <w:tc>
          <w:tcPr>
            <w:tcW w:w="3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w w:val="99"/>
              </w:rPr>
              <w:t>1985</w:t>
            </w:r>
          </w:p>
        </w:tc>
        <w:tc>
          <w:tcPr>
            <w:tcW w:w="30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Marcus Avenue</w:t>
            </w:r>
          </w:p>
        </w:tc>
        <w:tc>
          <w:tcPr>
            <w:tcW w:w="1540" w:type="dxa"/>
            <w:vAlign w:val="bottom"/>
            <w:gridSpan w:val="2"/>
            <w:shd w:val="clear" w:color="auto" w:fill="CCEEFF"/>
          </w:tcPr>
          <w:p>
            <w:pPr>
              <w:jc w:val="center"/>
              <w:ind w:right="80"/>
              <w:spacing w:after="0" w:line="141" w:lineRule="exact"/>
              <w:rPr>
                <w:sz w:val="20"/>
                <w:szCs w:val="20"/>
                <w:color w:val="auto"/>
              </w:rPr>
            </w:pPr>
            <w:r>
              <w:rPr>
                <w:rFonts w:ascii="Times New Roman" w:cs="Times New Roman" w:eastAsia="Times New Roman" w:hAnsi="Times New Roman"/>
                <w:sz w:val="14"/>
                <w:szCs w:val="14"/>
                <w:color w:val="auto"/>
              </w:rPr>
              <w:t>April 2027</w:t>
            </w:r>
          </w:p>
        </w:tc>
        <w:tc>
          <w:tcPr>
            <w:tcW w:w="5080" w:type="dxa"/>
            <w:vAlign w:val="bottom"/>
            <w:gridSpan w:val="2"/>
            <w:shd w:val="clear" w:color="auto" w:fill="CCEEFF"/>
          </w:tcPr>
          <w:p>
            <w:pPr>
              <w:jc w:val="center"/>
              <w:ind w:right="100"/>
              <w:spacing w:after="0" w:line="141" w:lineRule="exact"/>
              <w:rPr>
                <w:sz w:val="20"/>
                <w:szCs w:val="20"/>
                <w:color w:val="auto"/>
              </w:rPr>
            </w:pPr>
            <w:r>
              <w:rPr>
                <w:rFonts w:ascii="Times New Roman" w:cs="Times New Roman" w:eastAsia="Times New Roman" w:hAnsi="Times New Roman"/>
                <w:sz w:val="14"/>
                <w:szCs w:val="14"/>
                <w:color w:val="auto"/>
              </w:rPr>
              <w:t>Newtek Bank and lending operations</w:t>
            </w:r>
          </w:p>
        </w:tc>
        <w:tc>
          <w:tcPr>
            <w:tcW w:w="12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7,300</w:t>
            </w:r>
          </w:p>
        </w:tc>
      </w:tr>
      <w:tr>
        <w:trPr>
          <w:trHeight w:val="191"/>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Lake Success, NY 11042</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200 and 250 South Orange Avenue, Orlando, FL 32801</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February 2030</w:t>
            </w: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Lending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r>
      <w:tr>
        <w:trPr>
          <w:trHeight w:val="138"/>
        </w:trPr>
        <w:tc>
          <w:tcPr>
            <w:tcW w:w="338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1111 Brickell Avenue, Suite 135</w:t>
            </w:r>
          </w:p>
        </w:tc>
        <w:tc>
          <w:tcPr>
            <w:tcW w:w="154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w w:val="99"/>
              </w:rPr>
              <w:t>February 2027</w:t>
            </w:r>
          </w:p>
        </w:tc>
        <w:tc>
          <w:tcPr>
            <w:tcW w:w="5080" w:type="dxa"/>
            <w:vAlign w:val="bottom"/>
            <w:gridSpan w:val="2"/>
            <w:shd w:val="clear" w:color="auto" w:fill="CCEEFF"/>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Main office Newtek Bank</w:t>
            </w:r>
          </w:p>
        </w:tc>
        <w:tc>
          <w:tcPr>
            <w:tcW w:w="12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1,800</w:t>
            </w:r>
          </w:p>
        </w:tc>
      </w:tr>
      <w:tr>
        <w:trPr>
          <w:trHeight w:val="191"/>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Miami, Florida 33131</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4"/>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Wilmington, NC</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2027</w:t>
            </w:r>
          </w:p>
        </w:tc>
        <w:tc>
          <w:tcPr>
            <w:tcW w:w="5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Newtek Bank operations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Refer to “NOTE 15—COMMITMENTS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THE REGISTRANT'S COMMON EQUITY AND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Nasdaq Global Market under the symbol “NEWT.” The last reported price for our common stock on March 14, 2025 was $12.20 per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14, 2025, there were approximately 85 holders of record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Unregistered Securities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previously issued shares of common stock that are not subject to the registration requirements of the Securities Act in connection with the DRIP. On December 8, 2023, the Company terminated the DRIP; therefore, during the year ended December 31, 2024 we issued no shares related to the DRIP. During the year ended December 31, 2023 we issued 15,700 shares of common stock valued at $0.2 million to shareholders in connection with the DRIP.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following twelve months. From November 1, 2024 through December 31 2024, the company purchased 30 thousand shares at an average price of $13.35 per share for $402 thousand in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9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4"/>
          <w:szCs w:val="14"/>
          <w:color w:val="auto"/>
        </w:rPr>
        <w:t>The Company declared common dividends of $0.19 per share for the first, second, third and fourth quarters of 2024 and $0.18 per share for the first, second, third and fourth quarters of 2023. The Company’s ability to continue to pay common stock dividends is subject to, among other things, Board approval and limitations on capital distributions in the event of a breach of any regulatory capital buffers, with the degree of such restrictions based on the extent to which the buffers are breached.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 offer no assurance that we will achieve results that will permit the payment of any cash distributions. See “Item 1. Business.”</w:t>
      </w:r>
    </w:p>
    <w:p>
      <w:pPr>
        <w:spacing w:after="0" w:line="18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Prior to our 2023 taxable year, when the Company operated as a RIC, we were required to timely distribute to our shareholders, in respect of each taxable year, dividends for U.S. federal income tax purposes of an amount generally at least equal to the Annual Distribution Requirement. Upon satisfying this requirement in respect of a taxable year, we generally were not subject to U.S. federal income taxes at corporate rates on any income we distributed to our shareholders as dividends for U.S. federal income tax purposes.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dividend declarations and distributions from January 1, 2022 through December 31, 2022, after which the Company no longer operates as a RIC:</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4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Distribution Declared</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21, 2022</w:t>
            </w:r>
          </w:p>
        </w:tc>
        <w:tc>
          <w:tcPr>
            <w:tcW w:w="100" w:type="dxa"/>
            <w:vAlign w:val="bottom"/>
            <w:tcBorders>
              <w:top w:val="single" w:sz="8" w:color="CCEEFF"/>
            </w:tcBorders>
            <w:shd w:val="clear" w:color="auto" w:fill="CCEEFF"/>
          </w:tcPr>
          <w:p>
            <w:pPr>
              <w:spacing w:after="0"/>
              <w:rPr>
                <w:sz w:val="15"/>
                <w:szCs w:val="15"/>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2022</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20, 2022</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 2022</w:t>
            </w: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30, 2022</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2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20, 2022</w:t>
            </w: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30, 2022</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20" w:type="dxa"/>
            <w:vAlign w:val="bottom"/>
          </w:tcPr>
          <w:p>
            <w:pPr>
              <w:spacing w:after="0"/>
              <w:rPr>
                <w:sz w:val="16"/>
                <w:szCs w:val="16"/>
                <w:color w:val="auto"/>
              </w:rPr>
            </w:pPr>
          </w:p>
        </w:tc>
      </w:tr>
      <w:tr>
        <w:trPr>
          <w:trHeight w:val="86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stock-based compensation plan as discussed in NOTE 20—BENEFIT PLANS. Securities authorized for issuance under equity compensation plans as of December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15"/>
        </w:trPr>
        <w:tc>
          <w:tcPr>
            <w:tcW w:w="5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1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 remaining available</w:t>
            </w: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64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21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for future issuance under equity</w:t>
            </w:r>
          </w:p>
        </w:tc>
        <w:tc>
          <w:tcPr>
            <w:tcW w:w="0" w:type="dxa"/>
            <w:vAlign w:val="bottom"/>
          </w:tcPr>
          <w:p>
            <w:pPr>
              <w:spacing w:after="0"/>
              <w:rPr>
                <w:sz w:val="1"/>
                <w:szCs w:val="1"/>
                <w:color w:val="auto"/>
              </w:rPr>
            </w:pPr>
          </w:p>
        </w:tc>
      </w:tr>
      <w:tr>
        <w:trPr>
          <w:trHeight w:val="106"/>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86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upon exercise of outstanding</w:t>
            </w:r>
          </w:p>
        </w:tc>
        <w:tc>
          <w:tcPr>
            <w:tcW w:w="16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price of outstanding options,</w:t>
            </w:r>
          </w:p>
        </w:tc>
        <w:tc>
          <w:tcPr>
            <w:tcW w:w="21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compensation plans (excluding securities</w:t>
            </w:r>
          </w:p>
        </w:tc>
        <w:tc>
          <w:tcPr>
            <w:tcW w:w="0" w:type="dxa"/>
            <w:vAlign w:val="bottom"/>
          </w:tcPr>
          <w:p>
            <w:pPr>
              <w:spacing w:after="0"/>
              <w:rPr>
                <w:sz w:val="1"/>
                <w:szCs w:val="1"/>
                <w:color w:val="auto"/>
              </w:rPr>
            </w:pPr>
          </w:p>
        </w:tc>
      </w:tr>
      <w:tr>
        <w:trPr>
          <w:trHeight w:val="155"/>
        </w:trPr>
        <w:tc>
          <w:tcPr>
            <w:tcW w:w="5620" w:type="dxa"/>
            <w:vAlign w:val="bottom"/>
            <w:gridSpan w:val="2"/>
            <w:vMerge w:val="continue"/>
          </w:tcPr>
          <w:p>
            <w:pPr>
              <w:spacing w:after="0"/>
              <w:rPr>
                <w:sz w:val="13"/>
                <w:szCs w:val="13"/>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 warrants and rights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warrants 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reflected in column (a))</w:t>
            </w:r>
          </w:p>
        </w:tc>
        <w:tc>
          <w:tcPr>
            <w:tcW w:w="0" w:type="dxa"/>
            <w:vAlign w:val="bottom"/>
          </w:tcPr>
          <w:p>
            <w:pPr>
              <w:spacing w:after="0"/>
              <w:rPr>
                <w:sz w:val="1"/>
                <w:szCs w:val="1"/>
                <w:color w:val="auto"/>
              </w:rPr>
            </w:pPr>
          </w:p>
        </w:tc>
      </w:tr>
      <w:tr>
        <w:trPr>
          <w:trHeight w:val="175"/>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1,744,067 shares</w:t>
            </w:r>
          </w:p>
        </w:tc>
        <w:tc>
          <w:tcPr>
            <w:tcW w:w="0" w:type="dxa"/>
            <w:vAlign w:val="bottom"/>
          </w:tcPr>
          <w:p>
            <w:pPr>
              <w:spacing w:after="0"/>
              <w:rPr>
                <w:sz w:val="1"/>
                <w:szCs w:val="1"/>
                <w:color w:val="auto"/>
              </w:rPr>
            </w:pPr>
          </w:p>
        </w:tc>
      </w:tr>
      <w:tr>
        <w:trPr>
          <w:trHeight w:val="18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None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return on our common stock with that of the Standard &amp; Poor’s 500 Stock Index, the NASDAQ Composite Index, the Russell 2000, and S&amp;P Small Cap 600 for the period from December 31, 2019 through December 31, 2024. The graph assumes that, on January 1, 2020, a person invested $100 in each of our common stock, the Nasdaq Composite, S&amp;P 500 Index, Russell 2000 and S&amp;P Small Cap 600. The graph measures total shareholder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-8890</wp:posOffset>
            </wp:positionV>
            <wp:extent cx="4594860" cy="40424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9486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Bloomberg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Certain Cautionary Statements</w:t>
      </w:r>
    </w:p>
    <w:p>
      <w:pPr>
        <w:spacing w:after="0" w:line="179"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is intended to assist in the understanding and assessment of significant changes and trends related to the results of operations and financial position of the Company together with its subsidiaries. This discussion and analysis should be read in conjunction with the consolidated financial statements and the accompanying notes as well as Item 1 - Business.</w:t>
      </w:r>
    </w:p>
    <w:p>
      <w:pPr>
        <w:spacing w:after="0" w:line="13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The statements in this Annual Report may contain forward-looking statements relating to such matters as anticipated future financial performance, business prospects, legislative developments and similar matters. We note that a variety of factors could cause our actual results to differ materially from the anticipated results expressed in the forward-looking statements such as intensified competition and/or operating problems in our operating business projects and their impact on revenues and profit margins or additional factors as described under “Risk Factors”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We are a financial holding company owning a branchless OCC nationally chartered bank. In 2023, we converted to a financial holding company from a BDC and a non-bank lender (see below). Our target market is owners and prospective owners of SMBs and our services are offered online and in some cases delivered and fulfilled by our staff via video and voice calls. We offer lending products, FDIC insured deposit products and services, payments processing, payroll services and insurance brokerage services. We source our business through our alliance partner network and our marketing database, which is facilitated through our NewTracker® platform. Our loan products include SBA 7(a), ALP, SBA 504, and traditional C&amp;I and CRE bank loans. Our deposit products primarily include consumer high yield savings accounts, high yield certificates of deposit, zero-fee business checking, and business money market accounts. We offer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w:t>
      </w:r>
    </w:p>
    <w:p>
      <w:pPr>
        <w:spacing w:after="0" w:line="11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process to extend credit to borrowers begins with technology but finishes with credit committee approval. We record CECL reserves on loans held for investment at amortized cost, which for unguaranteed SBA 7(a) loans exceeds 6%. For SBA7(a) loans, we hold the unguaranteed portion and sell the portion guaranteed by the SBA for premiums that typically exceed 10%, depending on loan characteristics and market conditions. Unlike traditional financial and bank holding companies, the majority of our income is driven and influenced by noninterest income, specifically gains on sales and market value adjustments on loans. We sell certain loans servicing retained, in which case we record a servicing asset that increases our gain on sale and provides a stream of future income to the extent the loan balance continues to be outstanding.</w:t>
      </w:r>
    </w:p>
    <w:p>
      <w:pPr>
        <w:spacing w:after="0" w:line="164"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We fund our activities at Newtek Bank primarily through the aforementioned deposit products. We offer loans outside of our bank (primarily ALP loans) that are initially funded with lines of credit and hedged until a sufficient volume is attained at which time the loans are securitized. We are required by law to hold risk retention in securitization transactions, and the majority of our interests in securitizations are designed to absorb first loss on the loans held in the securitization trusts. Historically, we have participated in joint ventures as additional sources of funding and risk diversification for our ALP loans, and these joint ventures have also securitized their loans. We have also continued to actively issue bonds in the public and private capital markets.</w:t>
      </w:r>
    </w:p>
    <w:p>
      <w:pPr>
        <w:spacing w:after="0" w:line="1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are subject to the regulation and supervision of the Federal Reserve and the Federal Reserve Bank of Atlanta. In addition Newtek Bank is regulated by the OCC and we are required to follow SBA rules and guidelines in the origination and servicing of our SBA loans. Complying with this level of regulation requires investments in technology and process and personnel costs.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to a Financial Holding Company</w:t>
      </w:r>
    </w:p>
    <w:p>
      <w:pPr>
        <w:spacing w:after="0" w:line="18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color w:val="auto"/>
        </w:rPr>
        <w:t>As of January 6, 2023, we are a financial holding company that, together with our consolidated subsidiaries, provides a wide range of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 Effective January 6, 2023, following authorization by our shareholders, we withdrew our previous election to be regulated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and has become our wholly owned bank subsidiary. As a result of the Acquisition, we are now a financial holding company subject to the regulation and supervision of the Federal Reserve and the Federal Reserve Bank of Atlanta. We no longer qualify as a RIC under Subchapter M of the Code for federal income tax purposes and no longer qualify for accounting treatment as an investment company. As a result, in addition to Newtek Bank and its consolidated subsidiary SBL, the following former portfolio companies and subsidiaries are consolidated non-bank subsidiaries in our financial statements as of December 31, 2024: NSBF; NMS; Mobil Money; NBC; PMT; NIA; TAM; NALH; NCL; NTS and POS. In addition, as a result of commitments made to the Federal Reserve, we divested of NTS on January 2, 2025, and, as a result, the Company has reported NTS as Held for Sale as of December 31, 2024. See “Item 1A. Risk Factors – Risks Related to Operation as a Financial Holding Company</w:t>
      </w:r>
    </w:p>
    <w:p>
      <w:pPr>
        <w:spacing w:after="0" w:line="2" w:lineRule="exact"/>
        <w:rPr>
          <w:sz w:val="20"/>
          <w:szCs w:val="20"/>
          <w:color w:val="auto"/>
        </w:rPr>
      </w:pPr>
    </w:p>
    <w:p>
      <w:pPr>
        <w:ind w:right="520"/>
        <w:spacing w:after="0" w:line="247" w:lineRule="auto"/>
        <w:rPr>
          <w:sz w:val="20"/>
          <w:szCs w:val="20"/>
          <w:color w:val="auto"/>
        </w:rPr>
      </w:pPr>
      <w:r>
        <w:rPr>
          <w:rFonts w:ascii="Times New Roman" w:cs="Times New Roman" w:eastAsia="Times New Roman" w:hAnsi="Times New Roman"/>
          <w:sz w:val="14"/>
          <w:szCs w:val="14"/>
          <w:color w:val="auto"/>
        </w:rPr>
        <w:t>– We are subject to extensive regulation and supervision as a financial holding company, which may adversely affect our business.” See NOTE 9—ASSETS AND LIABILITIES DIRECTLY ASSOCIATED WITH ASSETS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January 13, 2023, we filed Articles of Amendment amending our Charter to change the name of the Company to “NewtekOne, Inc.”</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is winding-down its operations and NSBF’s SBA 7(a) pipeline of new loans was transitioned to Newtek Bank. During this wind-down process, NSBF continues to own the SBA 7(a) loans and PPP Loans currently in its SBA loan portfolio to maturity, liquidation, charge-off or (subject to SBA’s prior written approval) sale or transfer. SBL is servicing and liquidating NSBF’s SBA loan portfolio pursuant to an SBA approved lender service provider agreement. In addition, during the wind-down process, NSBF is subject to minimum capital requirements established by the SBA,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originated and sold by NSBF, from the proceeds generated by NSBF’s SBA loan portfolio. The Company has guaranteed certain of NSBF’s obligations to the SBA and has funded a $10.0 million account at Newtek Bank to secure these potential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Business Regulation and Taxation</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our total assets (less total liabilities other than indebtedness represented by senior securities) to our total indebtedness represented by senior securities plus preferred stock, if any, was at least 150%. As of December 31 2022, our asset coverage was 169%. Although we are no longer regulated as a BDC, certain covenants in our outstanding 2026 Notes require us to maintain an asset coverage of at least 150% as long as the 2026 Notes are outstanding. See “Item 1A. Risk Factors – Risks Related to our Outstanding Indebtedness – We are subject to 150% asset coverage requirements due to covenants contained in certain of our outstanding debt.”</w:t>
      </w:r>
    </w:p>
    <w:p>
      <w:pPr>
        <w:spacing w:after="0" w:line="16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w:t>
      </w:r>
    </w:p>
    <w:p>
      <w:pPr>
        <w:spacing w:after="0" w:line="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and its subsidiaries no longer qualify as a RIC for U.S. federal income tax purposes and filed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w:t>
      </w:r>
    </w:p>
    <w:p>
      <w:pPr>
        <w:spacing w:after="0" w:line="1" w:lineRule="exact"/>
        <w:rPr>
          <w:sz w:val="20"/>
          <w:szCs w:val="20"/>
          <w:color w:val="auto"/>
        </w:rPr>
      </w:pPr>
    </w:p>
    <w:p>
      <w:pPr>
        <w:ind w:right="40" w:firstLine="5"/>
        <w:spacing w:after="0" w:line="256" w:lineRule="auto"/>
        <w:tabs>
          <w:tab w:leader="none" w:pos="20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From 2012 through December 31, 2022, NSBF, a wholly-owned subsidiary, was consistently the largest non-bank SBA 7(a) lender in the U.S. based on dollar volume of loan approvals, and, as of December 31, 2022, was the third largest SBA 7(a) lender in the United States. Currently, Newtek Bank is ranked as the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Additionally, we and our subsidiaries have historically provided a wide range of business and financial solutions to independent business owner relationships, including Business Lending, which includes SBA 7(a) loans, SBA 504 loans and our ALP loans, Electronic Payment Processing, Managed Technology Solutions, Accounts Receivable and Inventory Financing, personal and commercial lines Insurance Services, and Payroll and Benefits Solutions to independent business owner relationships nationwide across all industries. With the divestiture of NTS, we will no longer provide Managed Technology Solutions to our clients, however, we anticipate referring our clients to IPM for its offering of Managed Technology Solutions, and earning a finders fee pursuant to a referral promotion agreement. We support the operations of our subsidiaries by providing access to our proprietary and patented technology platform, including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patented prospect management software. We have historically defined independent business owners (SMBs) as companies having revenues of $1 million to $100 million, and we have generally estimated the SMB market to be over 34 million businesses in the United States. We have historically made loans and provided business and financial solutions to the SMB market through NSBF and our controlled portfolio companies (now subsidiaries). In addition, we have begun to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provides independent business owners with instant access to a team of NewtekOne business and financial solutions experts in the areas of Business Lending, Electronic Payment Processing, personal and commercial lines Insurance Services and Payroll and Benefits Solutions. Moreover, we believe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 clients to make payroll directly from the Newtek Advantage business portal.</w:t>
      </w:r>
    </w:p>
    <w:p>
      <w:pPr>
        <w:spacing w:after="0" w:line="213"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Operation as a Financial Holding Company – We are subject to extensive regulation and supervision as a financial holding company, which may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Newtek Bank is a national bank and nationally licensed SBA lender under the SBA 7(a)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 and PLP status.” and “Item 1A. Risk Factors - Risks Related to SBA Lending - A governmental failure to fund the SBA could adversely affect Newtek Bank’s SBA 7(a) loan originations and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have observed and continue to observe commodity inflation, rising interest rates, unrelated bank failures and declines in depositor confidence in certain types of depository institutions. Additionally geopolitical events, such as trade disruptions, tariffs, the ongoing war between Russia and Ukraine, conflict in the Middle East, rising tensions in Asia, and elements of political, economic and financial market instability in the United States, the United Kingdom, the European Union and China have led to increased economic uncertainty.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in which we and our customers operate and to which we lend to could experience deterioration, which could ultimately lead to difficulty in meeting debt service requirements and an increase in defaults. While we are not seeing signs of an overall, broad deterioration in the economy at this time, there can be no assurance that the performance of certain of our subsidiaries and our current and prospective borrowers will not be negatively impacted by economic conditions, which could have a negative impact on our future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For the fiscal year ended December 31, 2024, we generated income in the form of interest, net gains on the sales of loans originated (which primarily include sales of SBA 7(a) and ALP loans) and related servicing assets on such sales,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fiscal year ended December 31, 2024,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and then securitized by NCL JV and TSO JV. These recurring fees are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as well as amortization and impairment, if any, of LCM servicing rights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For the fiscal year ended December 31, 2024, our primary operating expenses were salaries and benefits, interest expense including interest on deposits, electronic payment processing expense, technology services expense, loan origination and servicing expenses, and other general and administrative costs, such as professional fees, marketing, referral fees, servicing costs and rent.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Alternative Lending Program (ALP)</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The Company has originated loans under its ALP since 2019. These loans have terms between 10 and 25 years, bear fixed interest rates that reset every five years, and have prepayment penalties. The criteria evaluated in underwriting ALP loans and the terms of these loans have been generally consistent over the ALP’s existence. Prior to July 1, 2024, the Company originated ALP loans with the intent to sell the loans to a JV. While the Company continues to source JV partners to participate in this program, during the third quarter of 2024, we made the decision to originate with the intent to securitize ALP loans with our subsidiary Newtek ALP Holdings as the originator and sponsor. The Company could also originate ALP loans designated as HFI. The Company does not expect any significant changes to the underwriting or terms of loans in its ALP.</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NCL JV: In 2019, we launched a 50/50 joint venture, NCL JV, between NCL, a wholly-owned subsidiary of Newtek, and Conventional Lending TCP Holding, LLC, a wholly-owned, indirect subsidiary of BlackRock TCP Capital Corp. (Nasdaq:TCPC). NCL JV provided ALP loans to U.S. middle-market companies and small businesses. NCL JV ceased funding new loans during 2020. On January 28, 2022, NCL JV closed an ALP loan securitization with the sale of $56.3 million Class A Notes, NCL Business Loan Trust 2022-1, Business Loan-Backed Notes, Series 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December 31, 2024.</w:t>
      </w:r>
    </w:p>
    <w:p>
      <w:pPr>
        <w:spacing w:after="0" w:line="1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for the purpose of investing in ALP loans made to middle-market companies as well as small businesses. TSO JV began making investments in ALP loans during the fourth quarter of 2022 and on July 23, 2024, closed a securitization backed by Company originated ALP loans, selling $137.2 million of Class A Notes and $17.2 million of Class B Notes (collectively, the “TSO Notes”) issued by NALP Business Loan Trust 2024-1. The Class A and Class B Notes received Morningstar DBRS ratings of “A (sf)” and “BBB (high) (sf),” respectively. TSO JV ceased investing in new ALP loans in July 2024. Refer to NOTE 4—INVESTMENTS for selected financial information and a schedule of investments of TSO JV as of December 31, 2024.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December 31, 2024 vs.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Total assets at December 31, 2024 were $2.1 billion, an increase of $630.4 million, or 44.1%, compared to total assets of $1.4 billion at December 31, 2023. As of December 31, 2024, the Company held the assets and liabilities of NTS for sale. Refer to NOTE 9—ASSETS AND LIABILITIES DIRECTLY ASSOCIATED WITH ASSETS HELD FOR SALE.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2"/>
        </w:trPr>
        <w:tc>
          <w:tcPr>
            <w:tcW w:w="6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7"/>
                <w:szCs w:val="17"/>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253,419</w:t>
            </w:r>
          </w:p>
        </w:tc>
      </w:tr>
      <w:tr>
        <w:trPr>
          <w:trHeight w:val="18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r>
      <w:tr>
        <w:trPr>
          <w:trHeight w:val="18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(100,055)</w:t>
            </w:r>
          </w:p>
        </w:tc>
      </w:tr>
      <w:tr>
        <w:trPr>
          <w:trHeight w:val="18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285,346</w:t>
            </w:r>
          </w:p>
        </w:tc>
      </w:tr>
      <w:tr>
        <w:trPr>
          <w:trHeight w:val="18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(17,659)</w:t>
            </w:r>
          </w:p>
        </w:tc>
      </w:tr>
      <w:tr>
        <w:trPr>
          <w:trHeight w:val="171"/>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267,687</w:t>
            </w:r>
          </w:p>
        </w:tc>
      </w:tr>
      <w:tr>
        <w:trPr>
          <w:trHeight w:val="196"/>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1,392,253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423,247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Loans HFS, at fair value increased $253.4 million during the year ended December 31, 2024. The overall increase was primarily the result of new loan originations during 2024, net of sales, in the amount of $181.1 million for ALP loans and $72.3 million in SBA loans.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87,510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72,278</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212,498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31,357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181,141</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253,419</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HFS, at LCM increased $2.2 million during the same period. The overall increase was primarily the result of new loan originations during 2024, net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1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r>
      <w:tr>
        <w:trPr>
          <w:trHeight w:val="180"/>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SBA 7(a)</w:t>
            </w:r>
          </w:p>
        </w:tc>
        <w:tc>
          <w:tcPr>
            <w:tcW w:w="5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SBA 7(a) Partials</w:t>
            </w: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71"/>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HFS, at LCM</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HFI, at fair value was $369.7 million at December 31, 2024 compared to $469.8 million at December 31, 2023. The balance consists primarily of SBA 7(a) loans as well as $6.7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2023 to December 31, 2024, primarily due to the principal payments of existing loans held by NSBF.</w:t>
      </w:r>
    </w:p>
    <w:p>
      <w:pPr>
        <w:spacing w:after="0" w:line="15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HFI, at amortized cost consists of loans originated at or purchased by Newtek Bank. The $285.3 million increase in loans HFI, at amortized cost is the result of an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originations for the year ended December 31, 2024 over 2023.</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The following table presents an analysis of loans HFI with credit metrics, including a breakdown by days aged: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Borders>
              <w:bottom w:val="single" w:sz="8" w:color="CCEEFF"/>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r>
      <w:tr>
        <w:trPr>
          <w:trHeight w:val="171"/>
        </w:trPr>
        <w:tc>
          <w:tcPr>
            <w:tcW w:w="6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r>
      <w:tr>
        <w:trPr>
          <w:trHeight w:val="16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575,444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325,643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at amortized cost</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212"/>
        </w:trPr>
        <w:tc>
          <w:tcPr>
            <w:tcW w:w="6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251,616</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385,172</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31-89 Days and accruing</w:t>
            </w: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41,558</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36,455</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90-119 Days and accruing</w:t>
            </w: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120 and more Days and accruing</w:t>
            </w:r>
          </w:p>
        </w:tc>
        <w:tc>
          <w:tcPr>
            <w:tcW w:w="6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10.3 %</w:t>
            </w:r>
          </w:p>
        </w:tc>
      </w:tr>
      <w:tr>
        <w:trPr>
          <w:trHeight w:val="171"/>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and nonaccrual loans as % of Outstanding UPB</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118,130</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84,629</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212"/>
        </w:trPr>
        <w:tc>
          <w:tcPr>
            <w:tcW w:w="6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 assets</w:t>
            </w: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75"/>
        </w:trPr>
        <w:tc>
          <w:tcPr>
            <w:tcW w:w="6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95,409</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 exposure</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Company’s loan portfolio consists of loans to independent business owners (SMBs). The Company’s Loans HFI at amortized cost and Loans HFS at LCM include a total of $299.1 million of loans, including unfunded commitments, backed by CRE and considered non-owner occupied as of December 31, 2024. The average loan-to-value for this CRE portfolio was 57.9%.</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 of the loans considered non-owner occupied CRE that are not carried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13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6"/>
              </w:rPr>
              <w:t>HFI at amortized cost,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6"/>
              </w:rPr>
              <w:t>LTV</w:t>
            </w:r>
          </w:p>
        </w:tc>
        <w:tc>
          <w:tcPr>
            <w:tcW w:w="100" w:type="dxa"/>
            <w:vAlign w:val="bottom"/>
          </w:tcPr>
          <w:p>
            <w:pPr>
              <w:spacing w:after="0"/>
              <w:rPr>
                <w:sz w:val="11"/>
                <w:szCs w:val="11"/>
                <w:color w:val="auto"/>
              </w:rPr>
            </w:pPr>
          </w:p>
        </w:tc>
        <w:tc>
          <w:tcPr>
            <w:tcW w:w="13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auto"/>
              </w:rPr>
              <w:t>LTV</w:t>
            </w:r>
          </w:p>
        </w:tc>
        <w:tc>
          <w:tcPr>
            <w:tcW w:w="0" w:type="dxa"/>
            <w:vAlign w:val="bottom"/>
          </w:tcPr>
          <w:p>
            <w:pPr>
              <w:spacing w:after="0"/>
              <w:rPr>
                <w:sz w:val="1"/>
                <w:szCs w:val="1"/>
                <w:color w:val="auto"/>
              </w:rPr>
            </w:pPr>
          </w:p>
        </w:tc>
      </w:tr>
      <w:tr>
        <w:trPr>
          <w:trHeight w:val="64"/>
        </w:trPr>
        <w:tc>
          <w:tcPr>
            <w:tcW w:w="2680" w:type="dxa"/>
            <w:vAlign w:val="bottom"/>
          </w:tcPr>
          <w:p>
            <w:pPr>
              <w:spacing w:after="0"/>
              <w:rPr>
                <w:sz w:val="5"/>
                <w:szCs w:val="5"/>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net of deferred fees and</w:t>
            </w: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HFS at LCM</w:t>
            </w:r>
          </w:p>
        </w:tc>
        <w:tc>
          <w:tcPr>
            <w:tcW w:w="320" w:type="dxa"/>
            <w:vAlign w:val="bottom"/>
          </w:tcPr>
          <w:p>
            <w:pPr>
              <w:spacing w:after="0"/>
              <w:rPr>
                <w:sz w:val="5"/>
                <w:szCs w:val="5"/>
                <w:color w:val="auto"/>
              </w:rPr>
            </w:pPr>
          </w:p>
        </w:tc>
        <w:tc>
          <w:tcPr>
            <w:tcW w:w="620" w:type="dxa"/>
            <w:vAlign w:val="bottom"/>
            <w:vMerge w:val="restart"/>
          </w:tcPr>
          <w:p>
            <w:pPr>
              <w:jc w:val="right"/>
              <w:ind w:right="27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net of deferred fees and</w:t>
            </w:r>
          </w:p>
        </w:tc>
        <w:tc>
          <w:tcPr>
            <w:tcW w:w="1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HFS at LCM</w:t>
            </w:r>
          </w:p>
        </w:tc>
        <w:tc>
          <w:tcPr>
            <w:tcW w:w="340" w:type="dxa"/>
            <w:vAlign w:val="bottom"/>
          </w:tcPr>
          <w:p>
            <w:pPr>
              <w:spacing w:after="0"/>
              <w:rPr>
                <w:sz w:val="5"/>
                <w:szCs w:val="5"/>
                <w:color w:val="auto"/>
              </w:rPr>
            </w:pPr>
          </w:p>
        </w:tc>
        <w:tc>
          <w:tcPr>
            <w:tcW w:w="620" w:type="dxa"/>
            <w:vAlign w:val="bottom"/>
            <w:vMerge w:val="restart"/>
          </w:tcPr>
          <w:p>
            <w:pPr>
              <w:jc w:val="right"/>
              <w:ind w:right="27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68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8"/>
              </w:rPr>
              <w:t>by CRE type</w:t>
            </w:r>
          </w:p>
        </w:tc>
        <w:tc>
          <w:tcPr>
            <w:tcW w:w="14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by CRE type</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2"/>
              </w:rPr>
              <w:t>costs</w:t>
            </w: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9"/>
              </w:rPr>
              <w:t>costs</w:t>
            </w: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not backed by NOO CRE</w:t>
            </w: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172,502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172,502</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Loans backed by NOO CRE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250,635</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220,410</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loans</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680,455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392,912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backed by NOO CRE by type: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Retail</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 Family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193"/>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Industrial</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0" w:type="dxa"/>
            <w:vAlign w:val="bottom"/>
          </w:tcPr>
          <w:p>
            <w:pPr>
              <w:spacing w:after="0"/>
              <w:rPr>
                <w:sz w:val="1"/>
                <w:szCs w:val="1"/>
                <w:color w:val="auto"/>
              </w:rPr>
            </w:pPr>
          </w:p>
        </w:tc>
      </w:tr>
      <w:tr>
        <w:trPr>
          <w:trHeight w:val="193"/>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83.1 %</w:t>
            </w:r>
          </w:p>
        </w:tc>
        <w:tc>
          <w:tcPr>
            <w:tcW w:w="0" w:type="dxa"/>
            <w:vAlign w:val="bottom"/>
          </w:tcPr>
          <w:p>
            <w:pPr>
              <w:spacing w:after="0"/>
              <w:rPr>
                <w:sz w:val="1"/>
                <w:szCs w:val="1"/>
                <w:color w:val="auto"/>
              </w:rPr>
            </w:pPr>
          </w:p>
        </w:tc>
      </w:tr>
      <w:tr>
        <w:trPr>
          <w:trHeight w:val="193"/>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0" w:type="dxa"/>
            <w:vAlign w:val="bottom"/>
          </w:tcPr>
          <w:p>
            <w:pPr>
              <w:spacing w:after="0"/>
              <w:rPr>
                <w:sz w:val="1"/>
                <w:szCs w:val="1"/>
                <w:color w:val="auto"/>
              </w:rPr>
            </w:pPr>
          </w:p>
        </w:tc>
      </w:tr>
      <w:tr>
        <w:trPr>
          <w:trHeight w:val="183"/>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NOO CRE</w:t>
            </w: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58,804</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Unfunded Commitments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CRE Loans</w:t>
            </w: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107,219</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299,050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61,100</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224,903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0" w:right="560" w:hanging="55"/>
        <w:spacing w:after="0" w:line="216" w:lineRule="auto"/>
        <w:tabs>
          <w:tab w:leader="none" w:pos="65"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 of the Company’s Goodwill and intangibles: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4"/>
                <w:szCs w:val="14"/>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segment</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667</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r>
      <w:tr>
        <w:trPr>
          <w:trHeight w:val="180"/>
        </w:trPr>
        <w:tc>
          <w:tcPr>
            <w:tcW w:w="3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Technology segment</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w:t>
            </w:r>
          </w:p>
        </w:tc>
      </w:tr>
      <w:tr>
        <w:trPr>
          <w:trHeight w:val="17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667</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14,752</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30,120</w:t>
            </w: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60" w:right="260" w:hanging="55"/>
        <w:spacing w:after="0" w:line="230" w:lineRule="auto"/>
        <w:tabs>
          <w:tab w:leader="none" w:pos="78"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2024, the assets of the Technology segment are classified as held-for-sale. See NOTE 9—ASSETS AND LIABILITIES DIRECTLY ASSOCIATED WITH ASSETS HELD FOR SALE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goodwill and intangible assets for the Payments segment and NBNYC acquisition relates to amortization of intangible assets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receivables were $52.5 million as of December 31, 2024, a decrease of $9.8 million compared to December 31, 2023.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December 31, 2024, were $1.8 billion, an increase of $583.2 million, or 49.4%, compared to total liabilities of $1.2 billion at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Total deposits were $973.1 million at December 31, 2024, consisting of $11.1 million in non-interest bearing deposits and $961.9 million in interest bearing deposits, a $508.6 million increase from the balance as of December 31, 2023. As of December 31, 2024 and 2023, insured deposits represent 80.3% and 76.3%, respectively. Increases in deposits were primarily driven by deposit gathering efforts in Consumer High Yield Savings accounts and six-month Certificates of Deposit to fund future balance sheet growth and increase liquidity levels at Newtek Bank.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7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24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24"/>
                <w:szCs w:val="24"/>
                <w:color w:val="auto"/>
              </w:rPr>
            </w:pPr>
          </w:p>
        </w:tc>
        <w:tc>
          <w:tcPr>
            <w:tcW w:w="16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1"/>
        </w:trPr>
        <w:tc>
          <w:tcPr>
            <w:tcW w:w="510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NMS Webster Note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6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47,237</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22,754</w:t>
            </w:r>
          </w:p>
        </w:tc>
      </w:tr>
      <w:tr>
        <w:trPr>
          <w:trHeight w:val="180"/>
        </w:trPr>
        <w:tc>
          <w:tcPr>
            <w:tcW w:w="510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Advances</w:t>
            </w:r>
            <w:r>
              <w:rPr>
                <w:rFonts w:ascii="Times New Roman" w:cs="Times New Roman" w:eastAsia="Times New Roman" w:hAnsi="Times New Roman"/>
                <w:sz w:val="18"/>
                <w:szCs w:val="18"/>
                <w:color w:val="auto"/>
                <w:vertAlign w:val="superscript"/>
              </w:rPr>
              <w:t>2</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(7,854)</w:t>
            </w:r>
          </w:p>
        </w:tc>
      </w:tr>
      <w:tr>
        <w:trPr>
          <w:trHeight w:val="171"/>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Lines of Credit</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82,948</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63,309</w:t>
            </w:r>
          </w:p>
        </w:tc>
      </w:tr>
      <w:tr>
        <w:trPr>
          <w:trHeight w:val="180"/>
        </w:trPr>
        <w:tc>
          <w:tcPr>
            <w:tcW w:w="5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4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(5.75%)</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(5.00%)</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(8.125%)</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(5.50%)</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2027</w:t>
            </w:r>
          </w:p>
        </w:tc>
        <w:tc>
          <w:tcPr>
            <w:tcW w:w="4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(8.125%)</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49,944</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69,622</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72,662</w:t>
            </w:r>
          </w:p>
        </w:tc>
      </w:tr>
      <w:tr>
        <w:trPr>
          <w:trHeight w:val="171"/>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Parent Company Notes</w:t>
            </w:r>
          </w:p>
        </w:tc>
        <w:tc>
          <w:tcPr>
            <w:tcW w:w="24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375,149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269,062</w:t>
            </w: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106,087</w:t>
            </w:r>
          </w:p>
        </w:tc>
      </w:tr>
      <w:tr>
        <w:trPr>
          <w:trHeight w:val="180"/>
        </w:trPr>
        <w:tc>
          <w:tcPr>
            <w:tcW w:w="510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(105,477)</w:t>
            </w: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7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63,919</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60" w:hanging="155"/>
        <w:spacing w:after="0"/>
        <w:tabs>
          <w:tab w:leader="none" w:pos="16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80" w:hanging="75"/>
        <w:spacing w:after="0" w:line="196" w:lineRule="auto"/>
        <w:tabs>
          <w:tab w:leader="none" w:pos="8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December 31, 2024 and December 31, 2023, the carrying amount of Newtek Bank’s FHLB borrowings includes a $0.04 million and $0.2 million purchase accounting adjustment, respectively.</w:t>
      </w:r>
    </w:p>
    <w:p>
      <w:pPr>
        <w:spacing w:after="0" w:line="2" w:lineRule="exact"/>
        <w:rPr>
          <w:rFonts w:ascii="Times New Roman" w:cs="Times New Roman" w:eastAsia="Times New Roman" w:hAnsi="Times New Roman"/>
          <w:sz w:val="18"/>
          <w:szCs w:val="18"/>
          <w:color w:val="auto"/>
          <w:vertAlign w:val="superscript"/>
        </w:rPr>
      </w:pPr>
    </w:p>
    <w:p>
      <w:pPr>
        <w:spacing w:after="0" w:line="19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On August 1, 2024, the 2024 Notes matured.</w:t>
      </w:r>
    </w:p>
    <w:p>
      <w:pPr>
        <w:ind w:left="140" w:right="60" w:hanging="127"/>
        <w:spacing w:after="0" w:line="238"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Effective December 11, 2024, the Company entered into Note Amendment and Exchange Agreements (the “Agreements”) with each of the holders of the 2025 8.125% Notes, pursuant to which the Company and the holders of the 2025 8.125% Notes agreed to exchange the 2025 8.125% Notes for the 2027 8.125% Notes, effecting amendments solely to (i) extend the February 1, 2025 maturity date of the 2025 8.125% Notes to the new maturity date of February 1, 2027 (the “New Maturity Date”) and (ii) provide that the 2027 8.125%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Borrowings were $708.0 million at December 31, 2024, compared to $644.1 million at December 31, 2023. This increase was primarily due to a $69.6 million issuance of the 2029 8.50% Notes and a $72.7 million issuance of the 2029 8.625% Notes, as well as additional borrowings of $5.1 million, $47.2 million, and $22.8 million on the SPV I, II and III facilities, respectively. These increases were partially offset by a $105.5 million reduction in the notes payable on securitization trusts, a $38.1 million redemption of the 2024 5.75% Notes, and $7.9 million in maturities of of FHLB advances.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deferred tax liability,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 below is a comparison of the results of operations for the years ended December 31, 2024 and 2023.</w:t>
      </w:r>
    </w:p>
    <w:p>
      <w:pPr>
        <w:spacing w:after="0" w:line="17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For a comparison of the results of operations for the years ended December 31, 2023 and 2022, during which years the Company operated as both a financial holding company and a BDC, see the Company's Form 10-K for the year ended December 31, 2023, as filed with the SEC on April 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 Company reported net income of $50.9 million, or $1.97 per basic and $1.96 per diluted share, compared to net income of $47.3 million, or $1.89 per basic and $1.88 per diluted share, for the year ended December 31, 2023.</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net increase in net income before taxes was partially offset by the non-recurring nature of the income tax benefit on the realization of deferred tax assets in 2023 when the Company converted to an FHC. Below is a summary of changes in the components of Net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5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40,540</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5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162,709</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0" w:type="dxa"/>
            <w:vAlign w:val="bottom"/>
          </w:tcPr>
          <w:p>
            <w:pPr>
              <w:spacing w:after="0"/>
              <w:rPr>
                <w:sz w:val="1"/>
                <w:szCs w:val="1"/>
                <w:color w:val="auto"/>
              </w:rPr>
            </w:pP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23,319</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25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19,795</w:t>
            </w:r>
          </w:p>
        </w:tc>
        <w:tc>
          <w:tcPr>
            <w:tcW w:w="0" w:type="dxa"/>
            <w:vAlign w:val="bottom"/>
          </w:tcPr>
          <w:p>
            <w:pPr>
              <w:spacing w:after="0"/>
              <w:rPr>
                <w:sz w:val="1"/>
                <w:szCs w:val="1"/>
                <w:color w:val="auto"/>
              </w:rPr>
            </w:pPr>
          </w:p>
        </w:tc>
      </w:tr>
      <w:tr>
        <w:trPr>
          <w:trHeight w:val="17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52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20" w:type="dxa"/>
            <w:vAlign w:val="bottom"/>
            <w:vMerge w:val="restart"/>
          </w:tcPr>
          <w:p>
            <w:pPr>
              <w:jc w:val="right"/>
              <w:ind w:right="969"/>
              <w:spacing w:after="0"/>
              <w:rPr>
                <w:sz w:val="20"/>
                <w:szCs w:val="20"/>
                <w:color w:val="auto"/>
              </w:rPr>
            </w:pPr>
            <w:r>
              <w:rPr>
                <w:rFonts w:ascii="Times New Roman" w:cs="Times New Roman" w:eastAsia="Times New Roman" w:hAnsi="Times New Roman"/>
                <w:sz w:val="14"/>
                <w:szCs w:val="14"/>
                <w:color w:val="auto"/>
              </w:rPr>
              <w:t>79</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2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color w:val="auto"/>
              </w:rPr>
              <w:t>Year Ended December 31,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Balance</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Balance</w:t>
            </w: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6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180,753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186,566</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26,692</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17,085</w:t>
            </w:r>
          </w:p>
        </w:tc>
        <w:tc>
          <w:tcPr>
            <w:tcW w:w="10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951,988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84,200</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783,808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66,916</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1,402,491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121,418</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1,122,930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204,655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197,612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1,316,923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51,759</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Savings and NOW</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273,640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261,174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13,285</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168,912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8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643,234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52,423</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674,687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1,257,278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1,033,244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222,624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1,588,113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1,316,923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40,305</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2.21 %</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26,634</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2.87 %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Ratio of average interest-earning assets to average interest bearing</w:t>
            </w: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111.55 %</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108.68 %</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$346 million as of December 31, 2024,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 The increase in the average balance of loans HFS was attributable to originations of SBA 504 and ALP loans, and the increase in the average outstanding accrual loan portfolio resulted from the origination of new SBA 7(a) loans period over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6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2024 vs. 2023</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Increase (Decrease) Due to</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1"/>
        </w:trPr>
        <w:tc>
          <w:tcPr>
            <w:tcW w:w="6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Rate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7"/>
              </w:rPr>
              <w:t>Volume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Total</w:t>
            </w:r>
          </w:p>
        </w:tc>
      </w:tr>
      <w:tr>
        <w:trPr>
          <w:trHeight w:val="16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17,284</w:t>
            </w: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27,045</w:t>
            </w:r>
          </w:p>
        </w:tc>
      </w:tr>
      <w:tr>
        <w:trPr>
          <w:trHeight w:val="212"/>
        </w:trPr>
        <w:tc>
          <w:tcPr>
            <w:tcW w:w="6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NOW</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7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13,374</w:t>
            </w: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18,511</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13,671</w:t>
            </w:r>
          </w:p>
        </w:tc>
      </w:tr>
      <w:tr>
        <w:trPr>
          <w:trHeight w:val="20"/>
        </w:trPr>
        <w:tc>
          <w:tcPr>
            <w:tcW w:w="6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and 2023, there was a provision for credit losses of $26.2 million and $11.7 million, respectively. The increase was due to increases in net charge-offs, specific reserves on impaired loans, and balances of loans held for investment at amortized cost, across all products but specifically SBA 7(a) loans.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72"/>
        </w:trPr>
        <w:tc>
          <w:tcPr>
            <w:tcW w:w="458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r>
      <w:tr>
        <w:trPr>
          <w:trHeight w:val="171"/>
        </w:trPr>
        <w:tc>
          <w:tcPr>
            <w:tcW w:w="458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80" w:type="dxa"/>
            <w:vAlign w:val="bottom"/>
          </w:tcPr>
          <w:p>
            <w:pPr>
              <w:spacing w:after="0"/>
              <w:rPr>
                <w:sz w:val="15"/>
                <w:szCs w:val="15"/>
                <w:color w:val="auto"/>
              </w:rPr>
            </w:pPr>
          </w:p>
        </w:tc>
        <w:tc>
          <w:tcPr>
            <w:tcW w:w="1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195.8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45,716</w:t>
            </w:r>
          </w:p>
        </w:tc>
        <w:tc>
          <w:tcPr>
            <w:tcW w:w="80" w:type="dxa"/>
            <w:vAlign w:val="bottom"/>
          </w:tcPr>
          <w:p>
            <w:pPr>
              <w:spacing w:after="0"/>
              <w:rPr>
                <w:sz w:val="15"/>
                <w:szCs w:val="15"/>
                <w:color w:val="auto"/>
              </w:rPr>
            </w:pPr>
          </w:p>
        </w:tc>
        <w:tc>
          <w:tcPr>
            <w:tcW w:w="1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88.8</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on loans under the fair value option</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(71.1)</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80" w:type="dxa"/>
            <w:vAlign w:val="bottom"/>
          </w:tcPr>
          <w:p>
            <w:pPr>
              <w:spacing w:after="0"/>
              <w:rPr>
                <w:sz w:val="15"/>
                <w:szCs w:val="15"/>
                <w:color w:val="auto"/>
              </w:rPr>
            </w:pPr>
          </w:p>
        </w:tc>
        <w:tc>
          <w:tcPr>
            <w:tcW w:w="16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(21.2)</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40,296</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16,534</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69.6</w:t>
            </w:r>
          </w:p>
        </w:tc>
      </w:tr>
      <w:tr>
        <w:trPr>
          <w:trHeight w:val="196"/>
        </w:trPr>
        <w:tc>
          <w:tcPr>
            <w:tcW w:w="4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40,540</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on Loan Servicing Assets</w:t>
      </w:r>
    </w:p>
    <w:p>
      <w:pPr>
        <w:spacing w:after="0" w:line="17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earns servicing fees from the guaranteed portions of SBA 7(a) loans it originates and sells and from servicing the ALP portfolios of NCL JV and TSO JV.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larger loss in Net loss on loan servicing assets is due to the decrease in NSBF’s total portfolio of loans during the wind-down.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sensitivity analysis of the loan servicing assets at fair value to adverse changes in significant assumptions as of December 31, 2024 and December 31, 2023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factor</w:t>
            </w:r>
          </w:p>
        </w:tc>
        <w:tc>
          <w:tcPr>
            <w:tcW w:w="1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1740" w:type="dxa"/>
            <w:vAlign w:val="bottom"/>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200 basis point adverse change</w:t>
            </w: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212"/>
        </w:trPr>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prepayment rate</w:t>
            </w: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1740" w:type="dxa"/>
            <w:vAlign w:val="bottom"/>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500 basis point adverse change</w:t>
            </w: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212"/>
        </w:trPr>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cumulative default rate</w:t>
            </w: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1740" w:type="dxa"/>
            <w:vAlign w:val="bottom"/>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500 basis point adverse change</w:t>
            </w:r>
          </w:p>
        </w:tc>
        <w:tc>
          <w:tcPr>
            <w:tcW w:w="17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bl>
    <w:p>
      <w:pPr>
        <w:spacing w:after="0" w:line="25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sensitivity analysis presents the hypothetical effect on fair value of the servicing assets due to the change in significant assumptions. Changes in fair value based on adverse changes in assumptions generally cannot be extrapolated because the relationship of the change in assumption to the change in fair value is not linear. Additionally, the sensitivity analysis shocks each significant assumption individually, while keeping all other assumptions unchanged. In practice, changes in one assumption generally impact other assumptions, which could increase or lessen the effect of the change.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$167.6 million in the average total loan portfolio for which we earn servicing income period over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on sales of loans for the year ended December 31, 2024 and 2023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4"/>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jc w:val="center"/>
              <w:ind w:right="9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0"/>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center"/>
              <w:ind w:left="60"/>
              <w:spacing w:after="0"/>
              <w:rPr>
                <w:sz w:val="20"/>
                <w:szCs w:val="20"/>
                <w:color w:val="auto"/>
              </w:rPr>
            </w:pPr>
            <w:r>
              <w:rPr>
                <w:rFonts w:ascii="Times New Roman" w:cs="Times New Roman" w:eastAsia="Times New Roman" w:hAnsi="Times New Roman"/>
                <w:sz w:val="11"/>
                <w:szCs w:val="11"/>
                <w:b w:val="1"/>
                <w:bCs w:val="1"/>
                <w:color w:val="auto"/>
                <w:w w:val="98"/>
              </w:rPr>
              <w:t>$ Amount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6"/>
        </w:trPr>
        <w:tc>
          <w:tcPr>
            <w:tcW w:w="60" w:type="dxa"/>
            <w:vAlign w:val="bottom"/>
          </w:tcPr>
          <w:p>
            <w:pPr>
              <w:spacing w:after="0"/>
              <w:rPr>
                <w:sz w:val="16"/>
                <w:szCs w:val="16"/>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recognized on sales of loans</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100,422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rPr>
              <w:t>75,350</w:t>
            </w:r>
          </w:p>
        </w:tc>
      </w:tr>
      <w:tr>
        <w:trPr>
          <w:trHeight w:val="180"/>
        </w:trPr>
        <w:tc>
          <w:tcPr>
            <w:tcW w:w="60" w:type="dxa"/>
            <w:vAlign w:val="bottom"/>
          </w:tcPr>
          <w:p>
            <w:pPr>
              <w:spacing w:after="0"/>
              <w:rPr>
                <w:sz w:val="15"/>
                <w:szCs w:val="15"/>
                <w:color w:val="auto"/>
              </w:rPr>
            </w:pPr>
          </w:p>
        </w:tc>
        <w:tc>
          <w:tcPr>
            <w:tcW w:w="6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Losses recognized on sales of loans</w:t>
            </w: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left="169"/>
              <w:spacing w:after="0"/>
              <w:rPr>
                <w:sz w:val="20"/>
                <w:szCs w:val="20"/>
                <w:color w:val="auto"/>
              </w:rPr>
            </w:pPr>
            <w:r>
              <w:rPr>
                <w:rFonts w:ascii="Times New Roman" w:cs="Times New Roman" w:eastAsia="Times New Roman" w:hAnsi="Times New Roman"/>
                <w:sz w:val="14"/>
                <w:szCs w:val="14"/>
                <w:color w:val="auto"/>
              </w:rPr>
              <w:t>(23,883)</w:t>
            </w:r>
          </w:p>
        </w:tc>
      </w:tr>
      <w:tr>
        <w:trPr>
          <w:trHeight w:val="196"/>
        </w:trPr>
        <w:tc>
          <w:tcPr>
            <w:tcW w:w="60" w:type="dxa"/>
            <w:vAlign w:val="bottom"/>
          </w:tcPr>
          <w:p>
            <w:pPr>
              <w:spacing w:after="0"/>
              <w:rPr>
                <w:sz w:val="16"/>
                <w:szCs w:val="16"/>
                <w:color w:val="auto"/>
              </w:rPr>
            </w:pPr>
          </w:p>
        </w:tc>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97,183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rPr>
              <w:t>51,467</w:t>
            </w:r>
          </w:p>
        </w:tc>
      </w:tr>
      <w:tr>
        <w:trPr>
          <w:trHeight w:val="20"/>
        </w:trPr>
        <w:tc>
          <w:tcPr>
            <w:tcW w:w="6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left="33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1480" w:type="dxa"/>
            <w:vAlign w:val="bottom"/>
            <w:gridSpan w:val="2"/>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1440" w:type="dxa"/>
            <w:vAlign w:val="bottom"/>
            <w:gridSpan w:val="2"/>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60" w:type="dxa"/>
            <w:vAlign w:val="bottom"/>
          </w:tcPr>
          <w:p>
            <w:pPr>
              <w:spacing w:after="0"/>
              <w:rPr>
                <w:sz w:val="13"/>
                <w:szCs w:val="13"/>
                <w:color w:val="auto"/>
              </w:rPr>
            </w:pPr>
          </w:p>
        </w:tc>
      </w:tr>
      <w:tr>
        <w:trPr>
          <w:trHeight w:val="18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 loans originated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7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943,024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814,406</w:t>
            </w:r>
          </w:p>
        </w:tc>
        <w:tc>
          <w:tcPr>
            <w:tcW w:w="160" w:type="dxa"/>
            <w:vAlign w:val="bottom"/>
          </w:tcPr>
          <w:p>
            <w:pPr>
              <w:spacing w:after="0"/>
              <w:rPr>
                <w:sz w:val="16"/>
                <w:szCs w:val="16"/>
                <w:color w:val="auto"/>
              </w:rPr>
            </w:pPr>
          </w:p>
        </w:tc>
      </w:tr>
      <w:tr>
        <w:trPr>
          <w:trHeight w:val="180"/>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SBA 7(a) guaranteed loans sold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78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694,750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80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6"/>
              </w:rPr>
              <w:t>607,560</w:t>
            </w:r>
          </w:p>
        </w:tc>
        <w:tc>
          <w:tcPr>
            <w:tcW w:w="160" w:type="dxa"/>
            <w:vAlign w:val="bottom"/>
          </w:tcPr>
          <w:p>
            <w:pPr>
              <w:spacing w:after="0"/>
              <w:rPr>
                <w:sz w:val="15"/>
                <w:szCs w:val="15"/>
                <w:color w:val="auto"/>
              </w:rPr>
            </w:pPr>
          </w:p>
        </w:tc>
      </w:tr>
      <w:tr>
        <w:trPr>
          <w:trHeight w:val="180"/>
        </w:trPr>
        <w:tc>
          <w:tcPr>
            <w:tcW w:w="60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Average sale price as a percent of principal balance</w:t>
            </w:r>
            <w:r>
              <w:rPr>
                <w:rFonts w:ascii="Times New Roman" w:cs="Times New Roman" w:eastAsia="Times New Roman" w:hAnsi="Times New Roman"/>
                <w:sz w:val="18"/>
                <w:szCs w:val="18"/>
                <w:color w:val="auto"/>
                <w:vertAlign w:val="superscript"/>
              </w:rPr>
              <w:t>1</w:t>
            </w: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110.20 %</w:t>
            </w:r>
          </w:p>
        </w:tc>
        <w:tc>
          <w:tcPr>
            <w:tcW w:w="160" w:type="dxa"/>
            <w:vAlign w:val="bottom"/>
          </w:tcPr>
          <w:p>
            <w:pPr>
              <w:spacing w:after="0"/>
              <w:rPr>
                <w:sz w:val="15"/>
                <w:szCs w:val="15"/>
                <w:color w:val="auto"/>
              </w:rPr>
            </w:pPr>
          </w:p>
        </w:tc>
      </w:tr>
    </w:tbl>
    <w:p>
      <w:pPr>
        <w:spacing w:after="0" w:line="37" w:lineRule="exact"/>
        <w:rPr>
          <w:sz w:val="20"/>
          <w:szCs w:val="20"/>
          <w:color w:val="auto"/>
        </w:rPr>
      </w:pPr>
    </w:p>
    <w:p>
      <w:pPr>
        <w:ind w:left="80" w:hanging="75"/>
        <w:spacing w:after="0"/>
        <w:tabs>
          <w:tab w:leader="none" w:pos="80"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the average sale price on SBA 7(a) loans as a percent of principal balance was 110.97% compared to 110.20% for the prior period. The increase in sales prices in 2024 resulted from higher demand. The increase in overall net gains on sales of loans resulted from higher volumes of sales compared to the prior year at better market premiums than the prior year and the expectation of lower interest rates which would slow prepay speeds.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selected statistics on the historical net premiums on sales of guaranteed portions of SBA 7(a) loans realized by NewtekOne:</w:t>
      </w:r>
    </w:p>
    <w:p>
      <w:pPr>
        <w:spacing w:after="0" w:line="2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SBA 7(a) Sales Price as Percent of Principal Balance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2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4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109.71 %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115.77 %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106.11 %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110.16 %</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110.20 %</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114.04 %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110.42 %</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110.97 %</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114.80 %</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107.18 %</w:t>
            </w:r>
          </w:p>
        </w:tc>
        <w:tc>
          <w:tcPr>
            <w:tcW w:w="80" w:type="dxa"/>
            <w:vAlign w:val="bottom"/>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111.19 %</w:t>
            </w: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110.32 %</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110.87 %</w:t>
            </w:r>
          </w:p>
        </w:tc>
      </w:tr>
    </w:tbl>
    <w:p>
      <w:pPr>
        <w:spacing w:after="0" w:line="22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During the wind-down of NSBF’s operations, NSBF is required to continue to own its SBA 7(a) loans and PPP Loans in its SBA loan portfolio to maturity, liquidation, charge-off, or (subject to SBA’s prior written approval) sale or transfer. In addition, SBL will service and liquidate NSBF’s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under the Fair Value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for the year ended December 31, 2024 and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089"/>
              <w:spacing w:after="0"/>
              <w:rPr>
                <w:sz w:val="20"/>
                <w:szCs w:val="20"/>
                <w:color w:val="auto"/>
              </w:rPr>
            </w:pPr>
            <w:r>
              <w:rPr>
                <w:rFonts w:ascii="Times New Roman" w:cs="Times New Roman" w:eastAsia="Times New Roman" w:hAnsi="Times New Roman"/>
                <w:sz w:val="14"/>
                <w:szCs w:val="14"/>
                <w:color w:val="auto"/>
              </w:rPr>
              <w:t>For the year ended</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1"/>
        </w:trPr>
        <w:tc>
          <w:tcPr>
            <w:tcW w:w="58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(26,346)</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(41,111)</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16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1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31,053</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27,122</w:t>
            </w:r>
          </w:p>
        </w:tc>
      </w:tr>
      <w:tr>
        <w:trPr>
          <w:trHeight w:val="171"/>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80" w:type="dxa"/>
            <w:vAlign w:val="bottom"/>
          </w:tcPr>
          <w:p>
            <w:pPr>
              <w:spacing w:after="0"/>
              <w:rPr>
                <w:sz w:val="14"/>
                <w:szCs w:val="14"/>
                <w:color w:val="auto"/>
              </w:rPr>
            </w:pPr>
          </w:p>
        </w:tc>
        <w:tc>
          <w:tcPr>
            <w:tcW w:w="1640" w:type="dxa"/>
            <w:vAlign w:val="bottom"/>
            <w:tcBorders>
              <w:bottom w:val="single" w:sz="8" w:color="auto"/>
            </w:tcBorders>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(12,808)</w:t>
            </w: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unrealized gain (loss) on loans accounted for under the fair value option relates to the guaranteed portions of SBA loans made which the Company sells into a secondary market, the unguaranteed</w:t>
      </w:r>
    </w:p>
    <w:p>
      <w:pPr>
        <w:spacing w:after="0" w:line="21" w:lineRule="exact"/>
        <w:rPr>
          <w:sz w:val="20"/>
          <w:szCs w:val="20"/>
          <w:color w:val="auto"/>
        </w:rPr>
      </w:pPr>
    </w:p>
    <w:p>
      <w:pPr>
        <w:jc w:val="both"/>
        <w:ind w:right="140"/>
        <w:spacing w:after="0" w:line="237" w:lineRule="auto"/>
        <w:rPr>
          <w:sz w:val="20"/>
          <w:szCs w:val="20"/>
          <w:color w:val="auto"/>
        </w:rPr>
      </w:pPr>
      <w:r>
        <w:rPr>
          <w:rFonts w:ascii="Times New Roman" w:cs="Times New Roman" w:eastAsia="Times New Roman" w:hAnsi="Times New Roman"/>
          <w:sz w:val="14"/>
          <w:szCs w:val="14"/>
          <w:color w:val="auto"/>
        </w:rPr>
        <w:t>portions of SBA loans made which the Company holds, SBA 504 loans that are held for sale, and ALP loans that are held for sale. This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6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2024, the Company recorded unrealized losses on SBA 7(a) unguaranteed loans accounted for under the fair value option as the portfolio paid down. During the year ended December 31, 2023, the Company originated $158.5 million of SBA 7(a) loans and elected the fair value option on those loans, which led to increased gains.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$27.1 million increase in gain on loans accounted for under the fair value option from SBA 504 and Non-SBA loans is primarily volume driven from an increase in ALP and 504 originations.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Technology and IT support income decreased by $5.3 million from $24.9 million for the year ended December 31, 2023 to $19.6 million for the year ended December 31, 2024. The overall decrease was due to a decrease in web hosting and IT support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2024 and 2023, other noninterest income was related primarily to loan origination fees (legal and packaging) on loans sold or carried at fair value. Other items that contributed to the increase included prepayment and late fees earned from SBA 7(a) loans. The Company originated 2,427 of SBA 7(a) loans compared to 1,812 loans for the year ended December 31, 2024 and 2023, respectively. The increase also includes $10.7 million of unrealized gains on joint ventures and other non-control investments for the year ended December 31, 2024 compared to $3.2 million in the prior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87"/>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r>
      <w:tr>
        <w:trPr>
          <w:trHeight w:val="186"/>
        </w:trPr>
        <w:tc>
          <w:tcPr>
            <w:tcW w:w="3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06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77,931</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center"/>
              <w:ind w:right="5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12,223</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80" w:type="dxa"/>
            <w:vAlign w:val="bottom"/>
          </w:tcPr>
          <w:p>
            <w:pPr>
              <w:spacing w:after="0"/>
              <w:rPr>
                <w:sz w:val="15"/>
                <w:szCs w:val="15"/>
                <w:color w:val="auto"/>
              </w:rPr>
            </w:pPr>
          </w:p>
        </w:tc>
        <w:tc>
          <w:tcPr>
            <w:tcW w:w="1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46.0</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(38.1)</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(4.9)</w:t>
            </w:r>
          </w:p>
        </w:tc>
      </w:tr>
      <w:tr>
        <w:trPr>
          <w:trHeight w:val="196"/>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162,709</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ind w:right="5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center"/>
              <w:ind w:right="449"/>
              <w:spacing w:after="0"/>
              <w:rPr>
                <w:sz w:val="20"/>
                <w:szCs w:val="20"/>
                <w:color w:val="auto"/>
              </w:rPr>
            </w:pPr>
            <w:r>
              <w:rPr>
                <w:rFonts w:ascii="Times New Roman" w:cs="Times New Roman" w:eastAsia="Times New Roman" w:hAnsi="Times New Roman"/>
                <w:sz w:val="14"/>
                <w:szCs w:val="14"/>
                <w:color w:val="auto"/>
                <w:w w:val="99"/>
              </w:rPr>
              <w:t>84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Employee Benefits Expense</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increase in salaries and employee benefits was primarily attributable to an increase in entity headcount from 528 employees at December 31, 2023 to 591 employees at December 31, 2024. Also contributing to the increase were merit increases for existing employees that went into effect in the first quarter of 2024 as well as increased benefits costs, primarily higher medical and other insurance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Services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 million decrease in technology services expenses for the year ended December 31, 2024 corresponded with the $5.3 million decrease in technology and IT support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Services Expense</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increase in professional services expense period over period is primarily attributable to costs associated with the NTS disposition that occurred on January 2, 2025. Refer to “Subsequent Events - Sale of 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Other loan origination and maintenance expenses during the year ended December 31, 2024, was $13.8 million compared to $9.4 million for the year ended December 31, 2023 due to a larger dollar volume and count of loan originations in 2024 compared to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02"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The decrease in depreciation and amortization period over period is primarily attributable to the full amortization of intangible assets during the second half of 2023, which resulted in less amortization in 2024 compared to the prior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Company has five reportable segments Banking, Alternative Lending, Technology, NSBF, and Payments. A description of each segment and the methodologies used to measure financial performance is described in NOTE 22—SEGMENTS in the accompanying Notes to the Consolidated Financial Statements. Net income (loss) by operating segment is presented below:</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Year Ended</w:t>
            </w:r>
          </w:p>
        </w:tc>
        <w:tc>
          <w:tcPr>
            <w:tcW w:w="1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2024/2023 Increase/(Decrease)</w:t>
            </w:r>
          </w:p>
        </w:tc>
        <w:tc>
          <w:tcPr>
            <w:tcW w:w="660" w:type="dxa"/>
            <w:vAlign w:val="bottom"/>
            <w:tcBorders>
              <w:bottom w:val="single" w:sz="8" w:color="auto"/>
            </w:tcBorders>
          </w:tcPr>
          <w:p>
            <w:pPr>
              <w:spacing w:after="0"/>
              <w:rPr>
                <w:sz w:val="16"/>
                <w:szCs w:val="16"/>
                <w:color w:val="auto"/>
              </w:rPr>
            </w:pPr>
          </w:p>
        </w:tc>
      </w:tr>
      <w:tr>
        <w:trPr>
          <w:trHeight w:val="17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December 31, 2024</w:t>
            </w:r>
          </w:p>
        </w:tc>
        <w:tc>
          <w:tcPr>
            <w:tcW w:w="360" w:type="dxa"/>
            <w:vAlign w:val="bottom"/>
          </w:tcPr>
          <w:p>
            <w:pPr>
              <w:spacing w:after="0"/>
              <w:rPr>
                <w:sz w:val="14"/>
                <w:szCs w:val="14"/>
                <w:color w:val="auto"/>
              </w:rPr>
            </w:pPr>
          </w:p>
        </w:tc>
        <w:tc>
          <w:tcPr>
            <w:tcW w:w="16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Percent</w:t>
            </w:r>
          </w:p>
        </w:tc>
        <w:tc>
          <w:tcPr>
            <w:tcW w:w="660" w:type="dxa"/>
            <w:vAlign w:val="bottom"/>
          </w:tcPr>
          <w:p>
            <w:pPr>
              <w:spacing w:after="0"/>
              <w:rPr>
                <w:sz w:val="14"/>
                <w:szCs w:val="14"/>
                <w:color w:val="auto"/>
              </w:rPr>
            </w:pPr>
          </w:p>
        </w:tc>
      </w:tr>
      <w:tr>
        <w:trPr>
          <w:trHeight w:val="17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23,870</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Alternative Lending</w:t>
            </w: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45,766</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NSBF</w:t>
            </w: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(45,745)</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Corporate &amp; Other</w:t>
            </w: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50,465</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(44,853)</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(75,803)</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21,722</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
        </w:trPr>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$39.7 million of net interest income during the year ended December 31, 2024 compared to $17.7 million of net interest income during the year ended December 31, 2023. During 2024, the majority of loans were funded by Newtek Bank compared to 2023, when all SBA 7(a) loans were funded by NSBF until it went into wind-down on April 13, 2023.</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 could also originate ALP loans designated as HFI.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w:t>
      </w:r>
    </w:p>
    <w:p>
      <w:pPr>
        <w:spacing w:after="0" w:line="20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Technology (NTS)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divested of NTS on January 2, 2025, and will cease to be a reportable segment. See “NOTE 25—SUBSEQUENT EVENTS - Sale of 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includes NSBF’s legacy portfolio of SBA 7(a) loans held outside Newtek Bank. The decrease in net income is due to the wind-down of NSBF’s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20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Payments includes NMS, POS and Mobil Money. Within the segment’s results are $48.9 million of noninterest income for the year ended December 31, 2024 resulting from marketing credit and debit card processing services, check approval services, processing equipment, and software, compared to $46.4 million during the year ended December 31, 2023. The net income also included $32.0 million and $31.6 million of noninterest expense for the year ended December 31, 2024 and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liquidity and capital resources are derived from our deposits, parent company notes, securitization transactions and earnings and cash flows from operations, including loan sales and repayments. In the year ended December 31, 2024,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2023 ATM Equity Distribution Agreement. The 2023 ATM Equity Distribution Agreement provides that the Company may offer and sell up to 3,000,000 shares of Common Stock from time to time through the placement agents. On November 1, 2024, the Company’s Board of Directors approved a new stock repurchase program granting the Company authority to repurchase up to 1.0 million shares of Company common stock during the next twelve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The Company and Newtek Bank are primarily constrained by the Total Capital and Leverage ratios given the mix of assets vis-a-vis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the Company as of December 31, 2024 and 2023 are presented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2024</w:t>
            </w:r>
          </w:p>
        </w:tc>
        <w:tc>
          <w:tcPr>
            <w:tcW w:w="20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69,727</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61,492</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109,320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53,363</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66,870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7" w:lineRule="exact"/>
        <w:rPr>
          <w:sz w:val="20"/>
          <w:szCs w:val="20"/>
          <w:color w:val="auto"/>
        </w:rPr>
      </w:pPr>
    </w:p>
    <w:p>
      <w:pPr>
        <w:ind w:left="80" w:hanging="75"/>
        <w:spacing w:after="0"/>
        <w:tabs>
          <w:tab w:leader="none" w:pos="8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7"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4"/>
          <w:szCs w:val="14"/>
          <w:color w:val="auto"/>
        </w:rPr>
        <w:t>Capital amounts and ratios for Newtek Bank as of December 31, 2024, and 2023 are presented in the table below. As of December 31, 2024 and 2023, Newtek Bank was categorized as “well-capitalized” under the prompt corrective action measures and met the capital conservation buffer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4"/>
                <w:szCs w:val="14"/>
                <w:color w:val="auto"/>
              </w:rPr>
            </w:pPr>
          </w:p>
        </w:tc>
        <w:tc>
          <w:tcPr>
            <w:tcW w:w="2100" w:type="dxa"/>
            <w:vAlign w:val="bottom"/>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2024</w:t>
            </w: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40,197</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50,246</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55,107</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67,824</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84,779</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23,893</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29,866</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36,955</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6" w:lineRule="exact"/>
        <w:rPr>
          <w:sz w:val="20"/>
          <w:szCs w:val="20"/>
          <w:color w:val="auto"/>
        </w:rPr>
      </w:pPr>
    </w:p>
    <w:p>
      <w:pPr>
        <w:ind w:left="80" w:hanging="75"/>
        <w:spacing w:after="0"/>
        <w:tabs>
          <w:tab w:leader="none" w:pos="8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ATM Program</w:t>
      </w:r>
    </w:p>
    <w:p>
      <w:pPr>
        <w:spacing w:after="0" w:line="2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June 25, 2020, the Company entered into the 2020 ATM Equity Distribution Agreement. On July 20, 2022, the Company entered into Amendment No. 1 to the 2020 ATM Equity Distribution Agreement. The 2020 ATM Equity Distribution Agreement, as amended, provided that the Company could offer and sell up to 6,400,000 shares of common stock from time to time through the placement agents. From inception through December 31, 2022, we sold 3,069,754 shares of our common stock at a weighted average price of $23.02 per share. Proceeds, net of offering costs and expenses, were $70.6 million. The Company paid the placement agents $1.4 million in compensation. On November 17, 2023, the Company entered into the 2023 ATM Equity Distribution Agreement. The 2023 ATM Equity Distribution Agreement provides that the Company may offer and sell up to 3.0 million shares of Common Stock from time to time through the placement agents under the ATM Program. The Company may, subject to market conditions, continue to engage in activity under the Equity ATM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sold and net proceeds received under the 2020 and 2023 ATM Equity Distribution Agreement: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2020 ATM Program</w:t>
            </w:r>
          </w:p>
        </w:tc>
        <w:tc>
          <w:tcPr>
            <w:tcW w:w="160" w:type="dxa"/>
            <w:vAlign w:val="bottom"/>
          </w:tcPr>
          <w:p>
            <w:pPr>
              <w:spacing w:after="0"/>
              <w:rPr>
                <w:sz w:val="16"/>
                <w:szCs w:val="16"/>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sold</w:t>
            </w:r>
          </w:p>
        </w:tc>
        <w:tc>
          <w:tcPr>
            <w:tcW w:w="1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3"/>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20" w:type="dxa"/>
            <w:vAlign w:val="bottom"/>
          </w:tcPr>
          <w:p>
            <w:pPr>
              <w:spacing w:after="0"/>
              <w:rPr>
                <w:sz w:val="15"/>
                <w:szCs w:val="15"/>
                <w:color w:val="auto"/>
              </w:rPr>
            </w:pPr>
          </w:p>
        </w:tc>
      </w:tr>
      <w:tr>
        <w:trPr>
          <w:trHeight w:val="530"/>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ATM Program</w:t>
            </w:r>
          </w:p>
        </w:tc>
        <w:tc>
          <w:tcPr>
            <w:tcW w:w="16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sold</w:t>
            </w:r>
          </w:p>
        </w:tc>
        <w:tc>
          <w:tcPr>
            <w:tcW w:w="1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gridSpan w:val="2"/>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3"/>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Placement agent fees paid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3"/>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0"/>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6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following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repurchased and net proceeds received under the stock repurchase program:</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18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Pr>
          <w:p>
            <w:pPr>
              <w:spacing w:after="0"/>
              <w:rPr>
                <w:sz w:val="15"/>
                <w:szCs w:val="15"/>
                <w:color w:val="auto"/>
              </w:rPr>
            </w:pPr>
          </w:p>
        </w:tc>
        <w:tc>
          <w:tcPr>
            <w:tcW w:w="1760" w:type="dxa"/>
            <w:vAlign w:val="bottom"/>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2029 8.50%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 8.50% per year payable quarterly on March 1, June 1, September 1 and December 1 of each year, commencing on September 1, 2024, and trade on the Nasdaq Global Market under the trading symbol “NEWTG.” At December 31, 2024, the Company was in compliance with all covenants related to the 2029 8.50% Notes.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On September 16, 2024, the Company completed a registered offering of $75.0 million aggregate principal amount of 2029 8.625% Notes. The 2029 8.625% Notes will mature on October 15, 2029. The Company received $72.8 million in proceeds, before expenses, from the sale of the 2029 8.625% Notes. Theses Notes bear interest at a rate of 8.625% per year, payable quarterly on January 15, April 15, July 15, and October 15 each year, commencing on January 15, 2025. , and trade on the Nasdaq Global Market under the trading symbol “NEWTH.” At December 31, 2024, the Company was in compliance with all covenants related to the 2029 8.625%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The Company received $38.0 million in proceeds, before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expenses, from the sale of the 2028 Notes. The 2028 Notes bear interest at a rate of 8.00% per year payable quarterly on March 1, June 1, September 1 and December 1 of each year, commencing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 2023, and trade on the Nasdaq Global Market under the trading symbol “NEWTI.” At December 31, 2024, the Company was in compliance with all covenants related to the 2028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January 2021, the Company completed a registered offering of $115.0 million aggregate principal amount of 5.50% 2026 Notes. The sale of the 2026 Notes generated proceeds of approximately $111.3 million, net of underwriter's fees and expenses. 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December 31, 2024, the Company was in compliance with all covenants related to the 2026 Notes.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2029, 2028 and 2026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these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indentures for the 2026 Notes include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(1)(B) of the 1940 Act as modified by Section 61(a) of the 1940 Act and to provide financial information to the holders of the 2026 Notes and the Trustee if the Company should no longer be subject to the reporting requirements under the Exchange Act (“BDC Covenants”). These covenants are subject to important limitations and exceptions that are described in the Base Indenture, as supplemented by the supplemental indentures. At December 31, 2024, the Company was in compliance with all covenants related to the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July 2019, the Company completed a registered offering of $63.25 million aggregate principal amount of 5.75% 2024 Notes. On February 16, 2021 and May 20, 2021, the Company issued an additional $5.0 million and $10.0 million in aggregate principal amount of the 2024 Notes, respectively. 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The 2024 Notes traded on the Nasdaq Global Market under the trading symbol “NEWTL” until the 2024 Notes matured on August 1, 2024.</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for 100% of their principal amount ($25 per Note), plus the accrued and unpaid interest thereon from February 28, 2022 through, but excluding, May 2,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were scheduled to mature on February 1, 2025. Effective December 11, 2024, the Company entered into Note Amendment and Exchange Agreements (the “Agreements”) with each of the holders of the 2025 8.125% Notes, pursuant to which the Company and the holders of the 2025 8.125% Notes agreed to exchange the 2025 8.125% Notes for the 2027 8.125% Notes, effecting amendments solely to (i) extend the February 1, 2025 maturity date of the 2025 8.125% Notes to the new maturity date of February 1, 2027 (the “New Maturity Date”) and (ii) provide that the 2027 8.125%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date.The Notes bear interest at a rate of 8.125% per year payable semiannually on February 1 and August 1 each year, commencing on August 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NSBF Capital One Facility</w:t>
      </w:r>
    </w:p>
    <w:p>
      <w:pPr>
        <w:spacing w:after="0" w:line="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4"/>
          <w:szCs w:val="14"/>
          <w:color w:val="auto"/>
        </w:rPr>
        <w:t>Prior to October 2023, NSBF maintained a $150.0 million Capital One facility to finance NSBF’s origination of unguaranteed and guaranteed portions of SBA 7(a) loans. The portion of the facility collateralized by the government guaranteed portion of SBA 7(a) loans had an interest rate of Prime minus 0.75% and the interest rate on the portion of the facility collateralized by the non-guaranteed portion of SBA 7(a) loans was Prime plus 0.25% . The facility provided for a 55% advance rate on the non-guaranteed portions of the SBA 7(a) loans NSBF originated, and a 90% advance rate on the guaranteed portions of SBA 7(a) loans NSBF originated and a 90% advance rate on the guaranteed portions of SBA 7(a) loans NSBF originated. NSBF ceased originating new loans in April 2023. The NSBF Capital One facility was paid off and terminated in October of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SPV I, II, and III Facilities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Company’s indirect subsidiaries SPV I, II, and III maintain credit facilities with third party lenders. SPV I has a Capital One facility with maximum borrowings of $60.0 million. The lender’s commitments terminate in May 2025, with all amounts due under the SPV I Facility maturing in November 2025. At December 31, 2024, total principal owed by SPV I was $21.3 million. SPV II has a Deutsche Bank facility with maximum borrowings $120.0 million. The Deutsche Bank Facility matures in December 2027. At December 31, 2024, total principal owed by SPV II was $54.8 million. SPV III has a One Florida Bank facility with maximum borrowings of $30.0 million. The One Florida Bank Facility matures in May 2025. At December 31, 2024, total principal owed by SPV III was $23.1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Webster Bank Facility</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NMS has a term loan facility with Webster Bank with an aggregate principal amount up to $54.9 million. The Webster Facility matures in November 2027. At December 31, 2024, total principal outstanding was $32.7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Securitization Transactions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NSBF has the right to call the 2023-1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NSBF has the right to call the 2021-1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 In October, 2024, the 2019-1 Trust was terminated as a result of NSBF purchasing the 2019-1 Trust assets, with the 2019-1 Trust’s noteholders receiving the redemption price.</w:t>
      </w:r>
    </w:p>
    <w:p>
      <w:pPr>
        <w:spacing w:after="0" w:line="1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29"/>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December 31, 2024:</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6"/>
        </w:trPr>
        <w:tc>
          <w:tcPr>
            <w:tcW w:w="6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Availability as of</w:t>
            </w:r>
          </w:p>
        </w:tc>
        <w:tc>
          <w:tcPr>
            <w:tcW w:w="1700" w:type="dxa"/>
            <w:vAlign w:val="bottom"/>
          </w:tcPr>
          <w:p>
            <w:pPr>
              <w:spacing w:after="0"/>
              <w:rPr>
                <w:sz w:val="24"/>
                <w:szCs w:val="24"/>
                <w:color w:val="auto"/>
              </w:rPr>
            </w:pPr>
          </w:p>
        </w:tc>
      </w:tr>
      <w:tr>
        <w:trPr>
          <w:trHeight w:val="186"/>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Pr>
          <w:p>
            <w:pPr>
              <w:spacing w:after="0"/>
              <w:rPr>
                <w:sz w:val="16"/>
                <w:szCs w:val="16"/>
                <w:color w:val="auto"/>
              </w:rPr>
            </w:pPr>
          </w:p>
        </w:tc>
        <w:tc>
          <w:tcPr>
            <w:tcW w:w="17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6,941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15,398</w:t>
            </w:r>
          </w:p>
        </w:tc>
      </w:tr>
      <w:tr>
        <w:trPr>
          <w:trHeight w:val="35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24"/>
                <w:szCs w:val="24"/>
                <w:color w:val="auto"/>
              </w:rPr>
            </w:pPr>
          </w:p>
        </w:tc>
        <w:tc>
          <w:tcPr>
            <w:tcW w:w="1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60,903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40,418</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350"/>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300" w:type="dxa"/>
            <w:vAlign w:val="bottom"/>
          </w:tcPr>
          <w:p>
            <w:pPr>
              <w:spacing w:after="0"/>
              <w:rPr>
                <w:sz w:val="24"/>
                <w:szCs w:val="24"/>
                <w:color w:val="auto"/>
              </w:rPr>
            </w:pPr>
          </w:p>
        </w:tc>
        <w:tc>
          <w:tcPr>
            <w:tcW w:w="1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346,207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137,689</w:t>
            </w:r>
          </w:p>
        </w:tc>
      </w:tr>
      <w:tr>
        <w:trPr>
          <w:trHeight w:val="181"/>
        </w:trPr>
        <w:tc>
          <w:tcPr>
            <w:tcW w:w="6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FHLB borrowing availability</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39,780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61,947</w:t>
            </w:r>
          </w:p>
        </w:tc>
      </w:tr>
      <w:tr>
        <w:trPr>
          <w:trHeight w:val="18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10,000</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483,831</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265,452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Availability as of December 31, 2024 and 2023 is based on collateral pledged as of that date.</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has restricted cash of $28.2 million as of December 31, 2024. NSBF holds $8.2 million of the Company’s restricted cash, which includes reserves in the event payments are insufficient to cover interest and/or principal with respect to securitizations and loan principal and interest collected which are due to loan participants. In addition, the Company has $10.0 million in a restricted cash account to fund certain of NSBF’s potential obligations to the SBA pursuant to the Wind-down Agreement. of which the Company is a guarantor. The majority of the Company’s remaining restricted cash is related to payroll processing by PMT, our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80" w:type="dxa"/>
            <w:vAlign w:val="bottom"/>
          </w:tcPr>
          <w:p>
            <w:pPr>
              <w:spacing w:after="0"/>
              <w:rPr>
                <w:sz w:val="11"/>
                <w:szCs w:val="11"/>
                <w:color w:val="auto"/>
              </w:rPr>
            </w:pP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54"/>
        </w:trPr>
        <w:tc>
          <w:tcPr>
            <w:tcW w:w="7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(153,014)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(169,219)</w:t>
            </w: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(172,235)</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560,897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344,974</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restricted cash</w:t>
            </w:r>
          </w:p>
        </w:tc>
        <w:tc>
          <w:tcPr>
            <w:tcW w:w="1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0" w:type="dxa"/>
            <w:vAlign w:val="bottom"/>
          </w:tcPr>
          <w:p>
            <w:pPr>
              <w:spacing w:after="0"/>
              <w:rPr>
                <w:sz w:val="1"/>
                <w:szCs w:val="1"/>
                <w:color w:val="auto"/>
              </w:rPr>
            </w:pPr>
          </w:p>
        </w:tc>
      </w:tr>
      <w:tr>
        <w:trPr>
          <w:trHeight w:val="138"/>
        </w:trPr>
        <w:tc>
          <w:tcPr>
            <w:tcW w:w="74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Consolidation/(deconsolidation) of cash and restricted cash from controlled investments related to business combinations and</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dispositions, net of cash paid</w:t>
            </w: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54,880</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operating activities used cash of $153.0 million, consisting primarily of $1.1 billion of funding loans held for sale. This use of cash was offset by (i) $817.9 million of proceeds from the sale of loans; and (ii) $140.0 million from the sale of loans from affiliates.</w:t>
      </w:r>
    </w:p>
    <w:p>
      <w:pPr>
        <w:spacing w:after="0" w:line="12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Cash used by investing activities was $209.1 million primarily comprised (i) $278.5 million in the net increase in loans held for investment, at cost and (ii) $25.7 million in contributions to joint ventures and other non-control investments and (iii) $33.0 million in purchases of available-for-sale securities. These uses were partially offset by (i) a $66.8 million net decrease in loans held for investment, at fair value (ii) $20.3 million in returns of capital from joint ventures and other non-control investments and (iii) $41.5 million in maturities of available-for-sale securities.</w:t>
      </w:r>
    </w:p>
    <w:p>
      <w:pPr>
        <w:spacing w:after="0" w:line="13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$560.9 million consisting primarily of a (i) $508.6 million net increase in deposits; (ii) $71.9 million of net proceeds from the 2029 8.50% Notes; (iii) $75.0 million of net proceeds from the 2029 8.625% Notes, and (iv) $71.6 million net borrowings on bank notes payable. These sources of cash were offset by (i) $107.0 million of principal payments related to securitization notes payable (ii) $38.3 million redemption of the 2024 Notes, and (iii) $20.3 million of dividends paid.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the Company’s obligations and commitments as of December 31, 2024. Amounts represent principal only and are not shown net of unamortized debt issuance costs.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13—BORROWINGS.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32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260" w:type="dxa"/>
            <w:vAlign w:val="bottom"/>
          </w:tcPr>
          <w:p>
            <w:pPr>
              <w:spacing w:after="0"/>
              <w:rPr>
                <w:sz w:val="10"/>
                <w:szCs w:val="10"/>
                <w:color w:val="auto"/>
              </w:rPr>
            </w:pPr>
          </w:p>
        </w:tc>
        <w:tc>
          <w:tcPr>
            <w:tcW w:w="98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0"/>
                <w:szCs w:val="10"/>
                <w:color w:val="auto"/>
              </w:rPr>
            </w:pPr>
          </w:p>
        </w:tc>
        <w:tc>
          <w:tcPr>
            <w:tcW w:w="880" w:type="dxa"/>
            <w:vAlign w:val="bottom"/>
          </w:tcPr>
          <w:p>
            <w:pPr>
              <w:jc w:val="right"/>
              <w:ind w:right="390"/>
              <w:spacing w:after="0" w:line="117"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11"/>
              <w:spacing w:after="0" w:line="117"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70"/>
              <w:spacing w:after="0" w:line="117" w:lineRule="exact"/>
              <w:rPr>
                <w:sz w:val="20"/>
                <w:szCs w:val="20"/>
                <w:color w:val="auto"/>
              </w:rPr>
            </w:pPr>
            <w:r>
              <w:rPr>
                <w:rFonts w:ascii="Times New Roman" w:cs="Times New Roman" w:eastAsia="Times New Roman" w:hAnsi="Times New Roman"/>
                <w:sz w:val="11"/>
                <w:szCs w:val="11"/>
                <w:b w:val="1"/>
                <w:bCs w:val="1"/>
                <w:color w:val="auto"/>
              </w:rPr>
              <w:t>Thereafter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Demand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Checking</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Money market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Savings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Webster NMS Note</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22,926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5,254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54,800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189,231</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Company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2025 5.00%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2026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0A2299"/>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4"/>
                <w:szCs w:val="14"/>
                <w:color w:val="auto"/>
              </w:rPr>
              <w:t>2027 Notes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2028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2029 8.625%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2029 8.50%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Employment Agreements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2,237</w:t>
            </w:r>
          </w:p>
        </w:tc>
      </w:tr>
      <w:tr>
        <w:trPr>
          <w:trHeight w:val="171"/>
        </w:trPr>
        <w:tc>
          <w:tcPr>
            <w:tcW w:w="20" w:type="dxa"/>
            <w:vAlign w:val="bottom"/>
          </w:tcPr>
          <w:p>
            <w:pPr>
              <w:spacing w:after="0"/>
              <w:rPr>
                <w:sz w:val="14"/>
                <w:szCs w:val="14"/>
                <w:color w:val="auto"/>
              </w:rPr>
            </w:pPr>
          </w:p>
        </w:tc>
        <w:tc>
          <w:tcPr>
            <w:tcW w:w="3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1,700,723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1,005,336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161,777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153,958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147,262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191,468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Guaranteed by the parent company</w:t>
      </w:r>
    </w:p>
    <w:p>
      <w:pPr>
        <w:spacing w:after="0" w:line="2" w:lineRule="exact"/>
        <w:rPr>
          <w:sz w:val="20"/>
          <w:szCs w:val="20"/>
          <w:color w:val="auto"/>
        </w:rPr>
      </w:pPr>
    </w:p>
    <w:p>
      <w:pPr>
        <w:ind w:left="60" w:right="200" w:hanging="55"/>
        <w:spacing w:after="0" w:line="232" w:lineRule="auto"/>
        <w:tabs>
          <w:tab w:leader="none" w:pos="78" w:val="left"/>
        </w:tabs>
        <w:numPr>
          <w:ilvl w:val="0"/>
          <w:numId w:val="4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Agreements with each of the holders of the 2025 8.125% Notes, pursuant to which the Company and the holders of the 2025 8.125% Notes agreed to exchange the 2025 8.125% Notes for the 2027 8.125% Notes, effecting amendments solely to (i) extend the February 1, 2025 maturity date of the 2025 8.125% Notes to the new maturity date of February 1, 2027 (the “New Maturity Date”) and (ii) provide that the 2027 8.125%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At December 31, 2024, the Company had $107.1 million of unfunded commitments consisting of $25.0 million in connection with its SBA 7(a) loans, $72.6 million in connection with its SBA 504 loans, and $9.5 million relating to commercial and industrial loans. The Company funds these commitments from the same sources it uses to fund its other loan commitments.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13—BORROWINGS to the consolidated financial statements for the amounts outstanding, line availability, and term. The Company is also a guarantor on an NMS term loan facility. At December 31, 2024,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fiscal year ended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at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spacing w:after="0" w:line="30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On a quarterly basis, management determines the fair values of the retained unguaranteed portions of SBA 7(a) loans HFI, and unrealized changes in FV are recognized in the income statement. The loans within this portfolio were originated by NSBF. NSBF ceased originating new loans in April 2023 when all new SBA 7(a) loan originations were transitioned to Newtek Bank. (See </w:t>
      </w:r>
      <w:r>
        <w:rPr>
          <w:rFonts w:ascii="Times New Roman" w:cs="Times New Roman" w:eastAsia="Times New Roman" w:hAnsi="Times New Roman"/>
          <w:sz w:val="14"/>
          <w:szCs w:val="14"/>
          <w:i w:val="1"/>
          <w:iCs w:val="1"/>
          <w:color w:val="auto"/>
        </w:rPr>
        <w:t>Historical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Business Regulation and Taxation, </w:t>
      </w:r>
      <w:r>
        <w:rPr>
          <w:rFonts w:ascii="Times New Roman" w:cs="Times New Roman" w:eastAsia="Times New Roman" w:hAnsi="Times New Roman"/>
          <w:sz w:val="14"/>
          <w:szCs w:val="14"/>
          <w:color w:val="auto"/>
        </w:rPr>
        <w:t>for a discussion of the wind-down of NSBF’s operations.)</w:t>
      </w:r>
    </w:p>
    <w:p>
      <w:pPr>
        <w:spacing w:after="0" w:line="15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originated SBA 504 loans HFS prior to the Acquisition through its nonbank subsidiaries. SBA 504 loans HFS held at NALH are accounted for under the FV option. Additionally, the existing government guaranteed portion of SBA 7(a) loans held at NSBF and certain SBA 504 loans held at Newtek Bank are also HFS at FV.</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also originates ALP loans (formerly referred to as our nonconforming conventional loans), which are either HFS or HFI, via its nonbank subsidiary. ALP loans are carried at FV. ALP loans are held at NALH, NCL JV, and TSO JV and are also accounted for under the FV 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unconditionally cancellable by the Company. The reserve for unfunded commitments is determined by estimating future draws and applying the expected loss rates on those draws.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For the fiscal year ended December 31, 2024, the Company accounted for servicing assets in accordance with ASC Topic 860-50 - Transfers and Servicing - Servicing Assets and Liabilities. The Company and Newtek Bank earn servicing fees primarily from the guaranteed portions of SBA 7(a) loans and to a lesser extent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16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15—COMMITMENTS AND CONTINGENCIES.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NTS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On January 2, 2025, the Company completed the previously announced sale of its wholly owned subsidiary NTS to Paltalk, Inc. (the “NTS Sale”), pursuant to the Agreement and Plan of Merger (the “Agreement”), dated as of August 11, 2024, by and among Paltalk, PALT Merger Sub 1, Inc., PALT Merger Sub 2, LLC, NTS and the Company. Paltalk, Inc. was subsequently renamed Intelligent Protection Management Corp. (“IPM”) (Nasdaq: IPM). As previously disclosed, in connection with the Company’s acquisition of Newtek Bank and transition to a financial holding company, the Company made a commitment to the Board of Governors of the Federal Reserve System to divest or terminate the activities of NTS.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Under the terms of the Agreement, at the closing of the NTS Sale, IPM acquired NTS for a combination of $4.0 million in cash, subject to certain purchase price adjustments (the “Cash Consideration”), and 4.0 million shares of a newly created series of IPM non-voting preferred stock, the Series A Non-Voting Common Equivalent Stock (the “Preferred Stock”) (the “Stock Consideration” and together with the Cash Consideration, the “Closing Consideration”). Upon the occurrence of certain specified transfers of the Preferred Stock, each share of Preferred Stock will automatically convert into one share of common stock of IPM, subject to certain anti-dilution adjustments. In addition to the Closing Consideration, the Company may be entitled to receive an earn-out amount of up to $5.0 million, payable in cash, Preferred Stock, or a combination thereof (as determined in IPM’s discretion), based on IPM's achievement of certain cumulative average Adjusted EBITDA thresholds for the 2025 and 2026 fiscal years. Pursuant to the Agreement, following the closing of the NTS Sale, the Company is entitled to appoint one representative to the IPM board of directors. The Company will account for our investment in IPM under ASC 321 beginning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9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5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The Company has cash and cash equivalents, which includes cash and due from banks, restricted cash, and interest bearing deposits in banks, of $381.4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December 31, 2024, cash deposits in excess of insured amounts totaled approximately $30.3 million. The Company and its non-bank subsidiaries have deposit accounts at Newtek Bank that total $69.4 million, of which $67.7 million is uninsured.</w:t>
      </w:r>
    </w:p>
    <w:p>
      <w:pPr>
        <w:spacing w:after="0" w:line="1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1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December 31, 2024,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640" w:type="dxa"/>
            <w:vAlign w:val="bottom"/>
            <w:gridSpan w:val="4"/>
          </w:tcPr>
          <w:p>
            <w:pPr>
              <w:ind w:left="1600"/>
              <w:spacing w:after="0"/>
              <w:rPr>
                <w:sz w:val="20"/>
                <w:szCs w:val="20"/>
                <w:color w:val="auto"/>
              </w:rPr>
            </w:pPr>
            <w:r>
              <w:rPr>
                <w:rFonts w:ascii="Times New Roman" w:cs="Times New Roman" w:eastAsia="Times New Roman" w:hAnsi="Times New Roman"/>
                <w:sz w:val="11"/>
                <w:szCs w:val="11"/>
                <w:color w:val="auto"/>
              </w:rPr>
              <w:t>Estimated Increase/Decrease in Net Interest Income</w:t>
            </w:r>
          </w:p>
        </w:tc>
        <w:tc>
          <w:tcPr>
            <w:tcW w:w="270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rPr>
              <w:t>Estimated Percentage Change in EVE</w:t>
            </w:r>
          </w:p>
        </w:tc>
      </w:tr>
      <w:tr>
        <w:trPr>
          <w:trHeight w:val="153"/>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8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color w:val="auto"/>
              </w:rPr>
              <w:t>12 Months Beginning December 31, 2024</w:t>
            </w:r>
          </w:p>
        </w:tc>
        <w:tc>
          <w:tcPr>
            <w:tcW w:w="27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color w:val="auto"/>
              </w:rPr>
              <w:t>12 Months Beginning December 31, 2025</w:t>
            </w:r>
          </w:p>
        </w:tc>
        <w:tc>
          <w:tcPr>
            <w:tcW w:w="100" w:type="dxa"/>
            <w:vAlign w:val="bottom"/>
          </w:tcPr>
          <w:p>
            <w:pPr>
              <w:spacing w:after="0"/>
              <w:rPr>
                <w:sz w:val="13"/>
                <w:szCs w:val="13"/>
                <w:color w:val="auto"/>
              </w:rPr>
            </w:pPr>
          </w:p>
        </w:tc>
        <w:tc>
          <w:tcPr>
            <w:tcW w:w="27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1"/>
                <w:szCs w:val="11"/>
                <w:color w:val="auto"/>
              </w:rPr>
              <w:t>As of December 31, 2024</w:t>
            </w:r>
          </w:p>
        </w:tc>
      </w:tr>
      <w:tr>
        <w:trPr>
          <w:trHeight w:val="177"/>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17.7%</w:t>
            </w:r>
          </w:p>
        </w:tc>
        <w:tc>
          <w:tcPr>
            <w:tcW w:w="14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5"/>
                <w:szCs w:val="15"/>
                <w:color w:val="auto"/>
              </w:rPr>
            </w:pPr>
          </w:p>
        </w:tc>
        <w:tc>
          <w:tcPr>
            <w:tcW w:w="2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(2.0)</w:t>
            </w:r>
          </w:p>
        </w:tc>
      </w:tr>
      <w:tr>
        <w:trPr>
          <w:trHeight w:val="184"/>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tcPr>
          <w:p>
            <w:pPr>
              <w:spacing w:after="0"/>
              <w:rPr>
                <w:sz w:val="16"/>
                <w:szCs w:val="16"/>
                <w:color w:val="auto"/>
              </w:rPr>
            </w:pPr>
          </w:p>
        </w:tc>
        <w:tc>
          <w:tcPr>
            <w:tcW w:w="2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(3.9)</w:t>
            </w:r>
          </w:p>
        </w:tc>
      </w:tr>
    </w:tbl>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CONSOLIDATED FINANCIAL STATEMENTS AND SUPPLEMENTARY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consolidated financial statements and related notes begin on Page F-1, which are included in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Evaluation of Disclosure Controls and Procedures:</w:t>
      </w:r>
    </w:p>
    <w:p>
      <w:pPr>
        <w:spacing w:after="0" w:line="191"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4"/>
          <w:szCs w:val="14"/>
          <w:color w:val="auto"/>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December 31, 2024.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that evaluation, our Chief Executive Officer and Chief Financial Officer concluded that as of December 31, 2024, our disclosure controls and procedures were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Management’s Report on Internal Control over Financial Reporting</w:t>
      </w:r>
    </w:p>
    <w:p>
      <w:pPr>
        <w:spacing w:after="0" w:line="191"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GAAP. It includes those policies and procedures that:</w:t>
      </w:r>
    </w:p>
    <w:p>
      <w:pPr>
        <w:spacing w:after="0" w:line="157"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a company;</w:t>
      </w:r>
    </w:p>
    <w:p>
      <w:pPr>
        <w:spacing w:after="0" w:line="178" w:lineRule="exact"/>
        <w:rPr>
          <w:rFonts w:ascii="Times New Roman" w:cs="Times New Roman" w:eastAsia="Times New Roman" w:hAnsi="Times New Roman"/>
          <w:sz w:val="14"/>
          <w:szCs w:val="14"/>
          <w:color w:val="auto"/>
        </w:rPr>
      </w:pPr>
    </w:p>
    <w:p>
      <w:pPr>
        <w:ind w:left="520" w:right="380" w:hanging="260"/>
        <w:spacing w:after="0" w:line="271"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GAAP, and that receipts and expenditures of a company are being made only in accordance with authorizations of management and directors of the company; and</w:t>
      </w:r>
    </w:p>
    <w:p>
      <w:pPr>
        <w:spacing w:after="0" w:line="135" w:lineRule="exact"/>
        <w:rPr>
          <w:rFonts w:ascii="Times New Roman" w:cs="Times New Roman" w:eastAsia="Times New Roman" w:hAnsi="Times New Roman"/>
          <w:sz w:val="14"/>
          <w:szCs w:val="14"/>
          <w:color w:val="auto"/>
        </w:rPr>
      </w:pPr>
    </w:p>
    <w:p>
      <w:pPr>
        <w:ind w:left="520" w:right="120" w:hanging="260"/>
        <w:spacing w:after="0" w:line="255"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a company's assets that could have a material effect on the financial statements.</w:t>
      </w:r>
    </w:p>
    <w:p>
      <w:pPr>
        <w:spacing w:after="0" w:line="157"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14"/>
          <w:szCs w:val="14"/>
          <w:color w:val="auto"/>
        </w:rPr>
        <w:t>Our management conducted an assessment, under the supervision and with the participation of our Chief Executive Officer and Chief Financial Officer, under the oversight of our Board of Directors, of the effectiveness of our internal control over financial reporting as of December 31, 2024, based on criteria established in Internal Control - Integrated Framework (2013) issued by the Committee of Sponsoring Organizations of the Treadway Commission (COSO).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this evaluation, our management concluded that our internal control over financial reporting (“ICFR”) was effective at December 31, 2024.</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Remediation of Previously Reported Material Weaknesses</w:t>
      </w:r>
    </w:p>
    <w:p>
      <w:pPr>
        <w:spacing w:after="0" w:line="19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As disclosed in Part II - Item 9A. of the Company's Annual Report on Form 10-K for the year ended December 31, 2023, management identified material weaknesses in ICFR related to Significant Unusual Transactions, SOX Governance, Knowledge, Skills, and Experience of Staff, Information Technology General Controls, Management Review Controls, Completeness and Accuracy of Information Produced by the Entity, NTS System Conversion, and NTS Revenue Cycle.</w:t>
      </w:r>
    </w:p>
    <w:p>
      <w:pPr>
        <w:spacing w:after="0" w:line="15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Throughout the year ended December 31, 2024, our management executed upon its previously disclosed remediation plan, which was executed with elevated supervision and oversight of the Audit Committee.</w:t>
      </w:r>
    </w:p>
    <w:p>
      <w:pPr>
        <w:spacing w:after="0" w:line="133" w:lineRule="exact"/>
        <w:rPr>
          <w:sz w:val="20"/>
          <w:szCs w:val="20"/>
          <w:color w:val="auto"/>
        </w:rPr>
      </w:pPr>
    </w:p>
    <w:p>
      <w:pPr>
        <w:ind w:left="520" w:hanging="260"/>
        <w:spacing w:after="0" w:line="239"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Significant Unusual Transactions </w:t>
      </w:r>
      <w:r>
        <w:rPr>
          <w:rFonts w:ascii="Times New Roman" w:cs="Times New Roman" w:eastAsia="Times New Roman" w:hAnsi="Times New Roman"/>
          <w:sz w:val="14"/>
          <w:szCs w:val="14"/>
          <w:color w:val="auto"/>
        </w:rPr>
        <w:t>– this material weakness relates to the acquisition of National Bank of New York City and the resulting conversion to a financial holding company.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material weakness was remediated as controls were designed and implemented where the Chief Accounting Officer reviews with the identification, accounting, and disclosure of Significant Unusual Transactions; more specifically these controls addressed the accounting for goodwill and intangibles, net deferred tax assets, income taxes receivable, income tax expense, additional paid in capital, non-interest income and expense, and EPS.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 w:right="640" w:hanging="260"/>
        <w:spacing w:after="0" w:line="258"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SOX Governance Program </w:t>
      </w:r>
      <w:r>
        <w:rPr>
          <w:rFonts w:ascii="Times New Roman" w:cs="Times New Roman" w:eastAsia="Times New Roman" w:hAnsi="Times New Roman"/>
          <w:sz w:val="14"/>
          <w:szCs w:val="14"/>
          <w:color w:val="auto"/>
        </w:rPr>
        <w:t>– this material weakness relates to the compliance and heightened standards required of an SEC registrant under SOX 404. This material weakness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remediated as management established a SOX Governance Program including policies and procedures, along with a management level SOX Steering Committee.</w:t>
      </w:r>
    </w:p>
    <w:p>
      <w:pPr>
        <w:spacing w:after="0" w:line="152" w:lineRule="exact"/>
        <w:rPr>
          <w:rFonts w:ascii="Times New Roman" w:cs="Times New Roman" w:eastAsia="Times New Roman" w:hAnsi="Times New Roman"/>
          <w:sz w:val="14"/>
          <w:szCs w:val="14"/>
          <w:color w:val="auto"/>
        </w:rPr>
      </w:pPr>
    </w:p>
    <w:p>
      <w:pPr>
        <w:ind w:left="520" w:right="40" w:hanging="260"/>
        <w:spacing w:after="0"/>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Knowledge, Skills, and Experience of staff – </w:t>
      </w:r>
      <w:r>
        <w:rPr>
          <w:rFonts w:ascii="Times New Roman" w:cs="Times New Roman" w:eastAsia="Times New Roman" w:hAnsi="Times New Roman"/>
          <w:sz w:val="14"/>
          <w:szCs w:val="14"/>
          <w:color w:val="auto"/>
        </w:rPr>
        <w:t>this material weakness relates to the experience of company staff being comprised of individuals without the requisite public company and ICFR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experience. This Material Weakness was remediated as management engaged an external consulting firm to test the design and operating effectiveness of ICFR and key hires were made throughout the control environment including six Certified Public Accountants with ICFR experience.</w:t>
      </w:r>
    </w:p>
    <w:p>
      <w:pPr>
        <w:spacing w:after="0" w:line="153" w:lineRule="exact"/>
        <w:rPr>
          <w:rFonts w:ascii="Times New Roman" w:cs="Times New Roman" w:eastAsia="Times New Roman" w:hAnsi="Times New Roman"/>
          <w:sz w:val="14"/>
          <w:szCs w:val="14"/>
          <w:color w:val="auto"/>
        </w:rPr>
      </w:pPr>
    </w:p>
    <w:p>
      <w:pPr>
        <w:ind w:left="520" w:right="320" w:hanging="260"/>
        <w:spacing w:after="0" w:line="239"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Information Technology General Controls / NTS System Conversion </w:t>
      </w:r>
      <w:r>
        <w:rPr>
          <w:rFonts w:ascii="Times New Roman" w:cs="Times New Roman" w:eastAsia="Times New Roman" w:hAnsi="Times New Roman"/>
          <w:sz w:val="14"/>
          <w:szCs w:val="14"/>
          <w:color w:val="auto"/>
        </w:rPr>
        <w:t>– this material weakness relates to deficiencies identified in all aspects of ITGC including logical access and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These Material Weaknesses were remediated as management updated and enhanced the IT policies and relevant internal controls to consider and address ITGCs including access security and change management; limited elevated access profiles in financially relevant IT systems and software to appropriate personnel; developed and enhanced access administration controls over provisioning, deprovisioning, and user access reviews; and enhanced the design of controls over change management and IT operations controls.</w:t>
      </w:r>
    </w:p>
    <w:p>
      <w:pPr>
        <w:spacing w:after="0" w:line="154" w:lineRule="exact"/>
        <w:rPr>
          <w:rFonts w:ascii="Times New Roman" w:cs="Times New Roman" w:eastAsia="Times New Roman" w:hAnsi="Times New Roman"/>
          <w:sz w:val="14"/>
          <w:szCs w:val="14"/>
          <w:color w:val="auto"/>
        </w:rPr>
      </w:pPr>
    </w:p>
    <w:p>
      <w:pPr>
        <w:ind w:left="520" w:right="80" w:hanging="260"/>
        <w:spacing w:after="0" w:line="239"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Review Controls </w:t>
      </w:r>
      <w:r>
        <w:rPr>
          <w:rFonts w:ascii="Times New Roman" w:cs="Times New Roman" w:eastAsia="Times New Roman" w:hAnsi="Times New Roman"/>
          <w:sz w:val="14"/>
          <w:szCs w:val="14"/>
          <w:color w:val="auto"/>
        </w:rPr>
        <w:t>– this material weakness relates to deficiencies in the design and operating effectiveness of management review controls including documentation and level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precision. This material weakness was remediated by redesigning the existing ICFR to enhance management’s documentation supporting all elements of management’s review and the precision in which the controls are designed to operate and provided training to control owners and relevant personnel to understand the components of a management review control and documentation expectations.</w:t>
      </w:r>
    </w:p>
    <w:p>
      <w:pPr>
        <w:spacing w:after="0" w:line="154" w:lineRule="exact"/>
        <w:rPr>
          <w:rFonts w:ascii="Times New Roman" w:cs="Times New Roman" w:eastAsia="Times New Roman" w:hAnsi="Times New Roman"/>
          <w:sz w:val="14"/>
          <w:szCs w:val="14"/>
          <w:color w:val="auto"/>
        </w:rPr>
      </w:pPr>
    </w:p>
    <w:p>
      <w:pPr>
        <w:ind w:left="520" w:hanging="260"/>
        <w:spacing w:after="0" w:line="239"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Completeness and Accuracy of Information Produced by the Entity (“IPE”) </w:t>
      </w:r>
      <w:r>
        <w:rPr>
          <w:rFonts w:ascii="Times New Roman" w:cs="Times New Roman" w:eastAsia="Times New Roman" w:hAnsi="Times New Roman"/>
          <w:sz w:val="14"/>
          <w:szCs w:val="14"/>
          <w:color w:val="auto"/>
        </w:rPr>
        <w:t>– this material weakness specifically relates to control gaps identified related to the completeness and accuracy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system reports utilized in the execution of key controls. This material weakness was remediated by redesigning existing ICFR to enhance management’s control steps to ascertain the completeness and accuracy of IPE when utilized in the execution of a key control. Further, training was provided to control owners and relevant personnel to understand the concept of IPE and documentation requirements for the completeness and accuracy of system reports.</w:t>
      </w:r>
    </w:p>
    <w:p>
      <w:pPr>
        <w:spacing w:after="0" w:line="165" w:lineRule="exact"/>
        <w:rPr>
          <w:rFonts w:ascii="Times New Roman" w:cs="Times New Roman" w:eastAsia="Times New Roman" w:hAnsi="Times New Roman"/>
          <w:sz w:val="14"/>
          <w:szCs w:val="14"/>
          <w:color w:val="auto"/>
        </w:rPr>
      </w:pPr>
    </w:p>
    <w:p>
      <w:pPr>
        <w:jc w:val="both"/>
        <w:ind w:left="520" w:right="180" w:hanging="260"/>
        <w:spacing w:after="0"/>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NTS Revenue Cycle </w:t>
      </w:r>
      <w:r>
        <w:rPr>
          <w:rFonts w:ascii="Times New Roman" w:cs="Times New Roman" w:eastAsia="Times New Roman" w:hAnsi="Times New Roman"/>
          <w:sz w:val="14"/>
          <w:szCs w:val="14"/>
          <w:color w:val="auto"/>
        </w:rPr>
        <w:t>– this material weakness relates to controls over revenue recognition. This material weakness was remediated by redesigning the existing ICFR related to the existence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accuracy of material revenue streams generated from NTS, as well as revenue recognition in accordance with ASC 606. More specifically, these controls covered other assets, retained earnings, technology services expense, and technology and IT support income.</w:t>
      </w:r>
    </w:p>
    <w:p>
      <w:pPr>
        <w:spacing w:after="0" w:line="15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Based upon testing of the design and operating effectiveness of the re-designed control environment during the year ended December 31, 2024, management found them to be designed and operating effectively. As a result, management has concluded that the material weaknesses in ICFR have been remediated as of December 31, 2024.</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9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Other than the remediation of the material weaknesses described above, there were no changes in our ICFR (as defined in Rules 13a-15(f) and 15d-15(f) under the Exchange Act) during the quarter ended December 31, 2024, that have materially affected, or are reasonably likely to materially affect, our ICFR.</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191"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4"/>
          <w:szCs w:val="14"/>
          <w:color w:val="auto"/>
        </w:rPr>
        <w:t>Because of its inherent limitations, management does not expect that our disclosure controls and procedures or our ICFR will prevent or detect all error and fraud. Any control system, no matter how well designed and operated, is based upon certain assumptions and can provide only reasonable, not absolute, assurance that its objectives will be met. Also, projections of any evaluation of effectiveness to future periods are subject to the risk that controls may become inadequate because of changes in conditions, or that the degree of compliance with the policies or procedures may deteriorate. Further, no evaluation of controls can provide absolute assurance that misstatements due to error or fraud will not occur or that all control issues and instances of fraud, if any, within the Company have been detected.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Audit Report of the Registered Public Accounting Firm.</w:t>
      </w:r>
    </w:p>
    <w:p>
      <w:pPr>
        <w:spacing w:after="0" w:line="19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The Company’s independent registered public accounting firm, RSM US LLP, has issued an unqualified opinion on the effectiveness of the Company’s internal control over financial reporting as of December 31, 2024, as stated in its report, which appears below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NewtekOne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Internal Control Over Financial Reporting</w:t>
      </w:r>
    </w:p>
    <w:p>
      <w:pPr>
        <w:spacing w:after="0" w:line="16"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4"/>
          <w:szCs w:val="14"/>
          <w:color w:val="auto"/>
        </w:rPr>
        <w:t xml:space="preserve">We have audited NewtekOne Inc. and subsidiaries’ (the Company)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issued by the Committee of Sponsoring Organizations of the Treadway Commission in 2013. In our opinion, the Company maintained, in all material respects, effective internal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over financial reporting as of December 31, 2024, based on criteria established in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w:t>
      </w:r>
    </w:p>
    <w:p>
      <w:pPr>
        <w:spacing w:after="0" w:line="168" w:lineRule="exact"/>
        <w:rPr>
          <w:sz w:val="20"/>
          <w:szCs w:val="20"/>
          <w:color w:val="auto"/>
        </w:rPr>
      </w:pPr>
    </w:p>
    <w:p>
      <w:pPr>
        <w:jc w:val="both"/>
        <w:ind w:right="360"/>
        <w:spacing w:after="0" w:line="246"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statements of financial condition of the Company as of December 31, 2024 and 2023, the related consolidated statements of income, comprehensive income, shareholders' equity and cash flows for each of the three years in the period ended December 31, 2024, and the related notes to the consolidated financial statements and our report dated March 17, 2025, expressed an unqualified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8"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Connecticut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10 is hereby incorporated by reference from our definitive Proxy Statement relating to our 2025 Annual Meeting of Shareholders, to be filed with the Securities and Exchange Commission not later than 120 days following the end of our fiscal year.</w:t>
      </w:r>
    </w:p>
    <w:p>
      <w:pPr>
        <w:spacing w:after="0" w:line="12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and/or other disposition of our securities by our directors, officers and employees and other covered persons, as well as the Company itself, that we believe is reasonably designed to promote compliance with insider trading laws, rules and regulations and Nasdaq listing standards, as applicable. A copy of our insider trading policy is filed as Exhibit 19.1 to this Annual Report on Form 10-K.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is hereby incorporated by reference from our definitive Proxy Statement relating to our 2025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12 is hereby incorporated by reference from our definitive Proxy Statement relating to our 2025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RELATED PARTY TRANSACTIONS AND DIRECTOR INDEPENDENCE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is hereby incorporated by reference from our definitive Proxy Statement relating to our 2025 Annual Meeting of Shareholders, to be filed with the Securities and Exchange Commission not later than 120 days following the end of our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is hereby incorporated by reference from our definitive Proxy Statement relating to our 2025 Annual Meeting of Shareholders, to be filed with the Securities and Exchange Commission not later than 120 days following the end of our fiscal year.</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(a)(1)</w:t>
        <w:tab/>
        <w:t>Financial Statements.</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(a)(2)</w:t>
        <w:tab/>
        <w:t>No financial statement schedules are filed herewith because (1) such schedules are not required or (2) the information has been presented in the aforementioned financial statements.</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(a)(3)</w:t>
        <w:tab/>
        <w:t>Exhibits.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exhibits are filed herewith or are incorporated by reference to exhibits previously filed with the Securities and Exchange Commission.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20" w:type="dxa"/>
            <w:vAlign w:val="bottom"/>
            <w:gridSpan w:val="25"/>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17">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Amended and Restated Articles of Incorporation of Newtek Business Services Corp. (Previously filed in connection with Pre-Effective Amendment No. 3 to the Registrant’s</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1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Registration Statement on Form N-2 (File No. 333-191499) filed on November 3, 2014, and incorporated by reference herein).</w:t>
              </w:r>
            </w:hyperlink>
          </w:p>
        </w:tc>
        <w:tc>
          <w:tcPr>
            <w:tcW w:w="26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18">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Amended Bylaws of NewtekOne, Inc. (Incorporated by reference to Exhibit 99.1 of NewtekOne, Inc.''s Current Report on Form 8-K, filed January 24, 2023).</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1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Newtek Conventional Lending II, LLC Limited Liability Company Agreement (Incorporated by reference to Exhibit 3.3 to Newtek’s Form 10-Q for the quarter ended March</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31, 2021 (File No. 814-01035), filed May 13,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0">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Form of Common Stock Certificate (Incorporated by reference to Exhibit 99.5 to Registrant’s Registration Statement on Form N-14 (File No. 333-195998), filed September 24,</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5"/>
              </w:rPr>
            </w:pPr>
            <w:hyperlink r:id="rId120">
              <w:r>
                <w:rPr>
                  <w:rFonts w:ascii="Times New Roman" w:cs="Times New Roman" w:eastAsia="Times New Roman" w:hAnsi="Times New Roman"/>
                  <w:sz w:val="13"/>
                  <w:szCs w:val="13"/>
                  <w:color w:val="0000FF"/>
                  <w:w w:val="95"/>
                </w:rPr>
                <w:t>2014).</w:t>
              </w:r>
            </w:hyperlink>
          </w:p>
        </w:tc>
        <w:tc>
          <w:tcPr>
            <w:tcW w:w="19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Description of Securities filed herewith.</w:t>
            </w: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1">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Base Indenture, dated as of September 23, 2015, between Newtek, as issuer, and U.S. Bank National Association, as trustee (Incorporated by reference to Exhibit d.2 to</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6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Newtek’s Post-Effective Amendment No. 1 to its Registration Statement on Form N-2, No. 333-204915, filed September 23, 2015).</w:t>
              </w:r>
            </w:hyperlink>
          </w:p>
        </w:tc>
        <w:tc>
          <w:tcPr>
            <w:tcW w:w="2020" w:type="dxa"/>
            <w:vAlign w:val="bottom"/>
            <w:tcBorders>
              <w:top w:val="single" w:sz="8" w:color="0000FF"/>
            </w:tcBorders>
            <w:gridSpan w:val="5"/>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2">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4</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Fourth Supplemental Indenture, dated as of July 29, 2019, between Newtek, as issuer, and U.S. Bank, National Association, as trustee (Incorporated by reference to Exhibit d.8</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22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to Newtek’s Post-Effective Amendment No. 7 to its Registration Statement on Form N-2, No. 333-224976, filed July 29, 2019).</w:t>
              </w:r>
            </w:hyperlink>
          </w:p>
        </w:tc>
        <w:tc>
          <w:tcPr>
            <w:tcW w:w="268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2">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5</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Global Note with respect to the 5.75% Notes due 2024 (Incorporated by reference to Exhibit d.9 to Newtek’s Post-Effective Amendment No. 7 to its Registration</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Statement on Form N-2, No. 333-224976, filed July 29, 2019).</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3">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6</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Fifth Supplemental Indenture, dated as of November 27, 2020, relating to the 6.85% Notes due 2025, by and between the Company and U.S. Bank, National Association, as</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6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trustee (Incorporated by reference to Exhibit 4.2 to Newtek’s Current Report on Form 8-K, filed November 27, 2020).</w:t>
              </w:r>
            </w:hyperlink>
          </w:p>
        </w:tc>
        <w:tc>
          <w:tcPr>
            <w:tcW w:w="308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4">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7</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Sixth Supplemental Indenture, dated as of January 6, 2021, relating to the 6.85% Notes due 2025, by and between the Company and U.S. Bank, National Association, as trustee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(Incorporated by reference to Exhibit 4.3 to Newtek’s Current Report on Form 8-K filed January 6, 2021).</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5">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8</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Seventh Supplemental Indenture dated of January 22, 2021 between Newtek Business Services Corp. and U.S. Bank National Association, as trustee (Incorporated by reference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54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to Exhibit 4.1 to Newtek’s Current Report on Form 8-K filed January 22, 2021).</w:t>
              </w:r>
            </w:hyperlink>
          </w:p>
        </w:tc>
        <w:tc>
          <w:tcPr>
            <w:tcW w:w="5440" w:type="dxa"/>
            <w:vAlign w:val="bottom"/>
            <w:tcBorders>
              <w:top w:val="single" w:sz="8" w:color="0000FF"/>
            </w:tcBorders>
            <w:gridSpan w:val="26"/>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00" w:type="dxa"/>
            <w:vAlign w:val="bottom"/>
            <w:gridSpan w:val="2"/>
          </w:tcPr>
          <w:p>
            <w:pPr>
              <w:ind w:left="20"/>
              <w:spacing w:after="0"/>
              <w:rPr>
                <w:rFonts w:ascii="Times New Roman" w:cs="Times New Roman" w:eastAsia="Times New Roman" w:hAnsi="Times New Roman"/>
                <w:sz w:val="14"/>
                <w:szCs w:val="14"/>
                <w:color w:val="0000FF"/>
                <w:w w:val="91"/>
              </w:rPr>
            </w:pPr>
            <w:hyperlink r:id="rId125">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9</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of 5.50 % Notes due 2026 (Incorporated by reference to Exhibit 4.2 to Newtek’s Current Report on Form 8-K filed January 22, 2021).</w:t>
              </w:r>
            </w:hyperlink>
          </w:p>
        </w:tc>
      </w:tr>
      <w:tr>
        <w:trPr>
          <w:trHeight w:val="20"/>
        </w:trPr>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10</w:t>
              </w:r>
            </w:hyperlink>
          </w:p>
        </w:tc>
        <w:tc>
          <w:tcPr>
            <w:tcW w:w="820" w:type="dxa"/>
            <w:vAlign w:val="bottom"/>
          </w:tcPr>
          <w:p>
            <w:pPr>
              <w:spacing w:after="0"/>
              <w:rPr>
                <w:sz w:val="17"/>
                <w:szCs w:val="17"/>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Eighth Supplement Indenture dated of February 16, 2021 between Newtek Business Services Corp. and U.S. Bank National Association, as trustee (Incorporated by reference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6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to Exhibit 4.3 to Newtek’s Current Report on Form 8-K filed February 16, 2021).</w:t>
              </w:r>
            </w:hyperlink>
          </w:p>
        </w:tc>
        <w:tc>
          <w:tcPr>
            <w:tcW w:w="8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0"/>
        </w:trPr>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3"/>
        </w:trPr>
        <w:tc>
          <w:tcPr>
            <w:tcW w:w="260" w:type="dxa"/>
            <w:vAlign w:val="bottom"/>
            <w:gridSpan w:val="3"/>
          </w:tcPr>
          <w:p>
            <w:pPr>
              <w:ind w:left="20"/>
              <w:spacing w:after="0"/>
              <w:rPr>
                <w:rFonts w:ascii="Times New Roman" w:cs="Times New Roman" w:eastAsia="Times New Roman" w:hAnsi="Times New Roman"/>
                <w:sz w:val="14"/>
                <w:szCs w:val="14"/>
                <w:color w:val="0000FF"/>
                <w:w w:val="89"/>
              </w:rPr>
            </w:pPr>
            <w:hyperlink r:id="rId126">
              <w:r>
                <w:rPr>
                  <w:rFonts w:ascii="Times New Roman" w:cs="Times New Roman" w:eastAsia="Times New Roman" w:hAnsi="Times New Roman"/>
                  <w:sz w:val="14"/>
                  <w:szCs w:val="14"/>
                  <w:color w:val="0000FF"/>
                  <w:w w:val="89"/>
                </w:rPr>
                <w:t>4.</w:t>
              </w:r>
              <w:r>
                <w:rPr>
                  <w:rFonts w:ascii="Times New Roman" w:cs="Times New Roman" w:eastAsia="Times New Roman" w:hAnsi="Times New Roman"/>
                  <w:sz w:val="14"/>
                  <w:szCs w:val="14"/>
                  <w:u w:val="single" w:color="auto"/>
                  <w:color w:val="0000FF"/>
                  <w:w w:val="89"/>
                </w:rPr>
                <w:t>11</w:t>
              </w:r>
            </w:hyperlink>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5.75 % Notes due 2024 (Incorporated by reference to Exhibit 4.4 to Newtek’s Current Report on Form 8-K filed February 16, 2021).</w:t>
              </w:r>
            </w:hyperlink>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12</w:t>
              </w:r>
            </w:hyperlink>
          </w:p>
        </w:tc>
        <w:tc>
          <w:tcPr>
            <w:tcW w:w="820" w:type="dxa"/>
            <w:vAlign w:val="bottom"/>
          </w:tcPr>
          <w:p>
            <w:pPr>
              <w:spacing w:after="0"/>
              <w:rPr>
                <w:sz w:val="17"/>
                <w:szCs w:val="17"/>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Tenth Supplemental Indenture, dated as of March 31, 2022 relating to the 5.00% Notes due 2025, by and between the Company and U.S. Bank, National Association, as trustee</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4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(incorporated by reference to Exhibit 4.2 to Newtek’s Current Report on Form 8-K, filed March 31, 2022).</w:t>
              </w:r>
            </w:hyperlink>
          </w:p>
        </w:tc>
        <w:tc>
          <w:tcPr>
            <w:tcW w:w="3900" w:type="dxa"/>
            <w:vAlign w:val="bottom"/>
            <w:tcBorders>
              <w:top w:val="single" w:sz="8" w:color="0000FF"/>
            </w:tcBorders>
            <w:gridSpan w:val="19"/>
          </w:tcPr>
          <w:p>
            <w:pPr>
              <w:spacing w:after="0"/>
              <w:rPr>
                <w:sz w:val="10"/>
                <w:szCs w:val="10"/>
                <w:color w:val="auto"/>
              </w:rPr>
            </w:pPr>
          </w:p>
        </w:tc>
        <w:tc>
          <w:tcPr>
            <w:tcW w:w="100" w:type="dxa"/>
            <w:vAlign w:val="bottom"/>
            <w:gridSpan w:val="3"/>
          </w:tcPr>
          <w:p>
            <w:pPr>
              <w:spacing w:after="0"/>
              <w:rPr>
                <w:sz w:val="10"/>
                <w:szCs w:val="10"/>
                <w:color w:val="auto"/>
              </w:rPr>
            </w:pPr>
          </w:p>
        </w:tc>
      </w:tr>
      <w:tr>
        <w:trPr>
          <w:trHeight w:val="21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Dividend Reinvestment Plan (Previously filed in connection with Pre-Effective Amendment No. 3 to the Registrant’s Registration Statement on Form N-2 (File No.</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333-191499) filed on November 3, 2014, and incorporated by reference herein).</w:t>
              </w:r>
            </w:hyperlink>
          </w:p>
        </w:tc>
        <w:tc>
          <w:tcPr>
            <w:tcW w:w="60" w:type="dxa"/>
            <w:vAlign w:val="bottom"/>
            <w:gridSpan w:val="3"/>
          </w:tcPr>
          <w:p>
            <w:pPr>
              <w:spacing w:after="0"/>
              <w:rPr>
                <w:sz w:val="10"/>
                <w:szCs w:val="10"/>
                <w:color w:val="auto"/>
              </w:rPr>
            </w:pPr>
          </w:p>
        </w:tc>
        <w:tc>
          <w:tcPr>
            <w:tcW w:w="200" w:type="dxa"/>
            <w:vAlign w:val="bottom"/>
            <w:gridSpan w:val="6"/>
          </w:tcPr>
          <w:p>
            <w:pPr>
              <w:spacing w:after="0"/>
              <w:rPr>
                <w:sz w:val="10"/>
                <w:szCs w:val="10"/>
                <w:color w:val="auto"/>
              </w:rPr>
            </w:pPr>
          </w:p>
        </w:tc>
      </w:tr>
      <w:tr>
        <w:trPr>
          <w:trHeight w:val="20"/>
        </w:trPr>
        <w:tc>
          <w:tcPr>
            <w:tcW w:w="4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1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Stock Purchase Agreement by and among Newtek Business Services Corp. and the Sellers named in Schedule A thereto (incorporated by reference to the Company’s Current</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4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Report on Form 8-K, filed August 2, 2021).</w:t>
              </w:r>
            </w:hyperlink>
          </w:p>
        </w:tc>
        <w:tc>
          <w:tcPr>
            <w:tcW w:w="7360" w:type="dxa"/>
            <w:vAlign w:val="bottom"/>
            <w:tcBorders>
              <w:top w:val="single" w:sz="8" w:color="0000FF"/>
            </w:tcBorders>
            <w:gridSpan w:val="25"/>
          </w:tcPr>
          <w:p>
            <w:pPr>
              <w:spacing w:after="0"/>
              <w:rPr>
                <w:sz w:val="10"/>
                <w:szCs w:val="10"/>
                <w:color w:val="auto"/>
              </w:rPr>
            </w:pPr>
          </w:p>
        </w:tc>
        <w:tc>
          <w:tcPr>
            <w:tcW w:w="200" w:type="dxa"/>
            <w:vAlign w:val="bottom"/>
            <w:gridSpan w:val="6"/>
          </w:tcPr>
          <w:p>
            <w:pPr>
              <w:spacing w:after="0"/>
              <w:rPr>
                <w:sz w:val="10"/>
                <w:szCs w:val="10"/>
                <w:color w:val="auto"/>
              </w:rPr>
            </w:pPr>
          </w:p>
        </w:tc>
      </w:tr>
      <w:tr>
        <w:trPr>
          <w:trHeight w:val="213"/>
        </w:trPr>
        <w:tc>
          <w:tcPr>
            <w:tcW w:w="420" w:type="dxa"/>
            <w:vAlign w:val="bottom"/>
            <w:gridSpan w:val="5"/>
          </w:tcPr>
          <w:p>
            <w:pPr>
              <w:ind w:left="20"/>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820" w:type="dxa"/>
            <w:vAlign w:val="bottom"/>
          </w:tcPr>
          <w:p>
            <w:pPr>
              <w:spacing w:after="0"/>
              <w:rPr>
                <w:sz w:val="18"/>
                <w:szCs w:val="18"/>
                <w:color w:val="auto"/>
              </w:rPr>
            </w:pPr>
          </w:p>
        </w:tc>
        <w:tc>
          <w:tcPr>
            <w:tcW w:w="10040" w:type="dxa"/>
            <w:vAlign w:val="bottom"/>
            <w:gridSpan w:val="35"/>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Mortgage Warehouse Loan and Security Agreement, by and between NBL SPV III, LLC and One Florida Bank, dated September 21, 2021 (incorporated by reference to</w:t>
              </w:r>
            </w:hyperlink>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Exhibit 10.1 to Newtek’s Quarterly Report on Form 10-Q for the quarter ended September 30, 2021 (File No. 814-010305), filed November 12, 2021).</w:t>
              </w:r>
            </w:hyperlink>
          </w:p>
        </w:tc>
        <w:tc>
          <w:tcPr>
            <w:tcW w:w="500" w:type="dxa"/>
            <w:vAlign w:val="bottom"/>
            <w:gridSpan w:val="12"/>
          </w:tcPr>
          <w:p>
            <w:pPr>
              <w:spacing w:after="0"/>
              <w:rPr>
                <w:sz w:val="10"/>
                <w:szCs w:val="10"/>
                <w:color w:val="auto"/>
              </w:rPr>
            </w:pPr>
          </w:p>
        </w:tc>
      </w:tr>
      <w:tr>
        <w:trPr>
          <w:trHeight w:val="74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top w:val="single" w:sz="8" w:color="0000FF"/>
            </w:tcBorders>
            <w:gridSpan w:val="6"/>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3">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4</w:t>
              </w:r>
            </w:hyperlink>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Master Repurchase Agreement, by and between NBL SPV II, LLC and Deutsche Bank AG, dated March 18, 2021 (incorporated by reference to Exhibit 10.1 to Newtek’s</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706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Quarterly Report on Form 10-Q for the quarter ended September 30, 2021 (File No. 814-010305), filed November 12, 2021).</w:t>
              </w:r>
            </w:hyperlink>
          </w:p>
        </w:tc>
        <w:tc>
          <w:tcPr>
            <w:tcW w:w="25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4">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5</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Newtek Business Services Corp. 2015 Stock Incentive Plan (incorporated by reference to Exhibit 4.4 to Newtek’s Registration Statement on Form S-8 (File No. 333-212679),</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4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filed July 26, 2016).</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5">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6</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Restricted Stock Award Agreement - 2015 Stock Incentive Plan (incorporated by reference to Exhibit 10.19 to Newtek’s Annual Report on Form 10-K for the year</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4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ended December 31, 2023 (File No. 001-36742), filed April 1, 2024).</w:t>
              </w:r>
            </w:hyperlink>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8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gridSpan w:val="2"/>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6">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7</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NewtekOne 2023 Stock Incentive Plan (incorporated by reference to Exhibit 10.1 to Newtek’s Quarterly Report on Form 10-Q for the quarter ended June 30, 2023 (File No.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001-36742), filed August 7, 2023).</w:t>
              </w:r>
            </w:hyperlink>
          </w:p>
        </w:tc>
        <w:tc>
          <w:tcPr>
            <w:tcW w:w="778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7">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8</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Restricted Stock Award Agreement - 2023 Stock Incentive Plan (incorporated by reference to Exhibit 10.3 to Newtek’s Quarterly Report on Form 10-Q for the quarter</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ended September 30, 2023 (File No. 001-36742), filed November 9, 2023).</w:t>
              </w:r>
            </w:hyperlink>
          </w:p>
        </w:tc>
        <w:tc>
          <w:tcPr>
            <w:tcW w:w="5660" w:type="dxa"/>
            <w:vAlign w:val="bottom"/>
            <w:tcBorders>
              <w:top w:val="single" w:sz="8" w:color="0000FF"/>
            </w:tcBorders>
            <w:gridSpan w:val="18"/>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38">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9</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NewtekOne 2023 Employee Stock Purchase Plan (incorporated by reference to Exhibit 10.2 to Newtek’s Quarterly Report on Form 10-Q for the quarter ended June 30, 2023</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(File No. 001-36742), filed August 7, 2023).</w:t>
              </w:r>
            </w:hyperlink>
          </w:p>
        </w:tc>
        <w:tc>
          <w:tcPr>
            <w:tcW w:w="8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1240" w:type="dxa"/>
            <w:vAlign w:val="bottom"/>
            <w:gridSpan w:val="4"/>
          </w:tcPr>
          <w:p>
            <w:pPr>
              <w:ind w:left="20"/>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040" w:type="dxa"/>
            <w:vAlign w:val="bottom"/>
            <w:gridSpan w:val="33"/>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Employment Agreement by and between NewtekOne, Inc., Newtek Bank N.A., and M. Scott Price dated as of May 16, 2023 (incorporated by reference to Exhibit 10.1 to</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Newtek’s Quarterly Report on Form 10-Q for the quarter ended September 30, 2023 (File No. 001-36742), filed November 9, 2023).</w:t>
              </w:r>
            </w:hyperlink>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hyperlink r:id="rId140">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11</w:t>
              </w:r>
            </w:hyperlink>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Amendment to Employment Agreement by and between NewtekOne, Inc., Newtek Bank N.A., and M. Scott Price dated as of July 1, 2023 (incorporated by reference to Exhibit</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794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Newtek’s Quarterly Report on Form 10-Q for the quarter ended September 30, 2023 (File No. 001-36742), filed November 9, 2023).</w:t>
              </w:r>
            </w:hyperlink>
          </w:p>
        </w:tc>
        <w:tc>
          <w:tcPr>
            <w:tcW w:w="2040" w:type="dxa"/>
            <w:vAlign w:val="bottom"/>
            <w:tcBorders>
              <w:top w:val="single" w:sz="8" w:color="0000FF"/>
            </w:tcBorders>
            <w:gridSpan w:val="16"/>
          </w:tcPr>
          <w:p>
            <w:pPr>
              <w:spacing w:after="0"/>
              <w:rPr>
                <w:sz w:val="10"/>
                <w:szCs w:val="10"/>
                <w:color w:val="auto"/>
              </w:rPr>
            </w:pPr>
          </w:p>
        </w:tc>
        <w:tc>
          <w:tcPr>
            <w:tcW w:w="60" w:type="dxa"/>
            <w:vAlign w:val="bottom"/>
          </w:tcPr>
          <w:p>
            <w:pPr>
              <w:spacing w:after="0"/>
              <w:rPr>
                <w:sz w:val="10"/>
                <w:szCs w:val="10"/>
                <w:color w:val="auto"/>
              </w:rPr>
            </w:pPr>
          </w:p>
        </w:tc>
      </w:tr>
      <w:tr>
        <w:trPr>
          <w:trHeight w:val="233"/>
        </w:trPr>
        <w:tc>
          <w:tcPr>
            <w:tcW w:w="1240" w:type="dxa"/>
            <w:vAlign w:val="bottom"/>
            <w:gridSpan w:val="4"/>
          </w:tcPr>
          <w:p>
            <w:pPr>
              <w:ind w:left="20"/>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040" w:type="dxa"/>
            <w:vAlign w:val="bottom"/>
            <w:gridSpan w:val="33"/>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Change in Control Agreement (incorporated by reference to Exhibit 10.25 to Newtek’s Annual Report on Form 10-K for the year ended December 31, 2023 (File No.</w:t>
              </w:r>
            </w:hyperlink>
          </w:p>
        </w:tc>
      </w:tr>
      <w:tr>
        <w:trPr>
          <w:trHeight w:val="98"/>
        </w:trPr>
        <w:tc>
          <w:tcPr>
            <w:tcW w:w="20" w:type="dxa"/>
            <w:vAlign w:val="bottom"/>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tcBorders>
              <w:top w:val="single" w:sz="8" w:color="0000FF"/>
            </w:tcBorders>
            <w:gridSpan w:val="5"/>
          </w:tcPr>
          <w:p>
            <w:pPr>
              <w:spacing w:after="0" w:line="98" w:lineRule="exact"/>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001-36742), filed April 1, 2024).</w:t>
              </w:r>
            </w:hyperlink>
          </w:p>
        </w:tc>
        <w:tc>
          <w:tcPr>
            <w:tcW w:w="280" w:type="dxa"/>
            <w:vAlign w:val="bottom"/>
            <w:tcBorders>
              <w:top w:val="single" w:sz="8" w:color="0000FF"/>
            </w:tcBorders>
          </w:tcPr>
          <w:p>
            <w:pPr>
              <w:spacing w:after="0"/>
              <w:rPr>
                <w:sz w:val="8"/>
                <w:szCs w:val="8"/>
                <w:color w:val="auto"/>
              </w:rPr>
            </w:pPr>
          </w:p>
        </w:tc>
        <w:tc>
          <w:tcPr>
            <w:tcW w:w="6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8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0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13"/>
        </w:trPr>
        <w:tc>
          <w:tcPr>
            <w:tcW w:w="340" w:type="dxa"/>
            <w:vAlign w:val="bottom"/>
            <w:gridSpan w:val="3"/>
          </w:tcPr>
          <w:p>
            <w:pPr>
              <w:ind w:left="20"/>
              <w:spacing w:after="0"/>
              <w:rPr>
                <w:rFonts w:ascii="Times New Roman" w:cs="Times New Roman" w:eastAsia="Times New Roman" w:hAnsi="Times New Roman"/>
                <w:sz w:val="14"/>
                <w:szCs w:val="14"/>
                <w:color w:val="0000FF"/>
                <w:w w:val="95"/>
              </w:rPr>
            </w:pPr>
            <w:r>
              <w:rPr>
                <w:rFonts w:ascii="Times New Roman" w:cs="Times New Roman" w:eastAsia="Times New Roman" w:hAnsi="Times New Roman"/>
                <w:sz w:val="14"/>
                <w:szCs w:val="14"/>
                <w:color w:val="0000FF"/>
                <w:w w:val="95"/>
              </w:rPr>
              <w:t>10.</w:t>
            </w:r>
            <w:hyperlink r:id="rId142">
              <w:r>
                <w:rPr>
                  <w:rFonts w:ascii="Times New Roman" w:cs="Times New Roman" w:eastAsia="Times New Roman" w:hAnsi="Times New Roman"/>
                  <w:sz w:val="14"/>
                  <w:szCs w:val="14"/>
                  <w:u w:val="single" w:color="auto"/>
                  <w:color w:val="0000FF"/>
                  <w:w w:val="95"/>
                </w:rPr>
                <w:t>13</w:t>
              </w:r>
            </w:hyperlink>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 xml:space="preserve">Amendment to Employment Agreement by and between NewtekOne, Inc. and Barry </w:t>
              </w:r>
            </w:hyperlink>
            <w:r>
              <w:rPr>
                <w:rFonts w:ascii="Times New Roman" w:cs="Times New Roman" w:eastAsia="Times New Roman" w:hAnsi="Times New Roman"/>
                <w:sz w:val="14"/>
                <w:szCs w:val="14"/>
                <w:color w:val="0000FF"/>
              </w:rPr>
              <w:t xml:space="preserve">Sloane </w:t>
            </w:r>
            <w:hyperlink r:id="rId142">
              <w:r>
                <w:rPr>
                  <w:rFonts w:ascii="Times New Roman" w:cs="Times New Roman" w:eastAsia="Times New Roman" w:hAnsi="Times New Roman"/>
                  <w:sz w:val="14"/>
                  <w:szCs w:val="14"/>
                  <w:color w:val="0000FF"/>
                </w:rPr>
                <w:t xml:space="preserve">dated as of January </w:t>
              </w:r>
            </w:hyperlink>
            <w:r>
              <w:rPr>
                <w:rFonts w:ascii="Times New Roman" w:cs="Times New Roman" w:eastAsia="Times New Roman" w:hAnsi="Times New Roman"/>
                <w:sz w:val="14"/>
                <w:szCs w:val="14"/>
                <w:color w:val="0000FF"/>
              </w:rPr>
              <w:t xml:space="preserve">1, 2025 </w:t>
            </w:r>
            <w:hyperlink r:id="rId142">
              <w:r>
                <w:rPr>
                  <w:rFonts w:ascii="Times New Roman" w:cs="Times New Roman" w:eastAsia="Times New Roman" w:hAnsi="Times New Roman"/>
                  <w:sz w:val="14"/>
                  <w:szCs w:val="14"/>
                  <w:color w:val="0000FF"/>
                </w:rPr>
                <w:t>(incorporated by reference to Item 5.02 to Newtek’s</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2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Current Report on Form 8-K (File No. 001-36742), filed January 3, 2025).</w:t>
              </w:r>
            </w:hyperlink>
          </w:p>
        </w:tc>
        <w:tc>
          <w:tcPr>
            <w:tcW w:w="5560" w:type="dxa"/>
            <w:vAlign w:val="bottom"/>
            <w:tcBorders>
              <w:top w:val="single" w:sz="8" w:color="0000FF"/>
            </w:tcBorders>
            <w:gridSpan w:val="15"/>
          </w:tcPr>
          <w:p>
            <w:pPr>
              <w:spacing w:after="0"/>
              <w:rPr>
                <w:sz w:val="10"/>
                <w:szCs w:val="10"/>
                <w:color w:val="auto"/>
              </w:rPr>
            </w:pPr>
          </w:p>
        </w:tc>
        <w:tc>
          <w:tcPr>
            <w:tcW w:w="260" w:type="dxa"/>
            <w:vAlign w:val="bottom"/>
            <w:gridSpan w:val="6"/>
          </w:tcPr>
          <w:p>
            <w:pPr>
              <w:spacing w:after="0"/>
              <w:rPr>
                <w:sz w:val="10"/>
                <w:szCs w:val="10"/>
                <w:color w:val="auto"/>
              </w:rPr>
            </w:pPr>
          </w:p>
        </w:tc>
      </w:tr>
      <w:tr>
        <w:trPr>
          <w:trHeight w:val="21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3">
              <w:r>
                <w:rPr>
                  <w:rFonts w:ascii="Times New Roman" w:cs="Times New Roman" w:eastAsia="Times New Roman" w:hAnsi="Times New Roman"/>
                  <w:sz w:val="14"/>
                  <w:szCs w:val="14"/>
                  <w:color w:val="0000FF"/>
                  <w:w w:val="89"/>
                </w:rPr>
                <w:t>14.</w:t>
              </w:r>
              <w:r>
                <w:rPr>
                  <w:rFonts w:ascii="Times New Roman" w:cs="Times New Roman" w:eastAsia="Times New Roman" w:hAnsi="Times New Roman"/>
                  <w:sz w:val="14"/>
                  <w:szCs w:val="14"/>
                  <w:u w:val="single" w:color="auto"/>
                  <w:color w:val="0000FF"/>
                  <w:w w:val="89"/>
                </w:rPr>
                <w:t>1</w:t>
              </w:r>
            </w:hyperlink>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Code of Ethics (Previously filed in connection with Pre-Effective Amendment No. 3 to the Registrant’s Registration Statement on Form N-2 (File No. 333-191499) filed on</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November 3, 2014, and incorporated by reference herein).</w:t>
              </w:r>
            </w:hyperlink>
          </w:p>
        </w:tc>
        <w:tc>
          <w:tcPr>
            <w:tcW w:w="300" w:type="dxa"/>
            <w:vAlign w:val="bottom"/>
            <w:gridSpan w:val="8"/>
          </w:tcPr>
          <w:p>
            <w:pPr>
              <w:spacing w:after="0"/>
              <w:rPr>
                <w:sz w:val="10"/>
                <w:szCs w:val="10"/>
                <w:color w:val="auto"/>
              </w:rPr>
            </w:pPr>
          </w:p>
        </w:tc>
      </w:tr>
      <w:tr>
        <w:trPr>
          <w:trHeight w:val="21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19.</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NewtekOne, Inc. Statement of Policy on Insider Trading</w:t>
            </w:r>
          </w:p>
        </w:tc>
        <w:tc>
          <w:tcPr>
            <w:tcW w:w="6760" w:type="dxa"/>
            <w:vAlign w:val="bottom"/>
            <w:gridSpan w:val="24"/>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Subsidiaries of the Registrant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23.</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required by Rule 13a-14 under the Securities Exchange Act of 1934, as amended, furnished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20" w:type="dxa"/>
            <w:vAlign w:val="bottom"/>
            <w:gridSpan w:val="1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required by Rule 13a-14 under the Securities Exchange Act of 1934, as amended, furnished herewith.</w:t>
            </w: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20" w:type="dxa"/>
            <w:vAlign w:val="bottom"/>
            <w:gridSpan w:val="1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by Principal Accounting Officer required by Rule 13a-14 under the Securities Exchange Act of 1934, as amended, furnished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760" w:type="dxa"/>
            <w:vAlign w:val="bottom"/>
            <w:gridSpan w:val="15"/>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pursuant to 18 U.S.C. Section 1350, as adopted pursuant to Section 906 of the Sarbanes-Oxley Act of 2002 filed herewith.</w:t>
            </w: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800" w:type="dxa"/>
            <w:vAlign w:val="bottom"/>
            <w:gridSpan w:val="1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800" w:type="dxa"/>
            <w:vAlign w:val="bottom"/>
            <w:gridSpan w:val="1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by Principal Accounting Officer pursuant to 18 U.S.C. Section 1350, as adopted pursuant to Section 906 of the Sarbanes-Oxley Act of 2002 filed herewith.</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920" w:type="dxa"/>
            <w:vAlign w:val="bottom"/>
            <w:gridSpan w:val="1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r>
      <w:tr>
        <w:trPr>
          <w:trHeight w:val="203"/>
        </w:trPr>
        <w:tc>
          <w:tcPr>
            <w:tcW w:w="260" w:type="dxa"/>
            <w:vAlign w:val="bottom"/>
            <w:gridSpan w:val="2"/>
          </w:tcPr>
          <w:p>
            <w:pPr>
              <w:ind w:left="20"/>
              <w:spacing w:after="0"/>
              <w:rPr>
                <w:rFonts w:ascii="Times New Roman" w:cs="Times New Roman" w:eastAsia="Times New Roman" w:hAnsi="Times New Roman"/>
                <w:sz w:val="14"/>
                <w:szCs w:val="14"/>
                <w:color w:val="0000FF"/>
                <w:w w:val="89"/>
              </w:rPr>
            </w:pPr>
            <w:hyperlink r:id="rId144">
              <w:r>
                <w:rPr>
                  <w:rFonts w:ascii="Times New Roman" w:cs="Times New Roman" w:eastAsia="Times New Roman" w:hAnsi="Times New Roman"/>
                  <w:sz w:val="14"/>
                  <w:szCs w:val="14"/>
                  <w:color w:val="0000FF"/>
                  <w:w w:val="89"/>
                </w:rPr>
                <w:t>97.</w:t>
              </w:r>
              <w:r>
                <w:rPr>
                  <w:rFonts w:ascii="Times New Roman" w:cs="Times New Roman" w:eastAsia="Times New Roman" w:hAnsi="Times New Roman"/>
                  <w:sz w:val="14"/>
                  <w:szCs w:val="14"/>
                  <w:u w:val="single" w:color="auto"/>
                  <w:color w:val="0000FF"/>
                  <w:w w:val="89"/>
                </w:rPr>
                <w:t>1</w:t>
              </w:r>
            </w:hyperlink>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40" w:type="dxa"/>
            <w:vAlign w:val="bottom"/>
            <w:gridSpan w:val="33"/>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NewtekOne Clawback Policy (incorporated by reference to Exhibit 97.1 to Newtek’s Annual Report on Form 10-K for the year ended December 31, 2023 (File No. 001-</w:t>
              </w:r>
            </w:hyperlink>
          </w:p>
        </w:tc>
      </w:tr>
      <w:tr>
        <w:trPr>
          <w:trHeight w:val="118"/>
        </w:trPr>
        <w:tc>
          <w:tcPr>
            <w:tcW w:w="20" w:type="dxa"/>
            <w:vAlign w:val="bottom"/>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4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36742)</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 xml:space="preserve"> filed April 1, 2024).</w:t>
              </w:r>
            </w:hyperlink>
          </w:p>
        </w:tc>
        <w:tc>
          <w:tcPr>
            <w:tcW w:w="480" w:type="dxa"/>
            <w:vAlign w:val="bottom"/>
            <w:gridSpan w:val="12"/>
          </w:tcPr>
          <w:p>
            <w:pPr>
              <w:spacing w:after="0"/>
              <w:rPr>
                <w:sz w:val="10"/>
                <w:szCs w:val="10"/>
                <w:color w:val="auto"/>
              </w:rPr>
            </w:pPr>
          </w:p>
        </w:tc>
      </w:tr>
      <w:tr>
        <w:trPr>
          <w:trHeight w:val="70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Borders>
              <w:top w:val="single" w:sz="8" w:color="0000FF"/>
            </w:tcBorders>
            <w:gridSpan w:val="2"/>
          </w:tcPr>
          <w:p>
            <w:pPr>
              <w:spacing w:after="0"/>
              <w:rPr>
                <w:sz w:val="24"/>
                <w:szCs w:val="24"/>
                <w:color w:val="auto"/>
              </w:rPr>
            </w:pPr>
          </w:p>
        </w:tc>
        <w:tc>
          <w:tcPr>
            <w:tcW w:w="5480" w:type="dxa"/>
            <w:vAlign w:val="bottom"/>
            <w:gridSpan w:val="11"/>
          </w:tcPr>
          <w:p>
            <w:pPr>
              <w:jc w:val="right"/>
              <w:ind w:right="2560"/>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860" w:val="left"/>
          <w:tab w:leader="none" w:pos="816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M. S</w:t>
      </w:r>
      <w:r>
        <w:rPr>
          <w:rFonts w:ascii="Times New Roman" w:cs="Times New Roman" w:eastAsia="Times New Roman" w:hAnsi="Times New Roman"/>
          <w:sz w:val="11"/>
          <w:szCs w:val="11"/>
          <w:color w:val="auto"/>
        </w:rPr>
        <w:t>COTT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2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1"/>
          <w:szCs w:val="11"/>
          <w:b w:val="1"/>
          <w:bCs w:val="1"/>
          <w:color w:val="auto"/>
        </w:rPr>
        <w:t>Chief Financial Officer</w:t>
      </w:r>
    </w:p>
    <w:p>
      <w:pPr>
        <w:ind w:left="79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pacing w:after="0" w:line="66" w:lineRule="exact"/>
        <w:rPr>
          <w:sz w:val="20"/>
          <w:szCs w:val="20"/>
          <w:color w:val="auto"/>
        </w:rPr>
      </w:pPr>
    </w:p>
    <w:p>
      <w:pPr>
        <w:ind w:left="20"/>
        <w:spacing w:after="0"/>
        <w:tabs>
          <w:tab w:leader="none" w:pos="5500" w:val="left"/>
          <w:tab w:leader="none" w:pos="7840" w:val="left"/>
          <w:tab w:leader="none" w:pos="812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Frank DeMaria</w:t>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1"/>
          <w:szCs w:val="11"/>
          <w:b w:val="1"/>
          <w:bCs w:val="1"/>
          <w:color w:val="auto"/>
        </w:rPr>
        <w:t>Chief Accounting Officer</w:t>
      </w:r>
    </w:p>
    <w:p>
      <w:pPr>
        <w:ind w:left="7860"/>
        <w:spacing w:after="0"/>
        <w:rPr>
          <w:sz w:val="20"/>
          <w:szCs w:val="20"/>
          <w:color w:val="auto"/>
        </w:rPr>
      </w:pPr>
      <w:r>
        <w:rPr>
          <w:rFonts w:ascii="Times New Roman" w:cs="Times New Roman" w:eastAsia="Times New Roman" w:hAnsi="Times New Roman"/>
          <w:sz w:val="11"/>
          <w:szCs w:val="11"/>
          <w:b w:val="1"/>
          <w:bCs w:val="1"/>
          <w:color w:val="auto"/>
        </w:rPr>
        <w:t>(Principal Accounting Officer)</w:t>
      </w:r>
    </w:p>
    <w:p>
      <w:pPr>
        <w:sectPr>
          <w:pgSz w:w="11900" w:h="16838" w:orient="portrait"/>
          <w:cols w:equalWidth="0" w:num="1">
            <w:col w:w="10980"/>
          </w:cols>
          <w:pgMar w:left="300" w:top="1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Exchange Act, this report has been signed below by the following persons on behalf of the registrant and in the capacities and on the dates indicated.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760" w:type="dxa"/>
            <w:vAlign w:val="bottom"/>
          </w:tcPr>
          <w:p>
            <w:pPr>
              <w:spacing w:after="0"/>
              <w:rPr>
                <w:sz w:val="11"/>
                <w:szCs w:val="11"/>
                <w:color w:val="auto"/>
              </w:rPr>
            </w:pPr>
          </w:p>
        </w:tc>
        <w:tc>
          <w:tcPr>
            <w:tcW w:w="5340" w:type="dxa"/>
            <w:vAlign w:val="bottom"/>
            <w:gridSpan w:val="3"/>
          </w:tcPr>
          <w:p>
            <w:pPr>
              <w:jc w:val="center"/>
              <w:ind w:left="9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p>
        </w:tc>
        <w:tc>
          <w:tcPr>
            <w:tcW w:w="240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tc>
        <w:tc>
          <w:tcPr>
            <w:tcW w:w="534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4"/>
                <w:szCs w:val="14"/>
                <w:color w:val="auto"/>
              </w:rPr>
              <w:t>Chairman of the Board, President and Chief Executive Officer (Principal Executive Officer)</w:t>
            </w: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Barry Sloane</w:t>
            </w:r>
          </w:p>
        </w:tc>
        <w:tc>
          <w:tcPr>
            <w:tcW w:w="5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p>
        </w:tc>
        <w:tc>
          <w:tcPr>
            <w:tcW w:w="2400" w:type="dxa"/>
            <w:vAlign w:val="bottom"/>
            <w:tcBorders>
              <w:bottom w:val="single" w:sz="8" w:color="auto"/>
            </w:tcBorders>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M. S</w:t>
            </w:r>
            <w:r>
              <w:rPr>
                <w:rFonts w:ascii="Times New Roman" w:cs="Times New Roman" w:eastAsia="Times New Roman" w:hAnsi="Times New Roman"/>
                <w:sz w:val="11"/>
                <w:szCs w:val="11"/>
                <w:color w:val="auto"/>
              </w:rPr>
              <w:t>COTT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RICE</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M. Scott Price</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r>
          </w:p>
        </w:tc>
        <w:tc>
          <w:tcPr>
            <w:tcW w:w="2400" w:type="dxa"/>
            <w:vAlign w:val="bottom"/>
            <w:tcBorders>
              <w:bottom w:val="single" w:sz="8" w:color="auto"/>
            </w:tcBorders>
            <w:gridSpan w:val="3"/>
          </w:tcPr>
          <w:p>
            <w:pPr>
              <w:jc w:val="center"/>
              <w:ind w:right="13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Chief Accounting Officer</w:t>
            </w: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Frank DeMaria</w:t>
            </w:r>
          </w:p>
        </w:tc>
        <w:tc>
          <w:tcPr>
            <w:tcW w:w="5340" w:type="dxa"/>
            <w:vAlign w:val="bottom"/>
            <w:gridSpan w:val="3"/>
          </w:tcPr>
          <w:p>
            <w:pPr>
              <w:jc w:val="center"/>
              <w:ind w:left="9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0" w:type="dxa"/>
            <w:vAlign w:val="bottom"/>
          </w:tcPr>
          <w:p>
            <w:pPr>
              <w:spacing w:after="0"/>
              <w:rPr>
                <w:sz w:val="1"/>
                <w:szCs w:val="1"/>
                <w:color w:val="auto"/>
              </w:rPr>
            </w:pPr>
          </w:p>
        </w:tc>
      </w:tr>
      <w:tr>
        <w:trPr>
          <w:trHeight w:val="198"/>
        </w:trPr>
        <w:tc>
          <w:tcPr>
            <w:tcW w:w="1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/S/</w:t>
            </w:r>
          </w:p>
        </w:tc>
        <w:tc>
          <w:tcPr>
            <w:tcW w:w="240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1"/>
                <w:szCs w:val="11"/>
                <w:color w:val="auto"/>
              </w:rPr>
              <w:t>RICHARD SALUTE</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Richard Salute</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center"/>
              <w:ind w:right="1320"/>
              <w:spacing w:after="0"/>
              <w:rPr>
                <w:sz w:val="20"/>
                <w:szCs w:val="20"/>
                <w:color w:val="auto"/>
              </w:rPr>
            </w:pPr>
            <w:r>
              <w:rPr>
                <w:rFonts w:ascii="Times New Roman" w:cs="Times New Roman" w:eastAsia="Times New Roman" w:hAnsi="Times New Roman"/>
                <w:sz w:val="11"/>
                <w:szCs w:val="11"/>
                <w:color w:val="auto"/>
              </w:rPr>
              <w:t>/S/  SALVATORE MULIA</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Salvatore Mulia</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w w:val="97"/>
              </w:rPr>
              <w:t>/S/</w:t>
            </w:r>
          </w:p>
        </w:tc>
        <w:tc>
          <w:tcPr>
            <w:tcW w:w="240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1"/>
                <w:szCs w:val="11"/>
                <w:color w:val="auto"/>
              </w:rPr>
              <w:t>GREGORY ZINK</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Gregory Zink</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w w:val="97"/>
              </w:rPr>
              <w:t>/S/</w:t>
            </w:r>
          </w:p>
        </w:tc>
        <w:tc>
          <w:tcPr>
            <w:tcW w:w="2400" w:type="dxa"/>
            <w:vAlign w:val="bottom"/>
            <w:tcBorders>
              <w:bottom w:val="single" w:sz="8" w:color="auto"/>
            </w:tcBorders>
            <w:gridSpan w:val="3"/>
          </w:tcPr>
          <w:p>
            <w:pPr>
              <w:jc w:val="center"/>
              <w:ind w:right="1360"/>
              <w:spacing w:after="0"/>
              <w:rPr>
                <w:sz w:val="20"/>
                <w:szCs w:val="20"/>
                <w:color w:val="auto"/>
              </w:rPr>
            </w:pPr>
            <w:r>
              <w:rPr>
                <w:rFonts w:ascii="Times New Roman" w:cs="Times New Roman" w:eastAsia="Times New Roman" w:hAnsi="Times New Roman"/>
                <w:sz w:val="11"/>
                <w:szCs w:val="11"/>
                <w:color w:val="auto"/>
              </w:rPr>
              <w:t>CRAIG BRUNET</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00"/>
              <w:spacing w:after="0"/>
              <w:rPr>
                <w:sz w:val="20"/>
                <w:szCs w:val="20"/>
                <w:color w:val="auto"/>
              </w:rPr>
            </w:pPr>
            <w:r>
              <w:rPr>
                <w:rFonts w:ascii="Times New Roman" w:cs="Times New Roman" w:eastAsia="Times New Roman" w:hAnsi="Times New Roman"/>
                <w:sz w:val="11"/>
                <w:szCs w:val="11"/>
                <w:b w:val="1"/>
                <w:bCs w:val="1"/>
                <w:color w:val="auto"/>
              </w:rPr>
              <w:t>Craig Brunet</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81"/>
              </w:rPr>
              <w:t>/S/</w:t>
            </w:r>
          </w:p>
        </w:tc>
        <w:tc>
          <w:tcPr>
            <w:tcW w:w="2400" w:type="dxa"/>
            <w:vAlign w:val="bottom"/>
            <w:tcBorders>
              <w:bottom w:val="single" w:sz="8" w:color="auto"/>
            </w:tcBorders>
            <w:gridSpan w:val="3"/>
          </w:tcPr>
          <w:p>
            <w:pPr>
              <w:jc w:val="center"/>
              <w:ind w:right="1380"/>
              <w:spacing w:after="0"/>
              <w:rPr>
                <w:sz w:val="20"/>
                <w:szCs w:val="20"/>
                <w:color w:val="auto"/>
              </w:rPr>
            </w:pPr>
            <w:r>
              <w:rPr>
                <w:rFonts w:ascii="Times New Roman" w:cs="Times New Roman" w:eastAsia="Times New Roman" w:hAnsi="Times New Roman"/>
                <w:sz w:val="11"/>
                <w:szCs w:val="11"/>
                <w:color w:val="auto"/>
              </w:rPr>
              <w:t>PETER DOWNS</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3"/>
          </w:tcPr>
          <w:p>
            <w:pPr>
              <w:jc w:val="center"/>
              <w:ind w:right="1620"/>
              <w:spacing w:after="0"/>
              <w:rPr>
                <w:sz w:val="20"/>
                <w:szCs w:val="20"/>
                <w:color w:val="auto"/>
              </w:rPr>
            </w:pPr>
            <w:r>
              <w:rPr>
                <w:rFonts w:ascii="Times New Roman" w:cs="Times New Roman" w:eastAsia="Times New Roman" w:hAnsi="Times New Roman"/>
                <w:sz w:val="11"/>
                <w:szCs w:val="11"/>
                <w:b w:val="1"/>
                <w:bCs w:val="1"/>
                <w:color w:val="auto"/>
              </w:rPr>
              <w:t>Peter Downs</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color w:val="auto"/>
              </w:rPr>
              <w:t>/S/</w:t>
            </w:r>
          </w:p>
        </w:tc>
        <w:tc>
          <w:tcPr>
            <w:tcW w:w="268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1"/>
                <w:szCs w:val="11"/>
                <w:color w:val="auto"/>
              </w:rPr>
              <w:t>FERNANDO PEREZ-HICKMAN</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680" w:type="dxa"/>
            <w:vAlign w:val="bottom"/>
            <w:gridSpan w:val="4"/>
          </w:tcPr>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Fernando Perez-Hickman</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1"/>
                <w:szCs w:val="11"/>
                <w:color w:val="auto"/>
                <w:w w:val="81"/>
              </w:rPr>
              <w:t>/S/</w:t>
            </w:r>
          </w:p>
        </w:tc>
        <w:tc>
          <w:tcPr>
            <w:tcW w:w="268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1"/>
                <w:szCs w:val="11"/>
                <w:color w:val="auto"/>
              </w:rPr>
              <w:t>HALLI RAZON-FEINGOLD</w:t>
            </w:r>
          </w:p>
        </w:tc>
        <w:tc>
          <w:tcPr>
            <w:tcW w:w="5340" w:type="dxa"/>
            <w:vAlign w:val="bottom"/>
            <w:gridSpan w:val="3"/>
          </w:tcPr>
          <w:p>
            <w:pPr>
              <w:jc w:val="center"/>
              <w:ind w:left="7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2680" w:type="dxa"/>
            <w:vAlign w:val="bottom"/>
            <w:gridSpan w:val="4"/>
          </w:tcPr>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Halli Razon-Feingold</w:t>
            </w: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1"/>
          <w:szCs w:val="11"/>
          <w:b w:val="1"/>
          <w:bCs w:val="1"/>
          <w:u w:val="single" w:color="auto"/>
          <w:color w:val="auto"/>
        </w:rPr>
        <w:t>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97" w:lineRule="exact"/>
        <w:rPr>
          <w:sz w:val="20"/>
          <w:szCs w:val="20"/>
          <w:color w:val="auto"/>
        </w:rPr>
      </w:pPr>
    </w:p>
    <w:p>
      <w:pPr>
        <w:sectPr>
          <w:pgSz w:w="11900" w:h="16838" w:orient="portrait"/>
          <w:cols w:equalWidth="0" w:num="2">
            <w:col w:w="9740" w:space="200"/>
            <w:col w:w="1040"/>
          </w:cols>
          <w:pgMar w:left="300" w:top="127" w:right="61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7" w:right="6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63"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6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(PCAOB ID</w:t>
      </w:r>
      <w:r>
        <w:rPr>
          <w:rFonts w:ascii="Times New Roman" w:cs="Times New Roman" w:eastAsia="Times New Roman" w:hAnsi="Times New Roman"/>
          <w:sz w:val="14"/>
          <w:szCs w:val="14"/>
          <w:u w:val="single" w:color="auto"/>
          <w:color w:val="0E32E1"/>
        </w:rPr>
        <w:t>: 49)</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on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Financial Condition as of December 31, 2024 and 2023</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Income for the years ended December 31, 2024, 2023 and 2022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Comprehensive Income for the years ended December 31, 2024, 2023 and 2022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Changes in Changes in Shareholders’ Equity for the years ended December 31, 2024, 2023 and 2022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 for the years ended December 31, 2024, 2023 and 2022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u w:val="single" w:color="auto"/>
          <w:color w:val="auto"/>
        </w:rPr>
        <w:t>PAGE NO.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E32E1"/>
        </w:rPr>
        <w:t>F-2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E32E1"/>
        </w:rPr>
        <w:t>F-101</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F-5</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F-6</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F-7</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0E32E1"/>
        </w:rPr>
        <w:t>F-8</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0E32E1"/>
        </w:rPr>
        <w:t>F-11</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0E32E1"/>
        </w:rPr>
        <w:t>F-14</w:t>
      </w:r>
    </w:p>
    <w:p>
      <w:pPr>
        <w:sectPr>
          <w:pgSz w:w="11900" w:h="16838" w:orient="portrait"/>
          <w:cols w:equalWidth="0" w:num="2">
            <w:col w:w="9580" w:space="720"/>
            <w:col w:w="540"/>
          </w:cols>
          <w:pgMar w:left="300" w:top="127" w:right="7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NewtekOne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financial condition of NewtekOne Inc. and its subsidiaries (the Company) as of December 31, 2024 and 2023, the related consolidated statements of income, comprehensive income, shareholders' equity and cash flows for each of the three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9"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 and our report dated March 17, 2025, expressed an unqualified opinion on the effectiveness of the Company's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6"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held for sale and loans held for investment, measured at fair value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Accrual and Non-accrual loans</w:t>
      </w:r>
    </w:p>
    <w:p>
      <w:pPr>
        <w:spacing w:after="0" w:line="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As described in Notes 2, 5, and 10 to the consolidated financial statements, the Company has loans held for sale and loans held for investment, which are measured at fair value using unobservable inputs and assumptions, and as such the Company’s loans held for sale and loans held for investment, which are measured at fair value as of December 31, 2024 are classified as level 3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 As of December 31, 2024, total Level 3 loans held for sale and loans held for investment, which are measured at fair value had a fair value of $372.3 and $369.7 million, respectively.</w:t>
      </w:r>
    </w:p>
    <w:p>
      <w:pPr>
        <w:spacing w:after="0" w:line="168"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4"/>
          <w:szCs w:val="14"/>
          <w:color w:val="auto"/>
        </w:rPr>
        <w:t>We identified the valuation of level 3 loans held for sale and loans held for investment, which are measured at fair value as a critical audit matter because of the judgments necessary for management to select and apply valuation techniques and assumptions, the high degree of auditor judgment involved, and the extensive audit effort involved in testing the valuations. Our audit procedures related to the valuation of the Company’s level 3 loans held for sale and loans held for investment, which are measured at fair value included the following, among others:</w:t>
      </w:r>
    </w:p>
    <w:p>
      <w:pPr>
        <w:spacing w:after="0" w:line="163" w:lineRule="exact"/>
        <w:rPr>
          <w:sz w:val="20"/>
          <w:szCs w:val="20"/>
          <w:color w:val="auto"/>
        </w:rPr>
      </w:pPr>
    </w:p>
    <w:p>
      <w:pPr>
        <w:ind w:left="520" w:right="320" w:hanging="260"/>
        <w:spacing w:after="0" w:line="271"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and evaluated the methods and assumptions management uses to value the loans held for sale and loans held for investment, which are measured at fair value - accrual and non-accrual loans.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information used in the valuations by agreeing the total amount of schedules to the trial balance.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right="20" w:hanging="260"/>
        <w:spacing w:after="0" w:line="271"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reasonableness of the methods and assumptions used by management in the valuation of accrual loans (discount rate, default rate, prepayment rate, cost of servicing, etc.) and performed a recalculation for a sample of loans to ensure validity of the valuation model.</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reasonableness of the methods and assumptions used by management in the valuation of non-accrual loans (prepayment rate, probability of default, time to liquidate and discount rate).</w:t>
      </w:r>
    </w:p>
    <w:p>
      <w:pPr>
        <w:spacing w:after="0" w:line="145" w:lineRule="exact"/>
        <w:rPr>
          <w:rFonts w:ascii="Times New Roman" w:cs="Times New Roman" w:eastAsia="Times New Roman" w:hAnsi="Times New Roman"/>
          <w:sz w:val="14"/>
          <w:szCs w:val="14"/>
          <w:color w:val="auto"/>
        </w:rPr>
      </w:pPr>
    </w:p>
    <w:p>
      <w:pPr>
        <w:ind w:left="520" w:right="220" w:hanging="260"/>
        <w:spacing w:after="0" w:line="254"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management’s estimates to evaluate the reasonableness of the fair market value of collateral used by management in the valuation of non-accrual loans for a sample of loans, by validating the source of information used by management with the relevant internal or external information from which it was derived. Additionally, we recalculated the present value of expected cashflows and compared it with the value of loans determined by management.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 at fair value</w:t>
      </w:r>
    </w:p>
    <w:p>
      <w:pPr>
        <w:spacing w:after="0" w:line="1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As described in Notes 2, 7 and 10 to the consolidated financial statements, servicing assets for loans originated by the Company’s nonbank subsidiaries are measured at fair value at each reporting date and the Company reports changes in the fair value of servicing assets in earnings in the period in which the changes occur. The Company’s servicing assets, at fair value are measured at fair value using unobservable inputs and assumptions. As such the Company’s servicing assets for the nonbank subsidiaries as of December 31, 2024, is classified as Level 3 within the fair value hierarchy as described in Note 10. Determining the fair value of the Level 3 servicing assets, at fair value requires management to make significant judgments about the valuation methodologies and inputs and assumptions used in the fair value calculation, including, but not limited to, discount rate, servicing costs, default rate, prepayment rate, and the impact of economic conditions. As of December 31, 2024, total Level 3 servicing assets recorded at fair value had a balance of $22.1 million.</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identified the valuation of servicing assets, at fair value as a critical audit matter because of the judgments necessary for management to select and apply valuation techniques and assumptions, the high degree of auditor judgment involved, and the extensive audit effort involved in testing the valuations. Our audit procedures related to the valuation of the servicing assets included the following, among others:</w:t>
      </w:r>
    </w:p>
    <w:p>
      <w:pPr>
        <w:spacing w:after="0" w:line="157" w:lineRule="exact"/>
        <w:rPr>
          <w:sz w:val="20"/>
          <w:szCs w:val="20"/>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and evaluated the methods and assumptions management uses to value the servicing assets, at fair value.</w:t>
      </w:r>
    </w:p>
    <w:p>
      <w:pPr>
        <w:spacing w:after="0" w:line="189"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information used in the valuations by agreeing the total principal balance, interest rate, interest type, and maturity date of the loans sold in the schedules to the loan subledger.</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valuation specialists, developed an independent estimate of fair value for servicing assets or tested management’s fair value estimates as of December 31, 2024.</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reviewed the significant assumptions (e.g. discount rate, prepayment rate, default rate and servicing cost) used by externally engaged and internal valuation specialist for reasonableness.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on loans</w:t>
      </w:r>
    </w:p>
    <w:p>
      <w:pPr>
        <w:spacing w:after="0" w:line="16"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4"/>
          <w:szCs w:val="14"/>
          <w:color w:val="auto"/>
        </w:rPr>
        <w:t>As described in Notes 2 and 5 to the consolidated financial statements, the allowance for credit losses on loans is established through a provision for credit losses and represents an amount which, in management’s judgment, will be adequate to absorb losses on existing loans. The Company’s consolidated allowance for credit losses on loan balances was $30.2 million at December 31, 2024. The allowance for credit losses on loans is comprised of reserves measured on a collective (pool) basis based on a lifetime loss-rate model when similar risk characteristics exist. Loans that do not share risk characteristics are evaluated on an individual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Company uses the discounted cash flow method to estimate expected credit losses for all loan portfolio segments measured on a pool basis wherein payment expectations are adjusted for estimated prepayment speeds, probability of default (PD), and loss given default (LGD). The Company uses regression analysis of historical internal and peer data to determine suitable loss drivers to utilize when modeling lifetime PD. This analysis also determines how expected PD and LGD will react to forecasted levels of the loss drivers. Management utilizes various economic indicators such as changes in unemployment rates, gross domestic product (GDP), and other relevant factors as loss drivers and has determined that, due to historical volatility in economic data, four quarters currently represents a reasonable and supportable forecast period, followed by a four-period reversion to historical mean levels for each of the various economic indicators. 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(v) and other external factors, that may include, but are not limited to, results of internal loan reviews, stress testing, examinations by bank regulatory agencies, or other events such as a natural disaster. The development of the loan loss allocation for pools of loans with similar risk characteristics requires a significant amount of judgment by management and the assumptions utilized are subject to changing economic conditions.</w:t>
      </w:r>
    </w:p>
    <w:p>
      <w:pPr>
        <w:spacing w:after="0" w:line="17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We identified the Company’s allowance for credit losses on loans as a critical audit matter, specifically the economic forecasts and qualitative factors, because they involved complex auditor judgment in the evaluation of the Company’s assumptions. Additionally, complex auditor judgment was required to examine the methodology that underpins the allowance for credit losses on pools of loans with similar risk characteristics. This includes modeling of PD, LGD, economic forecasts, and qualitative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this critical audit matter included the following, among others:</w:t>
      </w:r>
    </w:p>
    <w:p>
      <w:pPr>
        <w:spacing w:after="0" w:line="14" w:lineRule="exact"/>
        <w:rPr>
          <w:sz w:val="20"/>
          <w:szCs w:val="20"/>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data used by management in determining inputs to the PD and LGD by agreeing those inputs to internal or external information sources.</w:t>
      </w:r>
    </w:p>
    <w:p>
      <w:pPr>
        <w:spacing w:after="0" w:line="17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judgments used in the identification of peer banks for PD and LGD calculations by comparing peer banks to external information sources.</w:t>
      </w:r>
    </w:p>
    <w:p>
      <w:pPr>
        <w:spacing w:after="0" w:line="189"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forecasts of future economic indicators for reasonableness, which included unemployment, housing price index, and national GDP growth, among others, by comparing these forecasts to external and internal information sources.</w:t>
      </w:r>
    </w:p>
    <w:p>
      <w:pPr>
        <w:spacing w:after="0" w:line="145" w:lineRule="exact"/>
        <w:rPr>
          <w:rFonts w:ascii="Times New Roman" w:cs="Times New Roman" w:eastAsia="Times New Roman" w:hAnsi="Times New Roman"/>
          <w:sz w:val="14"/>
          <w:szCs w:val="14"/>
          <w:color w:val="auto"/>
        </w:rPr>
      </w:pPr>
    </w:p>
    <w:p>
      <w:pPr>
        <w:ind w:left="520" w:right="60" w:hanging="260"/>
        <w:spacing w:after="0" w:line="255"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judgments and assumptions used in the development of the qualitative factors for reasonableness and tested the reliability of the underlying data on which these factors are based, by comparing information to source documents and external information 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Connecticut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738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and other non-control investments, at fair value (cost of $44,039 and $38,660), respectively</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asset, net</w:t>
            </w:r>
          </w:p>
        </w:tc>
        <w:tc>
          <w:tcPr>
            <w:tcW w:w="26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assets, at LCM</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Assets held for sale</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4"/>
                <w:szCs w:val="14"/>
                <w:color w:val="auto"/>
              </w:rPr>
            </w:pPr>
          </w:p>
        </w:tc>
        <w:tc>
          <w:tcPr>
            <w:tcW w:w="7380" w:type="dxa"/>
            <w:vAlign w:val="bottom"/>
            <w:tcBorders>
              <w:bottom w:val="single" w:sz="8" w:color="CCEEFF"/>
            </w:tcBorders>
            <w:shd w:val="clear" w:color="auto" w:fill="CCEEFF"/>
          </w:tcPr>
          <w:p>
            <w:pPr>
              <w:ind w:left="420"/>
              <w:spacing w:after="0" w:line="150"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2,059,912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1,429,513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7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Noninterest-bearing</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Interest-bearing</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deposits</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Liabilities directly associated with assets held for sale</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1,763,630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Commitment and contingencies (Note 15)</w:t>
            </w: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Preferred stock (par value $0.02 per share; authorized 20 shares, 20 shares issued and outstanding)</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73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Common stock (par value $0.02 per share; authorized 199,980 shares, 26,291 and 24,680 shares issued and outstanding,</w:t>
            </w: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 net of income taxes</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2,059,912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80" w:type="dxa"/>
            <w:vAlign w:val="bottom"/>
            <w:vMerge w:val="restart"/>
          </w:tcPr>
          <w:p>
            <w:pPr>
              <w:ind w:left="5500"/>
              <w:spacing w:after="0"/>
              <w:rPr>
                <w:sz w:val="20"/>
                <w:szCs w:val="20"/>
                <w:color w:val="auto"/>
              </w:rPr>
            </w:pPr>
            <w:r>
              <w:rPr>
                <w:rFonts w:ascii="Times New Roman" w:cs="Times New Roman" w:eastAsia="Times New Roman" w:hAnsi="Times New Roman"/>
                <w:sz w:val="14"/>
                <w:szCs w:val="14"/>
                <w:color w:val="auto"/>
              </w:rPr>
              <w:t>F-5</w:t>
            </w: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380" w:type="dxa"/>
            <w:vAlign w:val="bottom"/>
          </w:tcPr>
          <w:p>
            <w:pPr>
              <w:ind w:left="386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7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right"/>
              <w:ind w:right="729"/>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jc w:val="right"/>
              <w:ind w:right="729"/>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Holding Company</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Financial Holding Company</w:t>
            </w:r>
          </w:p>
        </w:tc>
        <w:tc>
          <w:tcPr>
            <w:tcW w:w="18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 Company</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9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from affiliates</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payable related parties</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19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9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 (loss) on loans under the fair value option</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9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9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162,709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146,329</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6"/>
                <w:szCs w:val="16"/>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0" w:type="dxa"/>
            <w:vAlign w:val="bottom"/>
          </w:tcPr>
          <w:p>
            <w:pPr>
              <w:spacing w:after="0"/>
              <w:rPr>
                <w:sz w:val="12"/>
                <w:szCs w:val="12"/>
                <w:color w:val="auto"/>
              </w:rPr>
            </w:pPr>
          </w:p>
        </w:tc>
        <w:tc>
          <w:tcPr>
            <w:tcW w:w="34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color w:val="auto"/>
              </w:rPr>
              <w:t>F-6</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980" w:type="dxa"/>
            <w:vAlign w:val="bottom"/>
            <w:gridSpan w:val="5"/>
          </w:tcPr>
          <w:p>
            <w:pPr>
              <w:jc w:val="center"/>
              <w:ind w:left="22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08"/>
        </w:trPr>
        <w:tc>
          <w:tcPr>
            <w:tcW w:w="3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jc w:val="right"/>
              <w:ind w:right="76"/>
              <w:spacing w:after="0" w:line="108"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jc w:val="right"/>
              <w:ind w:right="591"/>
              <w:spacing w:after="0" w:line="108"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jc w:val="right"/>
              <w:ind w:right="493"/>
              <w:spacing w:after="0" w:line="108" w:lineRule="exact"/>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Pr>
          <w:p>
            <w:pPr>
              <w:spacing w:after="0"/>
              <w:rPr>
                <w:sz w:val="9"/>
                <w:szCs w:val="9"/>
                <w:color w:val="auto"/>
              </w:rPr>
            </w:pPr>
          </w:p>
        </w:tc>
      </w:tr>
      <w:tr>
        <w:trPr>
          <w:trHeight w:val="153"/>
        </w:trPr>
        <w:tc>
          <w:tcPr>
            <w:tcW w:w="3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Financial Holding Company</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Financial Holding Company</w:t>
            </w:r>
          </w:p>
        </w:tc>
        <w:tc>
          <w:tcPr>
            <w:tcW w:w="12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Company</w:t>
            </w:r>
          </w:p>
        </w:tc>
      </w:tr>
      <w:tr>
        <w:trPr>
          <w:trHeight w:val="175"/>
        </w:trPr>
        <w:tc>
          <w:tcPr>
            <w:tcW w:w="340" w:type="dxa"/>
            <w:vAlign w:val="bottom"/>
          </w:tcPr>
          <w:p>
            <w:pPr>
              <w:spacing w:after="0"/>
              <w:rPr>
                <w:sz w:val="15"/>
                <w:szCs w:val="15"/>
                <w:color w:val="auto"/>
              </w:rPr>
            </w:pPr>
          </w:p>
        </w:tc>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 before tax:</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340" w:type="dxa"/>
            <w:vAlign w:val="bottom"/>
          </w:tcPr>
          <w:p>
            <w:pPr>
              <w:spacing w:after="0"/>
              <w:rPr>
                <w:sz w:val="15"/>
                <w:szCs w:val="15"/>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gain (loss) on debt securities available-for-sale during the period</w:t>
            </w:r>
          </w:p>
        </w:tc>
        <w:tc>
          <w:tcPr>
            <w:tcW w:w="12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 before tax</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r>
      <w:tr>
        <w:trPr>
          <w:trHeight w:val="180"/>
        </w:trPr>
        <w:tc>
          <w:tcPr>
            <w:tcW w:w="340" w:type="dxa"/>
            <w:vAlign w:val="bottom"/>
          </w:tcPr>
          <w:p>
            <w:pPr>
              <w:spacing w:after="0"/>
              <w:rPr>
                <w:sz w:val="15"/>
                <w:szCs w:val="15"/>
                <w:color w:val="auto"/>
              </w:rPr>
            </w:pPr>
          </w:p>
        </w:tc>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71"/>
        </w:trPr>
        <w:tc>
          <w:tcPr>
            <w:tcW w:w="340" w:type="dxa"/>
            <w:vAlign w:val="bottom"/>
          </w:tcPr>
          <w:p>
            <w:pPr>
              <w:spacing w:after="0"/>
              <w:rPr>
                <w:sz w:val="14"/>
                <w:szCs w:val="14"/>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r>
      <w:tr>
        <w:trPr>
          <w:trHeight w:val="196"/>
        </w:trPr>
        <w:tc>
          <w:tcPr>
            <w:tcW w:w="340" w:type="dxa"/>
            <w:vAlign w:val="bottom"/>
          </w:tcPr>
          <w:p>
            <w:pPr>
              <w:spacing w:after="0"/>
              <w:rPr>
                <w:sz w:val="16"/>
                <w:szCs w:val="16"/>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50,980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32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7"/>
        </w:trPr>
        <w:tc>
          <w:tcPr>
            <w:tcW w:w="3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0" w:type="dxa"/>
            <w:vAlign w:val="bottom"/>
            <w:gridSpan w:val="2"/>
          </w:tcPr>
          <w:p>
            <w:pPr>
              <w:jc w:val="right"/>
              <w:ind w:right="1636"/>
              <w:spacing w:after="0"/>
              <w:rPr>
                <w:sz w:val="20"/>
                <w:szCs w:val="20"/>
                <w:color w:val="auto"/>
              </w:rPr>
            </w:pPr>
            <w:r>
              <w:rPr>
                <w:rFonts w:ascii="Times New Roman" w:cs="Times New Roman" w:eastAsia="Times New Roman" w:hAnsi="Times New Roman"/>
                <w:sz w:val="14"/>
                <w:szCs w:val="14"/>
                <w:color w:val="auto"/>
              </w:rPr>
              <w:t>F-7</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4"/>
        </w:trPr>
        <w:tc>
          <w:tcPr>
            <w:tcW w:w="340" w:type="dxa"/>
            <w:vAlign w:val="bottom"/>
          </w:tcPr>
          <w:p>
            <w:pPr>
              <w:spacing w:after="0"/>
              <w:rPr>
                <w:sz w:val="16"/>
                <w:szCs w:val="16"/>
                <w:color w:val="auto"/>
              </w:rPr>
            </w:pPr>
          </w:p>
        </w:tc>
        <w:tc>
          <w:tcPr>
            <w:tcW w:w="7100" w:type="dxa"/>
            <w:vAlign w:val="bottom"/>
            <w:gridSpan w:val="3"/>
          </w:tcPr>
          <w:p>
            <w:pPr>
              <w:ind w:left="356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87"/>
        </w:trPr>
        <w:tc>
          <w:tcPr>
            <w:tcW w:w="340" w:type="dxa"/>
            <w:vAlign w:val="bottom"/>
            <w:tcBorders>
              <w:bottom w:val="single" w:sz="8" w:color="9A9A9A"/>
            </w:tcBorders>
          </w:tcPr>
          <w:p>
            <w:pPr>
              <w:spacing w:after="0"/>
              <w:rPr>
                <w:sz w:val="7"/>
                <w:szCs w:val="7"/>
                <w:color w:val="auto"/>
              </w:rPr>
            </w:pPr>
          </w:p>
        </w:tc>
        <w:tc>
          <w:tcPr>
            <w:tcW w:w="4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equity</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0" w:type="dxa"/>
            <w:vAlign w:val="bottom"/>
          </w:tcPr>
          <w:p>
            <w:pPr>
              <w:spacing w:after="0"/>
              <w:rPr>
                <w:sz w:val="1"/>
                <w:szCs w:val="1"/>
                <w:color w:val="auto"/>
              </w:rPr>
            </w:pPr>
          </w:p>
        </w:tc>
      </w:tr>
      <w:tr>
        <w:trPr>
          <w:trHeight w:val="138"/>
        </w:trPr>
        <w:tc>
          <w:tcPr>
            <w:tcW w:w="36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6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Retirement of common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($0.38/share)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(19,111)</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($80.00/share)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3820" w:type="dxa"/>
            <w:vAlign w:val="bottom"/>
            <w:gridSpan w:val="11"/>
          </w:tcPr>
          <w:p>
            <w:pPr>
              <w:jc w:val="center"/>
              <w:ind w:left="1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6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1"/>
                <w:szCs w:val="11"/>
                <w:color w:val="auto"/>
              </w:rPr>
            </w:pP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0" w:type="dxa"/>
            <w:vAlign w:val="bottom"/>
          </w:tcPr>
          <w:p>
            <w:pPr>
              <w:spacing w:after="0"/>
              <w:rPr>
                <w:sz w:val="1"/>
                <w:szCs w:val="1"/>
                <w:color w:val="auto"/>
              </w:rPr>
            </w:pPr>
          </w:p>
        </w:tc>
      </w:tr>
      <w:tr>
        <w:trPr>
          <w:trHeight w:val="138"/>
        </w:trPr>
        <w:tc>
          <w:tcPr>
            <w:tcW w:w="34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Conversion from BDC to Bank Holding Company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presentation</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Removal of fair value adjustments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Consolidation of controlled investments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c>
          <w:tcPr>
            <w:tcW w:w="0" w:type="dxa"/>
            <w:vAlign w:val="bottom"/>
          </w:tcPr>
          <w:p>
            <w:pPr>
              <w:spacing w:after="0"/>
              <w:rPr>
                <w:sz w:val="1"/>
                <w:szCs w:val="1"/>
                <w:color w:val="auto"/>
              </w:rPr>
            </w:pPr>
          </w:p>
        </w:tc>
      </w:tr>
      <w:tr>
        <w:trPr>
          <w:trHeight w:val="180"/>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Reassessment of deferred tax assets and liabilities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4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issuance costs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($0.54/share)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(17,463)</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($72.44/share)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color w:val="auto"/>
              </w:rPr>
              <w:t>F-9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4020" w:type="dxa"/>
            <w:vAlign w:val="bottom"/>
            <w:gridSpan w:val="14"/>
          </w:tcPr>
          <w:p>
            <w:pPr>
              <w:jc w:val="center"/>
              <w:ind w:left="3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00" w:type="dxa"/>
            <w:vAlign w:val="bottom"/>
            <w:gridSpan w:val="3"/>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 paid-in-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undistributed</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24,159</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367,663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related to RSA</w:t>
            </w:r>
          </w:p>
        </w:tc>
        <w:tc>
          <w:tcPr>
            <w:tcW w:w="7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w:t>
            </w:r>
          </w:p>
        </w:tc>
        <w:tc>
          <w:tcPr>
            <w:tcW w:w="7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RIC tax reclassification</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resulting from operations:</w:t>
            </w: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investment income</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7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unrealized depreciation on investments</w:t>
            </w:r>
          </w:p>
        </w:tc>
        <w:tc>
          <w:tcPr>
            <w:tcW w:w="7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2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gridSpan w:val="2"/>
          </w:tcPr>
          <w:p>
            <w:pPr>
              <w:jc w:val="center"/>
              <w:ind w:left="789"/>
              <w:spacing w:after="0"/>
              <w:rPr>
                <w:sz w:val="20"/>
                <w:szCs w:val="20"/>
                <w:color w:val="auto"/>
              </w:rPr>
            </w:pPr>
            <w:r>
              <w:rPr>
                <w:rFonts w:ascii="Times New Roman" w:cs="Times New Roman" w:eastAsia="Times New Roman" w:hAnsi="Times New Roman"/>
                <w:sz w:val="14"/>
                <w:szCs w:val="14"/>
                <w:color w:val="auto"/>
                <w:w w:val="98"/>
              </w:rPr>
              <w:t>F-10</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3720" w:type="dxa"/>
            <w:vAlign w:val="bottom"/>
            <w:gridSpan w:val="7"/>
          </w:tcPr>
          <w:p>
            <w:pPr>
              <w:jc w:val="center"/>
              <w:ind w:right="11"/>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8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5"/>
        </w:trPr>
        <w:tc>
          <w:tcPr>
            <w:tcW w:w="5040" w:type="dxa"/>
            <w:vAlign w:val="bottom"/>
            <w:tcBorders>
              <w:bottom w:val="single" w:sz="8" w:color="CCEEFF"/>
            </w:tcBorders>
          </w:tcPr>
          <w:p>
            <w:pPr>
              <w:spacing w:after="0"/>
              <w:rPr>
                <w:sz w:val="10"/>
                <w:szCs w:val="10"/>
                <w:color w:val="auto"/>
              </w:rPr>
            </w:pPr>
          </w:p>
        </w:tc>
        <w:tc>
          <w:tcPr>
            <w:tcW w:w="17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9"/>
              </w:rPr>
              <w:t>Financial Holding Company</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Financial Holding Company</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Investment Company</w:t>
            </w:r>
          </w:p>
        </w:tc>
      </w:tr>
      <w:tr>
        <w:trPr>
          <w:trHeight w:val="164"/>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32,311</w:t>
            </w:r>
          </w:p>
        </w:tc>
      </w:tr>
      <w:tr>
        <w:trPr>
          <w:trHeight w:val="180"/>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appreciation on joint ventures and other non-control investments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on controlled investments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(24,321)</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26,504</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depreciation on derivative transactions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Unrealized loss on assets classified as held for sale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(56,901)</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Lower of cost or market adjustment on loans held for sale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Bad debt expense, net of recoveries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817,869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691,219</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 of loans held for sale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Sale (purchase) of loans held for sale from affiliate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(1,125,131)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(775,577)</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Funding of controlled investments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(53,198)</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Funding of non-control/affiliate investment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74,287</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from controlled investments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Return of investments from controlled investments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48,709</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r>
      <w:tr>
        <w:trPr>
          <w:trHeight w:val="180"/>
        </w:trPr>
        <w:tc>
          <w:tcPr>
            <w:tcW w:w="5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44,537</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 payable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receivable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to/from related parties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Assets classified as held for sale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Liabilities directly associated with assets classified as held for sale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Dividends payable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(110,598)</w:t>
            </w:r>
          </w:p>
        </w:tc>
      </w:tr>
      <w:tr>
        <w:trPr>
          <w:trHeight w:val="180"/>
        </w:trPr>
        <w:tc>
          <w:tcPr>
            <w:tcW w:w="5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9,021</w:t>
            </w:r>
          </w:p>
        </w:tc>
      </w:tr>
      <w:tr>
        <w:trPr>
          <w:trHeight w:val="18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17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485"/>
        </w:trPr>
        <w:tc>
          <w:tcPr>
            <w:tcW w:w="5040" w:type="dxa"/>
            <w:vAlign w:val="bottom"/>
          </w:tcPr>
          <w:p>
            <w:pPr>
              <w:spacing w:after="0"/>
              <w:rPr>
                <w:sz w:val="24"/>
                <w:szCs w:val="24"/>
                <w:color w:val="auto"/>
              </w:rPr>
            </w:pPr>
          </w:p>
        </w:tc>
        <w:tc>
          <w:tcPr>
            <w:tcW w:w="18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w w:val="98"/>
              </w:rPr>
              <w:t>F-11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4"/>
        </w:trPr>
        <w:tc>
          <w:tcPr>
            <w:tcW w:w="8320" w:type="dxa"/>
            <w:vAlign w:val="bottom"/>
            <w:gridSpan w:val="5"/>
          </w:tcPr>
          <w:p>
            <w:pPr>
              <w:jc w:val="center"/>
              <w:ind w:left="28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87"/>
        </w:trPr>
        <w:tc>
          <w:tcPr>
            <w:tcW w:w="50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2"/>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1"/>
        </w:trPr>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9"/>
              </w:rPr>
              <w:t>Financial Holding Company</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9"/>
              </w:rPr>
              <w:t>Financial Holding Company</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Investment Company</w:t>
            </w:r>
          </w:p>
        </w:tc>
      </w:tr>
      <w:tr>
        <w:trPr>
          <w:trHeight w:val="179"/>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(62,418)</w:t>
            </w:r>
          </w:p>
        </w:tc>
      </w:tr>
      <w:tr>
        <w:trPr>
          <w:trHeight w:val="192"/>
        </w:trPr>
        <w:tc>
          <w:tcPr>
            <w:tcW w:w="6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decrease in loans held for investment, at fair value</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loans held for investment, at cost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to joint ventures and other non-control investments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of capital from joint ventures and other non-control investments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decrease (increase) in Federal Home Loan Bank and Federal Reserve Bank stock</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of available-for-sale securities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(209,051)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(172,235)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2"/>
        </w:trPr>
        <w:tc>
          <w:tcPr>
            <w:tcW w:w="6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borrowings (paydowns) on bank notes payable</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common shares sold, net of offering costs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preferred stock, net of offering costs</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repayments under related party line of credit</w:t>
            </w: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2025 5.00% Notes</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2025 8.125% Notes</w:t>
            </w:r>
          </w:p>
        </w:tc>
        <w:tc>
          <w:tcPr>
            <w:tcW w:w="1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2028 8.00% Notes</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Redemption of 2024 Notes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Redemption of 2025 6.85% Notes</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2029 8.50% Notes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2029 8.625% Notes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(82,817)</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Notes Payable - Securitization Trusts</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116,210</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(64,544)</w:t>
            </w: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ESPP</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0"/>
        </w:trPr>
        <w:tc>
          <w:tcPr>
            <w:tcW w:w="6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Retirement of common shares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560,897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344,974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71"/>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restricted cash</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(61,254)</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186,860</w:t>
            </w:r>
          </w:p>
        </w:tc>
      </w:tr>
      <w:tr>
        <w:trPr>
          <w:trHeight w:val="138"/>
        </w:trPr>
        <w:tc>
          <w:tcPr>
            <w:tcW w:w="68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Consolidation/(deconsolidation) of cash and restricted cash from controlled investments related to business</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1"/>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combinations and dispositions, net of cash paid</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r>
      <w:tr>
        <w:trPr>
          <w:trHeight w:val="687"/>
        </w:trPr>
        <w:tc>
          <w:tcPr>
            <w:tcW w:w="680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F-12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4"/>
        </w:trPr>
        <w:tc>
          <w:tcPr>
            <w:tcW w:w="8320" w:type="dxa"/>
            <w:vAlign w:val="bottom"/>
            <w:gridSpan w:val="4"/>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87"/>
        </w:trPr>
        <w:tc>
          <w:tcPr>
            <w:tcW w:w="6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2"/>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5"/>
        </w:trPr>
        <w:tc>
          <w:tcPr>
            <w:tcW w:w="68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9"/>
              </w:rPr>
              <w:t>Financial Holding Company</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9"/>
              </w:rPr>
              <w:t>Financial Holding Company</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Investment Company</w:t>
            </w:r>
          </w:p>
        </w:tc>
      </w:tr>
      <w:tr>
        <w:trPr>
          <w:trHeight w:val="16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r>
      <w:tr>
        <w:trPr>
          <w:trHeight w:val="171"/>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Issuance of common shares under dividend reinvestment plan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r>
      <w:tr>
        <w:trPr>
          <w:trHeight w:val="192"/>
        </w:trPr>
        <w:tc>
          <w:tcPr>
            <w:tcW w:w="6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(as restated)</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(as restated)</w:t>
            </w:r>
          </w:p>
        </w:tc>
      </w:tr>
      <w:tr>
        <w:trPr>
          <w:trHeight w:val="18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25,348</w:t>
            </w: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independent business owners (SMBs) and provides SMBs with the following Newtek® branded business and financial solutions: Newtek Banking, Newtek Alternative Lending, Newtek Technology, Newtek Payments, Newtek Insurance, and Newtek Payroll.</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NewtekOne reports on a consolidated basis the financial condition and results of operations for the following consolidated subsidiaries: Newtek Bank; NSBF; NMS (and its subsidiary Mobil Money); NBC; PMT; NIA; TAM; POS; NALH; NCL; and 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considers a voting rights entity to be a subsidiary and consolidates it if the Company has a controlling financial interest in the entity.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4—INVESTMENTS.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Sale</w:t>
      </w:r>
    </w:p>
    <w:p>
      <w:pPr>
        <w:spacing w:after="0" w:line="19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As a result of the Company’s entry into the NTS Sale Agreement and its completion of the NTS Sale on January 2, 2025, the Company reported NTS as Held for Sale as of December 31, 2024. See NOTE 25—SUBSEQUENT EVENTS: Sale of NTS.</w:t>
      </w:r>
    </w:p>
    <w:p>
      <w:pPr>
        <w:spacing w:after="0" w:line="14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In addition, as of the date of the NTS Sale, the Company has concluded that the assets, liabilities and operations of NTS do not qualify for Discontinued Operations as of December 31, 2024. See NOTE 9—ASSETS AND LIABILITIES DIRECTLY ASSOCIATED WITH ASSETS HELD FOR SALE.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 and Restatements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to the extent comparable, have been reclassified to conform to the current period presentation.</w:t>
      </w:r>
    </w:p>
    <w:p>
      <w:pPr>
        <w:spacing w:after="0" w:line="200"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supplemental disclosure of cash flow information for interest paid was restated for December 31, 2023 and 2022 as a result of the previously disclosed material weaknesses and restatements described in the 2023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the Preparation of Financial Statements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 during the reporting period. The level of uncertainty in estimates and assumptions increases with the length of time until the underlying transactions are complete. Actual results could differ from those estimates.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due from banks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December 31, 2024, cash deposits in excess of insured amounts totaled $30.3 million. The Company has not experienced any losses with respect to cash balances in excess of insured amounts and management does not believe there was a significant concentration of risk with respect to cash balances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 s to third parties, cash reserves established as part of agreements with the SBA, cash reserves associated with consolidated securitization transactions, and cash margin as collateral for derivative instruments. As of December 31, 2024 and 2023, total restricted cash was $28.2 million and $30.9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and due from banks, restricted cash, and interest bearing deposits in banks as of December 31, 2024 and 2023:</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13"/>
                <w:szCs w:val="13"/>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15,398</w:t>
            </w:r>
          </w:p>
        </w:tc>
      </w:tr>
      <w:tr>
        <w:trPr>
          <w:trHeight w:val="18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30,919</w:t>
            </w:r>
          </w:p>
        </w:tc>
      </w:tr>
      <w:tr>
        <w:trPr>
          <w:trHeight w:val="18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137,689</w:t>
            </w:r>
          </w:p>
        </w:tc>
      </w:tr>
      <w:tr>
        <w:trPr>
          <w:trHeight w:val="17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184,006</w:t>
            </w: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9"/>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792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Cash held at Federal Reserve Bank</w:t>
            </w:r>
            <w:r>
              <w:rPr>
                <w:rFonts w:ascii="Times New Roman" w:cs="Times New Roman" w:eastAsia="Times New Roman" w:hAnsi="Times New Roman"/>
                <w:sz w:val="18"/>
                <w:szCs w:val="18"/>
                <w:color w:val="auto"/>
                <w:vertAlign w:val="superscript"/>
              </w:rPr>
              <w:t>1</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345,680</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137,434</w:t>
            </w:r>
          </w:p>
        </w:tc>
      </w:tr>
      <w:tr>
        <w:trPr>
          <w:trHeight w:val="18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held at other financial institutions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46,572</w:t>
            </w:r>
          </w:p>
        </w:tc>
      </w:tr>
      <w:tr>
        <w:trPr>
          <w:trHeight w:val="19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184,006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80" w:hanging="75"/>
        <w:spacing w:after="0"/>
        <w:tabs>
          <w:tab w:leader="none" w:pos="80"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Subject to changes in the Federal Funds rate set by the Federal Open Market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securities, available for sale, at fair value</w:t>
      </w:r>
    </w:p>
    <w:p>
      <w:pPr>
        <w:spacing w:after="0" w:line="20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The Company’s securities portfolio primarily consists of available for sale debt securities held by Newtek Bank that are classified as “available for sale” and carried at their estimated fair value, with any unrealized gains or losses, net of taxes, reported as accumulated other comprehensive income or loss in stockholders’ equity. The fair values of our instruments are affected by changes in market interest rates and credit spreads. In general, as interest rates rise and/or credit spreads widen, the fair value of instruments will decline. As interest rates fall and/or credit spreads tighten, the fair value of instruments will rise. The Company evaluates available-for-sale instruments in unrealized loss positions at least quarterly to determine if an allowance for credit losses is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Purchases and sales of debt securities are accounted for on a trade-date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receivable that management has the intent and ability to hold for the foreseeable future or until maturity or pay-off are classified as held for investment.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At amortized cost, net of deferred fees and costs: </w:t>
      </w:r>
      <w:r>
        <w:rPr>
          <w:rFonts w:ascii="Times New Roman" w:cs="Times New Roman" w:eastAsia="Times New Roman" w:hAnsi="Times New Roman"/>
          <w:sz w:val="14"/>
          <w:szCs w:val="14"/>
          <w:color w:val="auto"/>
        </w:rPr>
        <w:t>Loans are reported at their principal amount outstanding, net of charge-offs, deferred origination costs and fees and purchase premiums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 over the remaining period to contractual maturity. Currently, all LHI at amortized cost, net of deferred fees and costs, are originated and carried at Newtek Bank and have a weighted average life of five years. Newtek Bank originates SBA 7(a) loans, under its PLP status, and typically sells the guaranteed portions and holds the unguaranteed portions for investment. Newtek Bank also holds CRE and C&amp;I loans for investment.</w:t>
      </w:r>
    </w:p>
    <w:p>
      <w:pPr>
        <w:spacing w:after="0" w:line="16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On a quarterly basis, management determines the fair values of the retained unguaranteed portions of SBA 7(a) loans HFI, and unrealized changes in FV are recognized in the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statement. The loans within this portfolio were originated by NSBF. NSBF ceased originating new loans in April 2023 when all new SBA 7(a) loan originations were transitioned to Newtek Bank. (See </w:t>
      </w:r>
      <w:r>
        <w:rPr>
          <w:rFonts w:ascii="Times New Roman" w:cs="Times New Roman" w:eastAsia="Times New Roman" w:hAnsi="Times New Roman"/>
          <w:sz w:val="14"/>
          <w:szCs w:val="14"/>
          <w:i w:val="1"/>
          <w:iCs w:val="1"/>
          <w:color w:val="auto"/>
        </w:rPr>
        <w:t>Historical Business Regulation and Taxation,</w:t>
      </w:r>
      <w:r>
        <w:rPr>
          <w:rFonts w:ascii="Times New Roman" w:cs="Times New Roman" w:eastAsia="Times New Roman" w:hAnsi="Times New Roman"/>
          <w:sz w:val="14"/>
          <w:szCs w:val="14"/>
          <w:color w:val="auto"/>
        </w:rPr>
        <w:t xml:space="preserve"> for a discussion of the wind-down of NSBF’s operations.) Refer to the “Fair Value and the Fair Value Option” section below for further information on loans HFI carried at FV under the FV option.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Sale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Management designates loans as HFS based on its intent to sell loans, or portions of loans, in established secondary markets or to participant banks and credit unions. Salability requirements of government guaranteed portions include, but are not limited to, full disbursement of the loan commitment amount. The Company occasionally transfers loans between the HFS and HFI classifications based on its intent and ability to hold or sell loans. Management’s intent to sell may be impacted by secondary market conditions, loan credit quality, or other factors.</w:t>
      </w:r>
    </w:p>
    <w:p>
      <w:pPr>
        <w:spacing w:after="0" w:line="15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At lower of amortized cost basis or fair value</w:t>
      </w:r>
      <w:r>
        <w:rPr>
          <w:rFonts w:ascii="Times New Roman" w:cs="Times New Roman" w:eastAsia="Times New Roman" w:hAnsi="Times New Roman"/>
          <w:sz w:val="14"/>
          <w:szCs w:val="14"/>
          <w:color w:val="auto"/>
        </w:rPr>
        <w:t>: Both mortgage and non-mortgage loans classified as HFS are carried at the LCM. If the amortized cost basis of a loan exceeds FV, a valuation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allowance should be established for the difference. Currently, HFS loans at LCM are carried at Newtek Bank. This includes the government guaranteed portion of SBA 7(a) loans and SBA 504 loans. Management may also make a determination to market for sale certain CRE and C&amp;I loans on a loan by loan basis.</w:t>
      </w:r>
    </w:p>
    <w:p>
      <w:pPr>
        <w:spacing w:after="0" w:line="155"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At fair value</w:t>
      </w:r>
      <w:r>
        <w:rPr>
          <w:rFonts w:ascii="Times New Roman" w:cs="Times New Roman" w:eastAsia="Times New Roman" w:hAnsi="Times New Roman"/>
          <w:sz w:val="14"/>
          <w:szCs w:val="14"/>
          <w:color w:val="auto"/>
        </w:rPr>
        <w:t>: The Company originates ALP loans (formerly referred to as our nonconforming conventional loans), which are either HFS or HFI, via its nonbank subsidiary and joint ventures. ALP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loans are carried at FV. The Company also originated SBA 504 loans HFS prior to the Acquisition through its nonbank subsidiaries. SBA 504 loans HFS held at NALH are accounted for under the FV option. ALP loans are held at NALH, NCL JV, and TSO JV and are also accounted for under the FV option. Additionally, the existing government guaranteed portion of SBA 7(a) loans held at NSBF are also HFS at FV. Refer to the “Fair Value and the Fair Value Option” section below for further information on loans HFS carried at FV under the FV option.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and the Fair Value Option</w:t>
      </w:r>
    </w:p>
    <w:p>
      <w:pPr>
        <w:spacing w:after="0" w:line="20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In accordance with GAAP, a fair value hierarchy for inputs is used in measuring fair value that maximizes the use of observable inputs and minimizes the use of unobservable inputs by requiring that the most observable inputs be used when available.</w:t>
      </w:r>
    </w:p>
    <w:p>
      <w:pPr>
        <w:ind w:right="360"/>
        <w:spacing w:after="0" w:line="266"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157" w:lineRule="exact"/>
        <w:rPr>
          <w:sz w:val="20"/>
          <w:szCs w:val="20"/>
          <w:color w:val="auto"/>
        </w:rPr>
      </w:pPr>
    </w:p>
    <w:p>
      <w:pPr>
        <w:ind w:left="640" w:right="240" w:hanging="636"/>
        <w:spacing w:after="0" w:line="27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640" w:right="140" w:hanging="636"/>
        <w:spacing w:after="0" w:line="261"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p>
      <w:pPr>
        <w:spacing w:after="0" w:line="164" w:lineRule="exact"/>
        <w:rPr>
          <w:sz w:val="20"/>
          <w:szCs w:val="20"/>
          <w:color w:val="auto"/>
        </w:rPr>
      </w:pPr>
    </w:p>
    <w:p>
      <w:pPr>
        <w:ind w:left="640" w:right="180" w:hanging="636"/>
        <w:spacing w:after="0" w:line="264"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asset or a liability’s categorization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asset or liability. The Company assesses the levels of assets and liabilities at each measurement date. There were no transfers to or from Level 3 of the fair value hierarchy for assets and liabilities during the year ended December 31, 2024 or 2023.</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4"/>
          <w:szCs w:val="14"/>
          <w:color w:val="auto"/>
        </w:rPr>
        <w:t>Level 1 investments were valued using quoted market prices. Level 2 investments were valued using market consensus prices that are corroborated by observable market data and quoted market prices for similar assets and liabilities.</w:t>
      </w:r>
    </w:p>
    <w:p>
      <w:pPr>
        <w:spacing w:after="0" w:line="15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has two joint venture investments, TSO JV and NCL JV. The Company uses a discounted cash flow methodology and adjusts the NAV of the entity by a fair value adjustment for the fixed rate debt liability.</w:t>
      </w:r>
    </w:p>
    <w:p>
      <w:pPr>
        <w:spacing w:after="0" w:line="14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In addition recent changes in inflation and base interest rates, supply chain disruptions, significant market volatility, risk of recession, recent economic and market events, unrelated bank failures and declines in depositor confidence in depository institutions, the ongoing war between Russia and Ukraine and general uncertainty surrounding the financial and political stability of the United States, United Kingdom, the European Union and China could further negatively impact the fair value of the Company’s investments after December 31, 2024, in addition to other circumstances and events that are not yet known.</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Company applies fair value accounting to certain of its financial instruments in accordance with ASC Topic 820 — Fair Value Measurement (“ASC Topic 820”). ASC Topic 820 defines fair value, establishes a framework used to measure fair value and requires disclosures for fair value measurements. In accordance with ASC Topic 820, the Company has categorized its financial instruments carried at fair value, based on the priority of the valuation technique, into a three-level fair value hierarchy. Fair value is a market-based measure considered from the perspective of the market participant who holds the financial instrument rather than an entity-specific measure. Therefore, when market assumptions are not readily available, the Company’s own assumptions reflect those that management believe market participants would use in pricing the financial instrument at the measurement date.</w:t>
      </w:r>
    </w:p>
    <w:p>
      <w:pPr>
        <w:spacing w:after="0" w:line="16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was greatest for financial instruments classified as Level 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Any changes to the valuation methodology are reviewed by management to confirm that the changes are appropriate. As markets change, new products develop and the pricing for products becomes more or less transparent, the Company will continue to refine its valuation methodologies. See further description of fair value methodology in NOTE 10—FAIR VALUE MEASUREMENTS.</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Loans for which the FV option were elected are measured at FV and classified as either HFS or HFI, as outlined above. Not electing FV generally results in a larger discount being recorded on the date of the sale. This discount will subsequently be accreted into interest income over the underlying loan’s remaining term using the effective interest method. Management made this election in alignment with its ongoing effort to reduce volatility and drive more predictable revenue. In accordance with accounting standards, any loans for which FV was previously elected continue to be measured as such. Interest income is recognized in the same manner on loans reported at FV as on non-FV loans, except in regard to origination fees and costs which are recognized immediately upon FV election. The changes in FV of loans are reported in noninterest income as Net gain (loss) on loans accounted for under the fair value option. FV of loans includes adjustments for historical credit losses, market liquidity, and economic conditions.</w:t>
      </w:r>
    </w:p>
    <w:p>
      <w:pPr>
        <w:spacing w:after="0" w:line="15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reflecting assumptions that a market participant would use when pricing an asset or liability. In some cases, the estimation of fair values requires management to make estimates about discount rates, future expected cash flows, market conditions, and other future events that are highly subjective in nature and are subject to 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4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8"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143" w:lineRule="exact"/>
        <w:rPr>
          <w:sz w:val="20"/>
          <w:szCs w:val="20"/>
          <w:color w:val="auto"/>
        </w:rPr>
      </w:pPr>
    </w:p>
    <w:p>
      <w:pPr>
        <w:ind w:left="500" w:right="20" w:hanging="636"/>
        <w:spacing w:after="0" w:line="270" w:lineRule="auto"/>
        <w:tabs>
          <w:tab w:leader="none" w:pos="480" w:val="left"/>
        </w:tabs>
        <w:rPr>
          <w:sz w:val="20"/>
          <w:szCs w:val="20"/>
          <w:color w:val="auto"/>
        </w:rPr>
      </w:pPr>
      <w:r>
        <w:rPr>
          <w:rFonts w:ascii="Times New Roman" w:cs="Times New Roman" w:eastAsia="Times New Roman" w:hAnsi="Times New Roman"/>
          <w:sz w:val="14"/>
          <w:szCs w:val="14"/>
          <w:i w:val="1"/>
          <w:iCs w:val="1"/>
          <w:color w:val="auto"/>
        </w:rPr>
        <w:t>CRE:</w:t>
      </w:r>
      <w:r>
        <w:rPr>
          <w:sz w:val="20"/>
          <w:szCs w:val="20"/>
          <w:color w:val="auto"/>
        </w:rPr>
        <w:tab/>
      </w:r>
      <w:r>
        <w:rPr>
          <w:rFonts w:ascii="Times New Roman" w:cs="Times New Roman" w:eastAsia="Times New Roman" w:hAnsi="Times New Roman"/>
          <w:sz w:val="14"/>
          <w:szCs w:val="14"/>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i w:val="1"/>
          <w:iCs w:val="1"/>
          <w:color w:val="auto"/>
        </w:rPr>
        <w:t>C&amp;I:</w:t>
      </w:r>
      <w:r>
        <w:rPr>
          <w:sz w:val="20"/>
          <w:szCs w:val="20"/>
          <w:color w:val="auto"/>
        </w:rPr>
        <w:tab/>
      </w:r>
      <w:r>
        <w:rPr>
          <w:rFonts w:ascii="Times New Roman" w:cs="Times New Roman" w:eastAsia="Times New Roman" w:hAnsi="Times New Roman"/>
          <w:sz w:val="14"/>
          <w:szCs w:val="14"/>
          <w:color w:val="auto"/>
        </w:rPr>
        <w:t>The C&amp;I portfolio consists of loans made for general business purposes consisting of short-term working capital loans, equipment loans and unsecured business lines.</w:t>
      </w:r>
    </w:p>
    <w:p>
      <w:pPr>
        <w:spacing w:after="0" w:line="200" w:lineRule="exact"/>
        <w:rPr>
          <w:sz w:val="20"/>
          <w:szCs w:val="20"/>
          <w:color w:val="auto"/>
        </w:rPr>
      </w:pPr>
    </w:p>
    <w:p>
      <w:pPr>
        <w:ind w:left="640" w:right="20" w:hanging="636"/>
        <w:spacing w:after="0" w:line="261" w:lineRule="auto"/>
        <w:tabs>
          <w:tab w:leader="none" w:pos="620" w:val="left"/>
        </w:tabs>
        <w:rPr>
          <w:sz w:val="20"/>
          <w:szCs w:val="20"/>
          <w:color w:val="auto"/>
        </w:rPr>
      </w:pPr>
      <w:r>
        <w:rPr>
          <w:rFonts w:ascii="Times New Roman" w:cs="Times New Roman" w:eastAsia="Times New Roman" w:hAnsi="Times New Roman"/>
          <w:sz w:val="14"/>
          <w:szCs w:val="14"/>
          <w:i w:val="1"/>
          <w:iCs w:val="1"/>
          <w:color w:val="auto"/>
        </w:rPr>
        <w:t>SBA 7(a):</w:t>
      </w:r>
      <w:r>
        <w:rPr>
          <w:sz w:val="20"/>
          <w:szCs w:val="20"/>
          <w:color w:val="auto"/>
        </w:rPr>
        <w:tab/>
      </w:r>
      <w:r>
        <w:rPr>
          <w:rFonts w:ascii="Times New Roman" w:cs="Times New Roman" w:eastAsia="Times New Roman" w:hAnsi="Times New Roman"/>
          <w:sz w:val="14"/>
          <w:szCs w:val="14"/>
          <w:color w:val="auto"/>
        </w:rPr>
        <w:t>The SBA 7(a) portfolio includes loans originated under the federal SBA 7(a)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licensed by the SBA may underwrite loans between $5.0 thousand and $5.0 million for a variety of general business purposes based on the SBA’s loan program requirements. The guaranteed portion of the loans are HFS and carried at LCM and therefore are not subject to CECL. The unguaranteed portion of the loans that are held on balance sheet at amortized cost are subject to CECL. In the context of CECL, these SBA 7(a) loans are held at Newtek Bank.</w:t>
      </w:r>
    </w:p>
    <w:p>
      <w:pPr>
        <w:spacing w:after="0" w:line="15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i w:val="1"/>
          <w:iCs w:val="1"/>
          <w:color w:val="auto"/>
        </w:rPr>
        <w:t xml:space="preserve">Individually Evaluated Loans. </w:t>
      </w:r>
      <w:r>
        <w:rPr>
          <w:rFonts w:ascii="Times New Roman" w:cs="Times New Roman" w:eastAsia="Times New Roman" w:hAnsi="Times New Roman"/>
          <w:sz w:val="14"/>
          <w:szCs w:val="14"/>
          <w:color w:val="auto"/>
        </w:rPr>
        <w:t>Loans that do not share risk characteristics with existing pools are evaluated on an individual basis. Management defines these loans as nonaccrual loans with exposure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$50 thousand.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Generally, accrued interest is reversed when a loan is placed on non-accrual or is written-off. Current year accrued interest is reversed through interest income while accrued interest from prior years is written-off through the ACL. Historically, the Company has not experienced uncollectible accrued interest receivable on investment securities.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off-balance sheet credit exposures. </w:t>
      </w:r>
      <w:r>
        <w:rPr>
          <w:rFonts w:ascii="Times New Roman" w:cs="Times New Roman" w:eastAsia="Times New Roman" w:hAnsi="Times New Roman"/>
          <w:sz w:val="14"/>
          <w:szCs w:val="14"/>
          <w:color w:val="auto"/>
        </w:rPr>
        <w:t>The exposure is a component of other liabilities in the consolidated balance sheet and represents the estimate for probable credit losses inherent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December 31, 2024 and 2023, the Company determined that the unrealized loss positions in the AFS securities were not the result of credit losses, and therefore, an allowance for credit losses was not recorded.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year-end but have not yet settled. The guaranteed portion of SBA 7(a) principal balances that have been sold but not yet settled as of December 31, 2024 and 2023 was $47.4 million and $56.5 million, respectively. The settlement receivable also includes $5.0 million and $5.7 million of premiums, which have been recognized in Net Gains on Sales of Loans as of December 31,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Held for Sale and Liabilities Directly Associated with Assets Held for 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classifies assets and related liabilities as held for sale when: (i) management has committed to a plan to sell the disposal group, (ii) the disposal group is available for immediate sale,</w:t>
      </w:r>
    </w:p>
    <w:p>
      <w:pPr>
        <w:spacing w:after="0" w:line="23" w:lineRule="exact"/>
        <w:rPr>
          <w:sz w:val="20"/>
          <w:szCs w:val="20"/>
          <w:color w:val="auto"/>
        </w:rPr>
      </w:pPr>
    </w:p>
    <w:p>
      <w:pPr>
        <w:ind w:right="240" w:firstLine="5"/>
        <w:spacing w:after="0" w:line="266" w:lineRule="auto"/>
        <w:tabs>
          <w:tab w:leader="none" w:pos="24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an active program to locate a buyer, (iv) the sale and transfer of the disposal group is probable within one year, (v) the disposal group is being actively marketed for sale at price that is reasonable in relation to its current fair value, and (vi) it is unlikely that significant changes will be made to the plan to sell the disposal group.</w:t>
      </w:r>
    </w:p>
    <w:p>
      <w:pPr>
        <w:spacing w:after="0" w:line="15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Assets and liabilities held for sale are presented separately within the consolidated balance sheets with any adjustments necessary to measure the disposal group at the lower of its carrying value or fair value less costs to sell. Depreciation of property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Refer to NOTE 9—ASSETS AND LIABILITIES DIRECTLY ASSOCIATED WITH ASSETS HELD FOR SALE for a discussion of assets and liabilities associated with assets held for sale at December 31,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Goodwill is an indefinite lived asset, which is not amortized and is instead subject to impairment testing, at least annually. Intangible assets, which are the banking core deposits intangibles, have finite lives are amortized over an estimated useful life of 120 months. (See NOTE 8—GOODWILL AND INTANGIBLE ASSETS.)</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 - Right of use assets and lease liabilities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fifteen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Transfers and Servicing of Financial Assets</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Assets related to transactions that do not meet ASC Topic 860 — Transfers and Servicing (“ASC Topic 860”) requirements for accounting sale treatment are reflected in the Company’s consolidated statements of assets and liabilities as investments and the sale proceeds are recognized as a liability.</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Assets owned by securitization trusts are included in the Company’s consolidated financial statements. The creditors of the special purpose entities have received security interests in such assets and such assets are not intended to be available to the creditors of the Company. From 2010 through December 31, 2024, NSBF engaged in thirteen (13) securitizations of the unguaranteed portions of its SBA 7(a) loans. A securitization uses a special purpose entity (the “Trust”), which is considered a variable interest entity (VIE). Applying the consolidation requirements for VIEs under the accounting rules in ASC Topic 860, Transfers and Servicing, and ASC Topic 810, Consolidation, which became effective January 1, 2010, the Company determined that as the primary beneficiary of the securitization vehicles, based on its power to direct activities through its role as servicer for the Trusts and its obligation to absorb losses and right to receive benefits, it needed to consolidate the Trusts. The Company therefore consolidates the entities using the carrying amounts of the Trusts’ assets and liabilities and reflects the assets in SBA 7(a) Unguaranteed Loans and reflects the associated financing in Notes Payable - Securitization trusts on the Consolidated Statements of Assets and Liabilities.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and Newtek Bank earn servicing fees from the guaranteed portions of SBA 7(a) loans they originate and sell. The Company has also recorded servicing assets/liabilities on loans sold where the Company retained an obligation to service the loan sold.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initially measured at FV and subsequently measured at LCM and amortized based on their estimated life and impairment is recorded to the extent the amortized cost exceeds the asset’s FV.</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spacing w:after="0" w:line="1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to Participants</w:t>
      </w:r>
    </w:p>
    <w:p>
      <w:pPr>
        <w:spacing w:after="0" w:line="18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Due to participants represents amounts due to third party investors in the SBA guaranteed portion of SBA 7(a) and PPP loans. When the Company receives principal payments, including PPP loan forgiveness, after the loan has been either partially or fully sold to the participant, the remittances received by the Company are either owed in part or in full to the participant and amounts are recorded as a liability on the consolidated statements of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Shareholders</w:t>
      </w:r>
    </w:p>
    <w:p>
      <w:pPr>
        <w:spacing w:after="0" w:line="19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Dividends and distributions to the Company's stockholders are recorded on the declaration date. The timing and amount to be paid out as a dividend or distribution is determined by the Company's Board each quarter.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Interest Income Recognition and Changes in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Investment</w:t>
      </w:r>
    </w:p>
    <w:p>
      <w:pPr>
        <w:spacing w:after="0" w:line="189"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At Amortized Cost, net of deferred loan fees and costs: </w:t>
      </w:r>
      <w:r>
        <w:rPr>
          <w:rFonts w:ascii="Times New Roman" w:cs="Times New Roman" w:eastAsia="Times New Roman" w:hAnsi="Times New Roman"/>
          <w:sz w:val="14"/>
          <w:szCs w:val="14"/>
          <w:color w:val="auto"/>
        </w:rPr>
        <w:t>Interest on loans is generally recognized on a daily accrual basis at the applicable interest rate. Interest is not accrued on loans that are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At FV: </w:t>
      </w:r>
      <w:r>
        <w:rPr>
          <w:rFonts w:ascii="Times New Roman" w:cs="Times New Roman" w:eastAsia="Times New Roman" w:hAnsi="Times New Roman"/>
          <w:sz w:val="14"/>
          <w:szCs w:val="14"/>
          <w:color w:val="auto"/>
        </w:rPr>
        <w:t>In accordance with accounting standards, any loans for which FV was previously elected continue to be measured as such. Interest income is recognized in the same manner on loans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 The Company values performing accrual loans on a pool basis. Loans that have experienced credit deterioration are valued individually based on resolution plans developed by the Company based on timing and amount of expected future cash flows from all sources of repayment, including both cash flows of the borrower as a going concern as well as the liquidation of collateral and pursuit of personal guarantees.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 for Sale</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LCM: </w:t>
      </w:r>
      <w:r>
        <w:rPr>
          <w:rFonts w:ascii="Times New Roman" w:cs="Times New Roman" w:eastAsia="Times New Roman" w:hAnsi="Times New Roman"/>
          <w:sz w:val="14"/>
          <w:szCs w:val="14"/>
          <w:color w:val="auto"/>
        </w:rPr>
        <w:t>Net unrealized losses, if any, on loans without a FV election, are recognized through a valuation allowance and recorded as a charge to Other noninterest income. The cost basis of loans HFS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includes unamortized loan origination fees and costs. The pro-rata portion, based on the percent of the total loan sold, of the remaining deferred fees and costs are recognized as an adjustment to the gain on sale. Not electing FV generally results in a larger discount being recorded on the origination date. This discount will subsequently be accreted into interest income over the underlying loan’s remaining term using the effective interest method. Management made this change of election in alignment with its ongoing effort to reduce volatility and drive more predictable revenue.</w:t>
      </w:r>
    </w:p>
    <w:p>
      <w:pPr>
        <w:spacing w:after="0" w:line="16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If the transfer is accounted for as a sale, the loans are derecognized from the Company’s consolidated balance sheet and a gain or loss is recognized in net gains on sales of loans line item on the consolidated statements of income. The gain on sale recognized in income is the sum of the premium on the guaranteed loan and the FV of the servicing assets recognized, less the discount recorded on the unguaranteed portion of the loan retained. If the transfer does not satisfy the aforementioned control criteria, the transaction is recorded as a secured borrowing with the transferred loans remaining on the Company’s consolidated balance sheet and proceeds recognized as a liability.</w:t>
      </w:r>
    </w:p>
    <w:p>
      <w:pPr>
        <w:spacing w:after="0" w:line="14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At FV: </w:t>
      </w:r>
      <w:r>
        <w:rPr>
          <w:rFonts w:ascii="Times New Roman" w:cs="Times New Roman" w:eastAsia="Times New Roman" w:hAnsi="Times New Roman"/>
          <w:sz w:val="14"/>
          <w:szCs w:val="14"/>
          <w:color w:val="auto"/>
        </w:rPr>
        <w:t>In accordance with accounting standards, any loans for which FV was previously elected continue to be measured as such. Interest income is recognized in the same manner on loans reported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Dividend income</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Dividend income is recognized on an accrual basis for equity securities to the extent that such amounts are expected to be collected or realized. In determining the amount of dividend income to recognize, if any, from cash distributions on equity securities, we assess many factors, including the joint ventures’ and other non-controlled equity investments’ cumulative undistributed income and operating cash flow. Cash distributions from equity securities received in excess of such undistributed amounts are recorded first as a reduction of our investment and then as a realized gain on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Servicing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earns servicing income related to the guaranteed portions of SBA 7(a) and ALP loans sold into the secondary market. These recurring servicing fees are earned and recorded daily.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income is earned for the full term of the loan or until the loan is repaid.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Technology and IT support income</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technology segment (NTS) sells a range of services and goods, including managed IT services, product and procurement services, professional services, webhosting, secure private cloud hosting, and backup and disaster recovery. Our technology segment sells hardware and software products on both a stand-alone basis without any services and as solutions bundled with services. When our technology segment provides a combination of hardware and software products with the provision of services, it separately identifies its performance obligations under its contract with the customer as the distinct goods (hardware and/or software products) or services that will be provided. The total transaction price for an arrangement with multiple performance obligations is allocated at contract inception to each distinct performance obligation in proportion to its stand-alone selling price. The stand-alone selling price is the price at which it would sell a promised good or service separately to a customer. Our technology segment estimates the price based on observable inputs, including direct labor hours and allocatable costs, or uses observable stand-alone prices when they are available. Our technology segment’s professional services include the design and implementation of a wide range of IT products and services. Such services are typically provided by us or third-party sub-contractor vendors on a stand-alone basis.</w:t>
      </w:r>
    </w:p>
    <w:p>
      <w:pPr>
        <w:spacing w:after="0" w:line="1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a contract with a customer. 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depend on a significant level of integration, interdependency, and interrelation between the desktop applications and cloud services, and are accounted for together as one performance obligation. Revenue from such cloud services is recognized ratably over the period in which the cloud services are provided. We otherwise recognize revenue when it satisfies a performance obligation by transferring control of a product or service or by arranging for the sale of a vendor’s products or service to a customer. We recognize revenue from sale of services as we perform the underlying services, typically based on time and materials basis based upon hours incurred for the performance completed to date for which we have the right to consideration. We recognize revenue on sales of goods at a point in time when customer takes control of goods, which typically occurs when title and risk of loss have passed to the customer. We recognize revenue on a gross basis for each of its services and product offerings principally because it is primarily responsible for fulfilling the promise to provide specified goods or service and it has discretion in establishing the price of specified good or service.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classify our right to consideration in exchange for deliverables as either a receivable or a contract asset (unbilled receivable). A receivable is a right to consideration that is unconditional (i.e. only the passage of time is required before payment is due). For example, we recognize a receivable for revenue related to our transaction or volume-based contracts when earned regardless of whether amounts have been billed. We present such receivables in accounts receivable, net in our consolidated balance sheets We maintain an allowance for credit losses to provide for the estimated amount of receivables that may not be collected. The allowance is based upon an assessment of customer creditworthiness, historical payment experience, the age of outstanding receivables, judgment, and other applicable factors.</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A contract asset is a right to consideration that is conditional upon factors other than the passage of time. Contract assets are presented in current and other assets in our consolidated balance sheets and primarily relate to unbilled amounts on fixed-price contracts utilizing the output method of revenue recognition. Our contract assets and liabilities are reported at the end of each reporting period. The difference between the opening and closing balances of our contract assets and deferred revenue primarily results from the timing difference between our performance obligations and the customer’s payment. We receive payments from customers based on the terms established in our contracts, which may vary generally by contract type.</w:t>
      </w:r>
    </w:p>
    <w:p>
      <w:pPr>
        <w:spacing w:after="0" w:line="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contract assets and liabilities are reported in a net position on a contract-by-contract basis at the end of each reporting period. The difference between the opening and closing balances of our contract assets and deferred revenue primarily results from the timing difference between our performance obligations and the customer’s payment. We receive payments from customers based on the terms established in our contracts, which may vary generally by contract type.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2, 2025, the Company completed the NTS Sale to Paltalk. Refer to “NOTE 1—DESCRIPTION OF BUSINESS AND BASIS OF PRESENTATION</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 xml:space="preserve"> Sale of 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Electronic payment processing income</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Revenues are recognized when control of the promised goods or services is transferred to the Company's customers, in an amount that reflects the consideration the Company expects to be entitled to in exchange for those goods or services. To achieve this core principle, the Company applies the following five steps:</w:t>
      </w:r>
    </w:p>
    <w:p>
      <w:pPr>
        <w:spacing w:after="0" w:line="145" w:lineRule="exact"/>
        <w:rPr>
          <w:sz w:val="20"/>
          <w:szCs w:val="20"/>
          <w:color w:val="auto"/>
        </w:rPr>
      </w:pPr>
    </w:p>
    <w:p>
      <w:pPr>
        <w:ind w:left="660" w:hanging="146"/>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a customer</w:t>
      </w:r>
    </w:p>
    <w:p>
      <w:pPr>
        <w:spacing w:after="0" w:line="23"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the performance obligations in the contract</w:t>
      </w:r>
    </w:p>
    <w:p>
      <w:pPr>
        <w:spacing w:after="0" w:line="8" w:lineRule="exact"/>
        <w:rPr>
          <w:rFonts w:ascii="Times New Roman" w:cs="Times New Roman" w:eastAsia="Times New Roman" w:hAnsi="Times New Roman"/>
          <w:sz w:val="14"/>
          <w:szCs w:val="14"/>
          <w:color w:val="auto"/>
        </w:rPr>
      </w:pPr>
    </w:p>
    <w:p>
      <w:pPr>
        <w:ind w:left="660" w:hanging="146"/>
        <w:spacing w:after="0"/>
        <w:tabs>
          <w:tab w:leader="none" w:pos="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revenue when or as the Company satisfies a performance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recognized net of taxes collected from customers, which are subsequently remitted to governmental authorities.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NMS’s revenue is primarily derived from electronic payment processing and related fee income.</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Electronic payment processing and fee income is derived from NMS’s electronic processing of credit and debit card transactions that are authorized and captured through third-party networks. Typically, merchants are charged for these processing services by applying a percentage to the dollar amount of each transaction plus a flat fee per transaction. Certain merchant customers are charged miscellaneous fees, including fees for handling charge-backs or returns, monthly minimum fees, statement fees and fees for other miscellaneous services. Revenues derived from the electronic processing of MasterCard®, Visa®, American Express® and Discover® sourced credit and debit card transactions are reported net of certain transaction-related costs.</w:t>
      </w:r>
    </w:p>
    <w:p>
      <w:pPr>
        <w:spacing w:after="0" w:line="16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NMS's performance obligations are to stand ready to provide holistic electronic payment processing services consisting of a series of distinct elements that are substantially the same and have the same pattern of transfer over time. NMS’s promise to its customers is to perform an unknown or unspecified quantity of tasks and the consideration received is contingent upon the customers’ use (i.e., number of payment transactions processed, number of cards on file, etc.); as such, the total transaction price is variable. The Company allocates the variable fees charged to the day in which it has the contractual right to bill under the contract.</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ASU 2014-09, "Revenues from Contracts with Customers (“Topic 606”)" (“ASC 606”) requires that the Company determine for each customer arrangement whether revenue should be recognized at a point in time or over time. For the years ended December 31, 2024 and and 2023, substantially all of the Company’s revenues were recognized at a point in time.</w:t>
      </w:r>
    </w:p>
    <w:p>
      <w:pPr>
        <w:spacing w:after="0" w:line="1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6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Receivable fees: </w:t>
      </w:r>
      <w:r>
        <w:rPr>
          <w:rFonts w:ascii="Times New Roman" w:cs="Times New Roman" w:eastAsia="Times New Roman" w:hAnsi="Times New Roman"/>
          <w:sz w:val="14"/>
          <w:szCs w:val="14"/>
          <w:color w:val="auto"/>
        </w:rPr>
        <w:t>Receivable fees are derived from the funding (purchase) of receivables from the Company’s finance clients. The Company recognizes revenue on the date receivables are purchased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a percentage of face value as agreed to by the client. The Company also has arrangements with certain of its clients whereby it purchases the client’s receivables and charges a fee at a specified rate based on the amount of funds advanced against such receivables. The funds provided are collateralized and the income is recognized as earned which occurs as time passes.</w:t>
      </w:r>
    </w:p>
    <w:p>
      <w:pPr>
        <w:spacing w:after="0" w:line="155"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Realized gains or losses on joint ventures: </w:t>
      </w:r>
      <w:r>
        <w:rPr>
          <w:rFonts w:ascii="Times New Roman" w:cs="Times New Roman" w:eastAsia="Times New Roman" w:hAnsi="Times New Roman"/>
          <w:sz w:val="14"/>
          <w:szCs w:val="14"/>
          <w:color w:val="auto"/>
        </w:rPr>
        <w:t>Realized gains or losses on joint ventures are measured by the difference between the net proceeds from the disposition and the cost basis of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regard to unrealized gains or losses previously recognized. The Company reports current period changes in the fair value of joint venture investments as a component of the net change in unrealized appreciation (depreciation) on joint ventures in the consolidated statements of operations.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Electronic Payment Processing Costs</w:t>
      </w:r>
    </w:p>
    <w:p>
      <w:pPr>
        <w:spacing w:after="0" w:line="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Electronic payment processing costs consist principally of costs directly related to the processing of merchant sales volume, bank processing fees, amounts paid to NMS’ sponsoring banks and costs paid to third-party processing networks. Such costs are recognized at the time the merchant transactions are processed or when the services are performed.</w:t>
      </w:r>
    </w:p>
    <w:p>
      <w:pPr>
        <w:spacing w:after="0" w:line="15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addition to costs directly related to the processing of merchant sales volume, electronic payment processing costs also include residual expenses. Residual expenses represent fees paid to third-party sales referral sources. Residual expenses are paid in accordance with contracted terms. These are generally linked to revenues derived from merchants successfully referred to the Company and that begin using the Company for merchant processing services. Such residual expenses are recognized in the Company’s consolidated statements of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Technology Services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of services and goods sold include product costs, outbound and inbound freight costs, and direct time and materials in delivering service and goods to customers.</w:t>
      </w:r>
    </w:p>
    <w:p>
      <w:pPr>
        <w:spacing w:after="0" w:line="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Selling and administrative expenses include salaries and wages for staff who are not directly associated with delivering services, bonuses and incentives, employee-related expenses, facility-related expenses, marketing and advertising expense, depreciation of property and equipment, professional fees, amortization of intangible assets, provisions for losses on accounts receivable and other operating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Stock – Based Compensation</w:t>
      </w:r>
    </w:p>
    <w:p>
      <w:pPr>
        <w:spacing w:after="0" w:line="20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its equity-based compensation plans using the fair value method, as prescribed by ASC Topic 718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Stock Compensation. Accordingly, for restricted stock awards, the Company measures the grant date fair value based upon the market price of the Company’s Common Stock on the date of the grant and amortizes this fair value to salaries and benefits ratably over the requisite service period or vesting term on a straight line basis. Forfeitures are recognized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21—INCOME TAXES</w:t>
      </w:r>
      <w:r>
        <w:rPr>
          <w:rFonts w:ascii="Times New Roman" w:cs="Times New Roman" w:eastAsia="Times New Roman" w:hAnsi="Times New Roman"/>
          <w:sz w:val="14"/>
          <w:szCs w:val="14"/>
          <w:b w:val="1"/>
          <w:bCs w:val="1"/>
          <w:color w:val="auto"/>
        </w:rPr>
        <w:t>.</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2021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15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Formerly, as a RIC ending with the Company’s December 31, 2022 fiscal year end, the Company was not subject to corporate level income tax. Beginning on January 1, 2023 with the start of the 2023 fiscal year, the Company no longer qualifies as a RIC and is subject to corporate level income tax. See NOTE 21—INCOME TAXES</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Operating segments are components of an enterprise about which separate financial information is available that is evaluated regularly by the chief operating decision maker in deciding how to allocate resources and in assessing performance. Management has determined that the Company has five reportable operating segments: Banking, NALH, Non-Bank SBA 7(a) Lending, Technology, and Payments as discussed more fully in NOTE 22—SEGMENTS. In determining the appropriateness of a segment definition, the Company considers the criteria of FASB ASC 280, Segment Reporting.</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Business combinations are accounted for under the acquisition method, in which the identifiable assets acquired and liabilities assumed are generally measured and recognized at fair value as of the acquisition date, with the excess of the purchase price over the fair value of the net assets acquired recognized as goodwill. Items such as acquired income-tax related balances are recognized in accordance with other applicable GAAP, which may result in measurements that differ from fair value. Business combinations are included in the consolidated financial statements from the respective dates of acquisition. Historical reporting periods reflect only the results of legacy Company operations. Acquisition-related costs are expensed in the period incurred and presented within the applicable non-interest expense category. Additional information regarding the Company’s acquisitions can be found within NOTE 3—BUSINESS COMBINATIONS, which relates to the 2023 acquisition of NBNYC. There were no acquisitions during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Current Expected Credit Losses (Topic 326): </w:t>
      </w:r>
      <w:r>
        <w:rPr>
          <w:rFonts w:ascii="Times New Roman" w:cs="Times New Roman" w:eastAsia="Times New Roman" w:hAnsi="Times New Roman"/>
          <w:sz w:val="14"/>
          <w:szCs w:val="14"/>
          <w:color w:val="auto"/>
        </w:rPr>
        <w:t>In June 2016, FASB issued ASU No. 2016-13, Financial Instruments—Credit Losses—Measurement of Credit Losses on Financial Instruments (Topic</w:t>
      </w:r>
    </w:p>
    <w:p>
      <w:pPr>
        <w:spacing w:after="0" w:line="25" w:lineRule="exact"/>
        <w:rPr>
          <w:sz w:val="20"/>
          <w:szCs w:val="20"/>
          <w:color w:val="auto"/>
        </w:rPr>
      </w:pPr>
    </w:p>
    <w:p>
      <w:pPr>
        <w:ind w:right="40" w:firstLine="5"/>
        <w:spacing w:after="0" w:line="255" w:lineRule="auto"/>
        <w:tabs>
          <w:tab w:leader="none" w:pos="29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spacing w:after="0" w:line="16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Fair Value Measurement (ASU 2022-03): </w:t>
      </w:r>
      <w:r>
        <w:rPr>
          <w:rFonts w:ascii="Times New Roman" w:cs="Times New Roman" w:eastAsia="Times New Roman" w:hAnsi="Times New Roman"/>
          <w:sz w:val="14"/>
          <w:szCs w:val="14"/>
          <w:color w:val="auto"/>
        </w:rPr>
        <w:t>In June 2022, the FASB issued ASU No. 2022-03, Fair Value Measurement (Topic 820), which clarifies the guidance in Topic 820 when measuring the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An entity that qualifies as an investment company under Topic 946 should apply the amendments in ASU No. 2022-03 to an investment in an equity security subject to a contractual sale restriction that is executed or modified on or after the date of adoption. The impact of these amendments was not material.</w:t>
      </w:r>
    </w:p>
    <w:p>
      <w:pPr>
        <w:spacing w:after="0" w:line="1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Improvements to Reportable Segment Disclosures (ASU 2023-07): </w:t>
      </w:r>
      <w:r>
        <w:rPr>
          <w:rFonts w:ascii="Times New Roman" w:cs="Times New Roman" w:eastAsia="Times New Roman" w:hAnsi="Times New Roman"/>
          <w:sz w:val="14"/>
          <w:szCs w:val="14"/>
          <w:color w:val="auto"/>
        </w:rPr>
        <w:t>In November 2023, the FASB issued ASU 2023-07, Segment Reporting (Topic 280): Improvements to Reportable Segment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Disclosures. The purpose of this guidance is to improve reportable segment disclosure, primarily through enhanced disclosures about significant segment expenses. This ASU requires that an entity disclose, on an interim and annual basis, significant segment expenses that are regularly provided to the CODM and are included within the reported measure of segment profit or loss. This ASU also requires an entity to disclose, on an interim and annual basis, other segment items by reportable segment, including a qualitative description of the composition of those items. This “other” category is defined as the difference between segment profit or loss and segment revenue less significant segment expenses. Entities are also required to disclose the title and position of the individual, or the name of the group or committee, identified as the CODM. The amendments are effective on January 1, 2024, for annual reporting, and January 1, 2025, for interim reporting, with early adoption permitted. The amendments must be applied using a retrospective approach. The Company adopted this guidance as of January 1, 2024 which resulted in enhanced disclosures of segment expenses within the consolidated financial statements beginning with its December 31, 2024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Improvements to Income Tax Disclosures (ASU 2023-09): </w:t>
      </w:r>
      <w:r>
        <w:rPr>
          <w:rFonts w:ascii="Times New Roman" w:cs="Times New Roman" w:eastAsia="Times New Roman" w:hAnsi="Times New Roman"/>
          <w:sz w:val="14"/>
          <w:szCs w:val="14"/>
          <w:color w:val="auto"/>
        </w:rPr>
        <w:t>In December 2023, the FASB issued ASU 2023-09, Income Taxes (Topic 740): Improvements to Income Tax Disclosures. The purpose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are effective on January 1, 2025, with early adoption permitted. The amendments must be applied using either a prospective or retrospective approach. Management does not expect the impact of these amendments to be material.</w:t>
      </w:r>
    </w:p>
    <w:p>
      <w:pPr>
        <w:spacing w:after="0" w:line="15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Compensation—Stock Compensation (ASU 2024-01): </w:t>
      </w:r>
      <w:r>
        <w:rPr>
          <w:rFonts w:ascii="Times New Roman" w:cs="Times New Roman" w:eastAsia="Times New Roman" w:hAnsi="Times New Roman"/>
          <w:sz w:val="14"/>
          <w:szCs w:val="14"/>
          <w:color w:val="auto"/>
        </w:rPr>
        <w:t>In March 2024, the FASB issued ASU 2024-01, Compensation - Stock Compensation (Topic 718), Scope Application of Profits Interest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is in the process of evaluating the impact of adopting this standard and, at this time, does not anticipate it will have a material impact on its consolidated financial statements.</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Income Statement-Reporting Comprehensive Income-Expense Disaggregation Disclosures (ASU 2024-03): </w:t>
      </w:r>
      <w:r>
        <w:rPr>
          <w:rFonts w:ascii="Times New Roman" w:cs="Times New Roman" w:eastAsia="Times New Roman" w:hAnsi="Times New Roman"/>
          <w:sz w:val="14"/>
          <w:szCs w:val="14"/>
          <w:color w:val="auto"/>
        </w:rPr>
        <w:t>In November 2024, the FASB issued ASU 2024-03, which requires public business entities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disclose, on an annual and interim basis, disaggregated information about certain income statement expense line items in the notes to the financial statements. Public business entities are required to apply the guidance prospectively and may elect to apply it retrospectively. This ASU is effective for fiscal years beginning after December 15, 2026 and interim periods within fiscal years beginning after December 15, 2027. The Company is in the process of evaluating the impact of adopting this standard and, at this time, does not anticipate it will have a material impact on its consolidated financial statements.</w:t>
      </w:r>
    </w:p>
    <w:p>
      <w:pPr>
        <w:spacing w:after="0" w:line="16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Debt with Conversion and Other Options (Subtopic 470-20) Induced Conversions of Convertible Debt Instruments (ASU 2024-04): </w:t>
      </w:r>
      <w:r>
        <w:rPr>
          <w:rFonts w:ascii="Times New Roman" w:cs="Times New Roman" w:eastAsia="Times New Roman" w:hAnsi="Times New Roman"/>
          <w:sz w:val="14"/>
          <w:szCs w:val="14"/>
          <w:color w:val="auto"/>
        </w:rPr>
        <w:t>In November 2024, the FASB issued ASU 2024-04,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in the process of evaluating the impact of adopting this standard and, at this time, does not anticipate it will have a material impact on its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3—BUSINESS COMBINATIONS: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NBNYC</w:t>
      </w:r>
    </w:p>
    <w:p>
      <w:pPr>
        <w:spacing w:after="0" w:line="202"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4"/>
          <w:szCs w:val="14"/>
          <w:color w:val="auto"/>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$1.3 million. NBNYC was renamed Newtek Bank and became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NBNYC transaction was accounted for in accordance with ASC 805, Business Combinations, and the Company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purchase price, including costs incurred by the Company on behalf of the seller directly associated with the Acquisition, was preliminarily allocated to net assets acquired. Final allocation was obtained and the purchase allocations finalized at December 31, 2023. The following table summarizes the allocation of consideration paid for the fair value of assets acquired and liabilities assumed from NBNYC:</w:t>
      </w:r>
    </w:p>
    <w:p>
      <w:pPr>
        <w:sectPr>
          <w:pgSz w:w="11900" w:h="16838" w:orient="portrait"/>
          <w:cols w:equalWidth="0" w:num="1">
            <w:col w:w="11260"/>
          </w:cols>
          <w:pgMar w:left="300" w:top="127" w:right="3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consideration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assets acquired: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due from banks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Available-for-sale securities (at fair value)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Loans receivable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Reserve Bank stock, at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Federal Home Loan Bank stock, at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Goodwill</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Core deposit intangible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liabilities assumed: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Deposits: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Demand</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Savings and NOW and Money Market</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Certificates of deposit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deposits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Advances from the Federal Home Loan Bank</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r>
      <w:tr>
        <w:trPr>
          <w:trHeight w:val="357"/>
        </w:trPr>
        <w:tc>
          <w:tcPr>
            <w:tcW w:w="16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29,138</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175"/>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32,422</w:t>
            </w:r>
          </w:p>
        </w:tc>
      </w:tr>
      <w:tr>
        <w:trPr>
          <w:trHeight w:val="374"/>
        </w:trPr>
        <w:tc>
          <w:tcPr>
            <w:tcW w:w="16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159,155</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75"/>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201,889</w:t>
            </w:r>
          </w:p>
        </w:tc>
      </w:tr>
      <w:tr>
        <w:trPr>
          <w:trHeight w:val="533"/>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10,975</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104,162</w:t>
            </w:r>
          </w:p>
        </w:tc>
      </w:tr>
      <w:tr>
        <w:trPr>
          <w:trHeight w:val="167"/>
        </w:trPr>
        <w:tc>
          <w:tcPr>
            <w:tcW w:w="162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137,015</w:t>
            </w:r>
          </w:p>
        </w:tc>
      </w:tr>
      <w:tr>
        <w:trPr>
          <w:trHeight w:val="180"/>
        </w:trPr>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27,817</w:t>
            </w:r>
          </w:p>
        </w:tc>
      </w:tr>
      <w:tr>
        <w:trPr>
          <w:trHeight w:val="184"/>
        </w:trPr>
        <w:tc>
          <w:tcPr>
            <w:tcW w:w="1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w:t>
            </w:r>
          </w:p>
        </w:tc>
      </w:tr>
      <w:tr>
        <w:trPr>
          <w:trHeight w:val="175"/>
        </w:trPr>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-4720590</wp:posOffset>
            </wp:positionH>
            <wp:positionV relativeFrom="paragraph">
              <wp:posOffset>-3020060</wp:posOffset>
            </wp:positionV>
            <wp:extent cx="7053580" cy="114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-2790825</wp:posOffset>
            </wp:positionV>
            <wp:extent cx="7053580" cy="114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-2561590</wp:posOffset>
            </wp:positionV>
            <wp:extent cx="7053580" cy="121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053580" cy="12128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-2312670</wp:posOffset>
            </wp:positionV>
            <wp:extent cx="7053580" cy="114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-2083435</wp:posOffset>
            </wp:positionV>
            <wp:extent cx="7053580" cy="114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-1854200</wp:posOffset>
            </wp:positionV>
            <wp:extent cx="7053580" cy="1143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-1625600</wp:posOffset>
            </wp:positionV>
            <wp:extent cx="7053580" cy="1143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-1396365</wp:posOffset>
            </wp:positionV>
            <wp:extent cx="7053580" cy="1143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-1167130</wp:posOffset>
            </wp:positionV>
            <wp:extent cx="7053580" cy="121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053580" cy="12128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-931545</wp:posOffset>
            </wp:positionV>
            <wp:extent cx="7053580" cy="114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-702310</wp:posOffset>
            </wp:positionV>
            <wp:extent cx="7053580" cy="114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-473075</wp:posOffset>
            </wp:positionV>
            <wp:extent cx="7053580" cy="1212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053580" cy="12128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-237490</wp:posOffset>
            </wp:positionV>
            <wp:extent cx="7053580" cy="114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05358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20"/>
          </w:cols>
          <w:pgMar w:left="300" w:top="127" w:right="339" w:bottom="1440" w:gutter="0" w:footer="0" w:header="0"/>
          <w:type w:val="continuous"/>
        </w:sectPr>
      </w:pPr>
    </w:p>
    <w:p>
      <w:pPr>
        <w:spacing w:after="0" w:line="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ASC 805 provides for a period of time during which the acquirer may adjust provisional amounts recognized at the acquisition date to their subsequently determined acquisition-date fair values, referred to as the “measurement period.” Adjustments during the measurement period are not limited to just those relating to assets acquired and liabilities assumed but apply to all aspects of business combination accounting (e.g., the consideration transferred). Measurement-period adjustments are calculated as if they were known at the acquisition date, but are recognized in the reporting period in which they are determined. Prior period information is not revised, including the effect on earnings of any amounts they would have recorded in previous periods if the accounting had been completed at the acquisition date. In accordance with ASC 805, the Company recorded a measurement period adjustment and decreased goodwill by $1.0 million related to the finalization of the consideration transferred.</w:t>
      </w:r>
    </w:p>
    <w:p>
      <w:pPr>
        <w:spacing w:after="0" w:line="1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Information regarding the allocation of goodwill to the Company’s reportable segments, as well as the carrying amounts and amortization of the core deposit intangible, can be found within NOTE 8 —GOODWILL AND INTANGIBLE ASSETS. None of the goodwill is tax deductible. Described below are the methods used to determine the fair values of the significant assets acquired and liabilities assumed in the NBNYC Acquisition.</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The estimated fair values of cash and cash equivalents approximate their stated face amounts, as these financial instruments are either due on demand or have short-term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maturities.</w:t>
      </w:r>
    </w:p>
    <w:p>
      <w:pPr>
        <w:spacing w:after="0" w:line="14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Investment securities available-for-sale</w:t>
      </w:r>
      <w:r>
        <w:rPr>
          <w:rFonts w:ascii="Times New Roman" w:cs="Times New Roman" w:eastAsia="Times New Roman" w:hAnsi="Times New Roman"/>
          <w:sz w:val="14"/>
          <w:szCs w:val="14"/>
          <w:color w:val="auto"/>
        </w:rPr>
        <w:t>. Quoted market prices for the securities acquired were used to determine their fair values. If quoted market prices were not available for a specific security,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then quoted prices for similar securities in active markets were used to estimate the fair value.</w:t>
      </w:r>
    </w:p>
    <w:p>
      <w:pPr>
        <w:spacing w:after="0" w:line="14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Each loan was assessed individually. The fair values for loans were estimated using a discounted cash flow methodology that considered factors including the type of loan and the related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Deposit Liabilities. </w:t>
      </w:r>
      <w:r>
        <w:rPr>
          <w:rFonts w:ascii="Times New Roman" w:cs="Times New Roman" w:eastAsia="Times New Roman" w:hAnsi="Times New Roman"/>
          <w:sz w:val="14"/>
          <w:szCs w:val="14"/>
          <w:color w:val="auto"/>
        </w:rPr>
        <w:t>The fair values used for the demand and savings deposits by definition equal the amount payable on demand at the Acquisition date. The fair values for time deposits were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estimated using a discounted cash flow methodology that applies interest rates currently being offered to the contractual interest rates on such time deposits.</w:t>
      </w:r>
    </w:p>
    <w:p>
      <w:pPr>
        <w:spacing w:after="0" w:line="14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Borrowings</w:t>
      </w:r>
      <w:r>
        <w:rPr>
          <w:rFonts w:ascii="Times New Roman" w:cs="Times New Roman" w:eastAsia="Times New Roman" w:hAnsi="Times New Roman"/>
          <w:sz w:val="14"/>
          <w:szCs w:val="14"/>
          <w:color w:val="auto"/>
        </w:rPr>
        <w:t>. The estimated fair value of borrowed funds is based on bid quotations received from securities dealers or the discounted value of contractual cash flows with interest rates currently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effect for borrowed funds with similar maturities.</w:t>
      </w:r>
    </w:p>
    <w:p>
      <w:pPr>
        <w:spacing w:after="0" w:line="14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PCD loans. </w:t>
      </w:r>
      <w:r>
        <w:rPr>
          <w:rFonts w:ascii="Times New Roman" w:cs="Times New Roman" w:eastAsia="Times New Roman" w:hAnsi="Times New Roman"/>
          <w:sz w:val="14"/>
          <w:szCs w:val="14"/>
          <w:color w:val="auto"/>
        </w:rPr>
        <w:t>Purchased loans that reflect a more-than-insignificant deterioration of credit from origination are considered PCD. For PCD loans and leases, the initial estimate of expected credit losses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 value (unpaid principal balance)</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42,443</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at acquisition</w:t>
            </w:r>
          </w:p>
        </w:tc>
        <w:tc>
          <w:tcPr>
            <w:tcW w:w="16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Non-credit (discount)</w:t>
            </w:r>
          </w:p>
        </w:tc>
        <w:tc>
          <w:tcPr>
            <w:tcW w:w="168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17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680" w:type="dxa"/>
            <w:vAlign w:val="bottom"/>
            <w:tcBorders>
              <w:bottom w:val="single" w:sz="8" w:color="auto"/>
            </w:tcBorders>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40,014</w:t>
            </w:r>
          </w:p>
        </w:tc>
      </w:tr>
      <w:tr>
        <w:trPr>
          <w:trHeight w:val="20"/>
        </w:trPr>
        <w:tc>
          <w:tcPr>
            <w:tcW w:w="73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w:t>
      </w:r>
    </w:p>
    <w:p>
      <w:pPr>
        <w:spacing w:after="0" w:line="14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incurred transaction costs related to the NBNYC Acquisition during the years ended December 31, 2023 and 2022 of $0.2 million and $2.3 million, respectively. These costs have been included in the Consolidated Statement of Operations in Professional services expense.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2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7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 at fair value</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44,039</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38,660</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3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7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71,558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85,179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74,667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77,393</w:t>
            </w: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Investments in Joint Ventures (JV) and Other Non-Control Investments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NCL JV:</w:t>
            </w: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Assets and Liabilities Information (Unaudited)</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40" w:type="dxa"/>
            <w:vAlign w:val="bottom"/>
          </w:tcPr>
          <w:p>
            <w:pPr>
              <w:spacing w:after="0"/>
              <w:rPr>
                <w:sz w:val="24"/>
                <w:szCs w:val="24"/>
                <w:color w:val="auto"/>
              </w:rPr>
            </w:pPr>
          </w:p>
        </w:tc>
        <w:tc>
          <w:tcPr>
            <w:tcW w:w="142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Loans, at FV (amortized cost of $52,751 and $68,404, respectively)</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61,732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75,607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612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11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25,322</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38,805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assets</w:t>
            </w:r>
          </w:p>
        </w:tc>
        <w:tc>
          <w:tcPr>
            <w:tcW w:w="1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net assets</w:t>
            </w: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61,732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Unrealized (depreciation) appreciation on investments</w:t>
            </w: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12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TSO JV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 The Class A and Class B Notes received Morningstar DBRS ratings of “A (sf)” and “BBB (high) (sf),” respectively. TSO JV ceased investing in new ALP loans in July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TSO JV:</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Assets and Liabilities Information (Unaudited)</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40" w:type="dxa"/>
            <w:vAlign w:val="bottom"/>
          </w:tcPr>
          <w:p>
            <w:pPr>
              <w:spacing w:after="0"/>
              <w:rPr>
                <w:sz w:val="24"/>
                <w:szCs w:val="24"/>
                <w:color w:val="auto"/>
              </w:rPr>
            </w:pPr>
          </w:p>
        </w:tc>
        <w:tc>
          <w:tcPr>
            <w:tcW w:w="142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Loans, at FV (amortized cost of $173,654 and $62,695, respectively)</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208,375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73,647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61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Bank notes payable</w:t>
            </w:r>
          </w:p>
        </w:tc>
        <w:tc>
          <w:tcPr>
            <w:tcW w:w="10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29,636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0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140,651</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assets</w:t>
            </w:r>
          </w:p>
        </w:tc>
        <w:tc>
          <w:tcPr>
            <w:tcW w:w="10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net assets</w:t>
            </w: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208,375</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appreciation (depreciation) on investments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loss on investments</w:t>
            </w:r>
          </w:p>
        </w:tc>
        <w:tc>
          <w:tcPr>
            <w:tcW w:w="10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Realized gain (loss) on derivative transactions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(loss) gain on derivative transactions</w:t>
            </w:r>
          </w:p>
        </w:tc>
        <w:tc>
          <w:tcPr>
            <w:tcW w:w="10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Affiliated Companies</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An affiliated company is an unconsolidated entity in which the Company has an ownership of 5% or more of its voting securities. Transactions related to our joint ventures and other non-controlled investments for the years ended December 31, 2024 and 2023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0" w:type="dxa"/>
            <w:vAlign w:val="bottom"/>
          </w:tcPr>
          <w:p>
            <w:pPr>
              <w:spacing w:after="0"/>
              <w:rPr>
                <w:sz w:val="10"/>
                <w:szCs w:val="10"/>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100" w:type="dxa"/>
            <w:vAlign w:val="bottom"/>
          </w:tcPr>
          <w:p>
            <w:pPr>
              <w:spacing w:after="0"/>
              <w:rPr>
                <w:sz w:val="10"/>
                <w:szCs w:val="10"/>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1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100" w:type="dxa"/>
            <w:vAlign w:val="bottom"/>
          </w:tcPr>
          <w:p>
            <w:pPr>
              <w:spacing w:after="0"/>
              <w:rPr>
                <w:sz w:val="10"/>
                <w:szCs w:val="10"/>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14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Newtek TSO II Conventional Credit Partners, LP</w:t>
            </w: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Joint Ventures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56,900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Non-Control Investments</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EMCAP Loan Holdings, LLC</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5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Biller Genie Software, LLC</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Non-Control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Ventures and Other Non-Control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F-32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0" w:type="dxa"/>
            <w:vAlign w:val="bottom"/>
          </w:tcPr>
          <w:p>
            <w:pPr>
              <w:spacing w:after="0"/>
              <w:rPr>
                <w:sz w:val="11"/>
                <w:szCs w:val="11"/>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8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14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100" w:type="dxa"/>
            <w:vAlign w:val="bottom"/>
          </w:tcPr>
          <w:p>
            <w:pPr>
              <w:spacing w:after="0"/>
              <w:rPr>
                <w:sz w:val="11"/>
                <w:szCs w:val="11"/>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120" w:type="dxa"/>
            <w:vAlign w:val="bottom"/>
          </w:tcPr>
          <w:p>
            <w:pPr>
              <w:spacing w:after="0"/>
              <w:rPr>
                <w:sz w:val="11"/>
                <w:szCs w:val="11"/>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4"/>
        </w:trPr>
        <w:tc>
          <w:tcPr>
            <w:tcW w:w="3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6"/>
        </w:trPr>
        <w:tc>
          <w:tcPr>
            <w:tcW w:w="3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16,587</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Newtek TSO II Conventional Credit Partners, LP</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Joint Ventures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182"/>
        </w:trPr>
        <w:tc>
          <w:tcPr>
            <w:tcW w:w="3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Non-Control Investments</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EMCAP Loan Holdings, LLC</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Biller Genie Software, LLC</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Non-Control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2"/>
        </w:trPr>
        <w:tc>
          <w:tcPr>
            <w:tcW w:w="3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Ventures and Other Non-Control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debt securities available-for-sale by major type as of December 31, 2024 and 2023:</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1"/>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Amortized Cost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29,372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r>
      <w:tr>
        <w:trPr>
          <w:trHeight w:val="196"/>
        </w:trPr>
        <w:tc>
          <w:tcPr>
            <w:tcW w:w="1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2024 and December 31, 2023, there was $30.4 thousand and $0.2 million of accrued interest receivable on available-for-sale securities, respectively,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2024 and 2023, securities sold or settled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sold or settled</w:t>
            </w:r>
          </w:p>
        </w:tc>
        <w:tc>
          <w:tcPr>
            <w:tcW w:w="11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5</w:t>
            </w:r>
          </w:p>
        </w:tc>
        <w:tc>
          <w:tcPr>
            <w:tcW w:w="2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$42,500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w:t>
            </w:r>
          </w:p>
        </w:tc>
        <w:tc>
          <w:tcPr>
            <w:tcW w:w="212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w w:val="95"/>
              </w:rPr>
              <w:t>$—</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debt securities available-for-sale by length of time each major security type has been in a continuous unrealized loss position: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color w:val="auto"/>
              </w:rPr>
              <w:t>Less Than 12 Months</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12 Months or More</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821"/>
        </w:trPr>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F-33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7"/>
        </w:trPr>
        <w:tc>
          <w:tcPr>
            <w:tcW w:w="30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color w:val="auto"/>
              </w:rPr>
              <w:t>Less Than 12 Months</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color w:val="auto"/>
              </w:rPr>
              <w:t>12 Months or More</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debt securities available-for-sale by contractual maturity: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294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At December 31, 2023</w:t>
            </w:r>
          </w:p>
        </w:tc>
      </w:tr>
      <w:tr>
        <w:trPr>
          <w:trHeight w:val="171"/>
        </w:trPr>
        <w:tc>
          <w:tcPr>
            <w:tcW w:w="49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Maturing within 1 year</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Newtek Bank’s debt securities available-for-sale pledged for deposits, borrowings, and other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30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30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30,730</w:t>
            </w:r>
          </w:p>
        </w:tc>
      </w:tr>
      <w:tr>
        <w:trPr>
          <w:trHeight w:val="196"/>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pledged</w:t>
            </w:r>
          </w:p>
        </w:tc>
        <w:tc>
          <w:tcPr>
            <w:tcW w:w="30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720" w:type="dxa"/>
            <w:vAlign w:val="bottom"/>
          </w:tcPr>
          <w:p>
            <w:pPr>
              <w:spacing w:after="0"/>
              <w:rPr>
                <w:sz w:val="24"/>
                <w:szCs w:val="24"/>
                <w:color w:val="auto"/>
              </w:rPr>
            </w:pPr>
          </w:p>
        </w:tc>
        <w:tc>
          <w:tcPr>
            <w:tcW w:w="4780" w:type="dxa"/>
            <w:vAlign w:val="bottom"/>
            <w:gridSpan w:val="2"/>
          </w:tcPr>
          <w:p>
            <w:pPr>
              <w:jc w:val="right"/>
              <w:ind w:right="2649"/>
              <w:spacing w:after="0"/>
              <w:rPr>
                <w:sz w:val="20"/>
                <w:szCs w:val="20"/>
                <w:color w:val="auto"/>
              </w:rPr>
            </w:pPr>
            <w:r>
              <w:rPr>
                <w:rFonts w:ascii="Times New Roman" w:cs="Times New Roman" w:eastAsia="Times New Roman" w:hAnsi="Times New Roman"/>
                <w:sz w:val="14"/>
                <w:szCs w:val="14"/>
                <w:color w:val="auto"/>
              </w:rPr>
              <w:t>F-34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7"/>
        </w:trPr>
        <w:tc>
          <w:tcPr>
            <w:tcW w:w="37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 (HFI), at fair value</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Loans HFI, at fair value includes SBA 7(a) loans originated by NSBF. On occasion, NSBF has distributed loans to NewtekOne that were originated as SBA 7(a) loans by NSBF where the SBA guarantee has been subsequently repurchased by NSBF. The following table shows the Company’s loan portfolio by collateral type for loans HFI, at fair value:</w:t>
      </w:r>
    </w:p>
    <w:p>
      <w:pPr>
        <w:spacing w:after="0" w:line="17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3"/>
          <w:szCs w:val="13"/>
          <w:b w:val="1"/>
          <w:bCs w:val="1"/>
          <w:color w:val="auto"/>
        </w:rPr>
        <w:t>Loans HFI, 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Pr>
          <w:p>
            <w:pPr>
              <w:spacing w:after="0"/>
              <w:rPr>
                <w:sz w:val="13"/>
                <w:szCs w:val="13"/>
                <w:color w:val="auto"/>
              </w:rPr>
            </w:pPr>
          </w:p>
        </w:tc>
        <w:tc>
          <w:tcPr>
            <w:tcW w:w="1960" w:type="dxa"/>
            <w:vAlign w:val="bottom"/>
            <w:gridSpan w:val="4"/>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7"/>
        </w:trPr>
        <w:tc>
          <w:tcPr>
            <w:tcW w:w="66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162,894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175,353</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203,882</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218,334</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88,051</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and Equipment¹</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67,069</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and Inventory</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74,596</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6,898</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Other²</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r>
      <w:tr>
        <w:trPr>
          <w:trHeight w:val="17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371,146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482,563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60" w:right="420" w:hanging="55"/>
        <w:spacing w:after="0" w:line="226" w:lineRule="auto"/>
        <w:tabs>
          <w:tab w:leader="none" w:pos="78" w:val="left"/>
        </w:tabs>
        <w:numPr>
          <w:ilvl w:val="0"/>
          <w:numId w:val="5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Machinery and Equipment includes one loan at NewtekOne of $4.7 million Cost and $4.6 million Fair value as of December 31, 2024, and $5.0 million Cost and $3.6 million Fair Value as of December 31, 2023.</w:t>
      </w:r>
    </w:p>
    <w:p>
      <w:pPr>
        <w:ind w:left="60" w:right="40" w:hanging="55"/>
        <w:spacing w:after="0" w:line="226" w:lineRule="auto"/>
        <w:tabs>
          <w:tab w:leader="none" w:pos="78"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includes one loan at NewtekOne of $2.0 million Cost and $1.1 million Fair Value as of December 31, 2024, and two loans at $2.1 million Cost and $1.1 million Fair Value as of December 31,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HFI, at amortized cost, net of deferred fees and costs</w:t>
      </w:r>
    </w:p>
    <w:p>
      <w:pPr>
        <w:spacing w:after="0" w:line="12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Loans HFI, at amortized cost, net of deferred fees and costs includes SBA 7(a) loans, CRE, and C&amp;I loans originated and held by Newtek Bank. The following table shows the Company’s loan portfolio by loan type for loans HFI, at amortized cost:</w:t>
      </w:r>
    </w:p>
    <w:p>
      <w:pPr>
        <w:spacing w:after="0" w:line="10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3"/>
          <w:szCs w:val="13"/>
          <w:b w:val="1"/>
          <w:bCs w:val="1"/>
          <w:color w:val="auto"/>
        </w:rPr>
        <w:t>Loans HFI,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080885" cy="1079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080885" cy="107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6740" w:type="dxa"/>
            <w:vAlign w:val="bottom"/>
            <w:tcBorders>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580" w:type="dxa"/>
            <w:vAlign w:val="bottom"/>
            <w:shd w:val="clear" w:color="auto" w:fill="CCEEFF"/>
          </w:tcPr>
          <w:p>
            <w:pPr>
              <w:jc w:val="right"/>
              <w:ind w:right="14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163,803</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 net</w:t>
            </w:r>
          </w:p>
        </w:tc>
        <w:tc>
          <w:tcPr>
            <w:tcW w:w="1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580" w:type="dxa"/>
            <w:vAlign w:val="bottom"/>
            <w:tcBorders>
              <w:bottom w:val="single" w:sz="8" w:color="auto"/>
            </w:tcBorders>
          </w:tcPr>
          <w:p>
            <w:pPr>
              <w:jc w:val="right"/>
              <w:ind w:right="14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336,305</w:t>
            </w:r>
          </w:p>
        </w:tc>
      </w:tr>
      <w:tr>
        <w:trPr>
          <w:trHeight w:val="20"/>
        </w:trPr>
        <w:tc>
          <w:tcPr>
            <w:tcW w:w="6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Past Due and Non-Accrual Loans HFI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fair value by class:</w:t>
      </w:r>
    </w:p>
    <w:p>
      <w:pPr>
        <w:spacing w:after="0" w:line="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4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46"/>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4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80" w:type="dxa"/>
            <w:vAlign w:val="bottom"/>
          </w:tcPr>
          <w:p>
            <w:pPr>
              <w:spacing w:after="0"/>
              <w:rPr>
                <w:sz w:val="12"/>
                <w:szCs w:val="12"/>
                <w:color w:val="auto"/>
              </w:rPr>
            </w:pPr>
          </w:p>
        </w:tc>
        <w:tc>
          <w:tcPr>
            <w:tcW w:w="1020" w:type="dxa"/>
            <w:vAlign w:val="bottom"/>
            <w:gridSpan w:val="3"/>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4"/>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23,158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9,268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67,304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118,130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251,616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369,746</w:t>
            </w:r>
          </w:p>
        </w:tc>
      </w:tr>
    </w:tbl>
    <w:p>
      <w:pPr>
        <w:spacing w:after="0" w:line="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40" w:type="dxa"/>
            <w:vAlign w:val="bottom"/>
            <w:tcBorders>
              <w:top w:val="single" w:sz="8" w:color="auto"/>
              <w:bottom w:val="single" w:sz="8" w:color="auto"/>
            </w:tcBorders>
            <w:gridSpan w:val="6"/>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4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46"/>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40" w:type="dxa"/>
            <w:vAlign w:val="bottom"/>
          </w:tcPr>
          <w:p>
            <w:pPr>
              <w:spacing w:after="0"/>
              <w:rPr>
                <w:sz w:val="12"/>
                <w:szCs w:val="12"/>
                <w:color w:val="auto"/>
              </w:rPr>
            </w:pPr>
          </w:p>
        </w:tc>
        <w:tc>
          <w:tcPr>
            <w:tcW w:w="114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020" w:type="dxa"/>
            <w:vAlign w:val="bottom"/>
            <w:gridSpan w:val="3"/>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4"/>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20,380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16,075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84,629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385,172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469,801</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amortized cost, net of deferred fees and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amortized cost by class:</w:t>
      </w:r>
    </w:p>
    <w:p>
      <w:pPr>
        <w:spacing w:after="0" w:line="1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r>
      <w:tr>
        <w:trPr>
          <w:trHeight w:val="147"/>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4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6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8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Pr>
          <w:p>
            <w:pPr>
              <w:spacing w:after="0"/>
              <w:rPr>
                <w:sz w:val="12"/>
                <w:szCs w:val="12"/>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2"/>
                <w:szCs w:val="12"/>
                <w:color w:val="auto"/>
              </w:rPr>
            </w:pPr>
          </w:p>
        </w:tc>
        <w:tc>
          <w:tcPr>
            <w:tcW w:w="10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Cost</w:t>
            </w:r>
          </w:p>
        </w:tc>
      </w:tr>
      <w:tr>
        <w:trPr>
          <w:trHeight w:val="143"/>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11,264</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9,046</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42,016</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338,965</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380,981</w:t>
            </w:r>
          </w:p>
        </w:tc>
      </w:tr>
      <w:tr>
        <w:trPr>
          <w:trHeight w:val="16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191,831</w:t>
            </w: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47,283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47,558</w:t>
            </w:r>
          </w:p>
        </w:tc>
      </w:tr>
      <w:tr>
        <w:trPr>
          <w:trHeight w:val="156"/>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11,539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9,046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44,926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575,444</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620,370</w:t>
            </w:r>
          </w:p>
        </w:tc>
      </w:tr>
      <w:tr>
        <w:trPr>
          <w:trHeight w:val="153"/>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1,281</w:t>
            </w:r>
          </w:p>
        </w:tc>
      </w:tr>
      <w:tr>
        <w:trPr>
          <w:trHeight w:val="156"/>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621,651</w:t>
            </w:r>
          </w:p>
        </w:tc>
      </w:tr>
      <w:tr>
        <w:trPr>
          <w:trHeight w:val="153"/>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(30,233)</w:t>
            </w:r>
          </w:p>
        </w:tc>
      </w:tr>
      <w:tr>
        <w:trPr>
          <w:trHeight w:val="15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591,418</w:t>
            </w:r>
          </w:p>
        </w:tc>
      </w:tr>
    </w:tbl>
    <w:p>
      <w:pPr>
        <w:spacing w:after="0" w:line="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r>
      <w:tr>
        <w:trPr>
          <w:trHeight w:val="147"/>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6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8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2"/>
                <w:szCs w:val="12"/>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Cost</w:t>
            </w:r>
          </w:p>
        </w:tc>
      </w:tr>
      <w:tr>
        <w:trPr>
          <w:trHeight w:val="143"/>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r>
      <w:tr>
        <w:trPr>
          <w:trHeight w:val="15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3,637</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159,218</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r>
      <w:tr>
        <w:trPr>
          <w:trHeight w:val="165"/>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r>
      <w:tr>
        <w:trPr>
          <w:trHeight w:val="15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2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r>
      <w:tr>
        <w:trPr>
          <w:trHeight w:val="15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5,373</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325,643</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r>
      <w:tr>
        <w:trPr>
          <w:trHeight w:val="153"/>
        </w:trPr>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r>
      <w:tr>
        <w:trPr>
          <w:trHeight w:val="156"/>
        </w:trPr>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336,305</w:t>
            </w:r>
          </w:p>
        </w:tc>
      </w:tr>
      <w:tr>
        <w:trPr>
          <w:trHeight w:val="153"/>
        </w:trPr>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(12,574)</w:t>
            </w:r>
          </w:p>
        </w:tc>
      </w:tr>
      <w:tr>
        <w:trPr>
          <w:trHeight w:val="15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spacing w:after="0" w:line="14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1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at December 31, 2024 and December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2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24,061</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102,569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299,708</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69,839</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0" w:type="dxa"/>
            <w:vAlign w:val="bottom"/>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27,530</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130,794</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46,023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23,589</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141,810</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20" w:type="dxa"/>
            <w:vAlign w:val="bottom"/>
          </w:tcPr>
          <w:p>
            <w:pPr>
              <w:spacing w:after="0"/>
              <w:rPr>
                <w:sz w:val="14"/>
                <w:szCs w:val="14"/>
                <w:color w:val="auto"/>
              </w:rPr>
            </w:pPr>
          </w:p>
        </w:tc>
      </w:tr>
      <w:tr>
        <w:trPr>
          <w:trHeight w:val="160"/>
        </w:trPr>
        <w:tc>
          <w:tcPr>
            <w:tcW w:w="20" w:type="dxa"/>
            <w:vAlign w:val="bottom"/>
            <w:shd w:val="clear" w:color="auto" w:fill="CCEEFF"/>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 costs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224,958</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110,735</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335,693</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40,228</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0" w:type="dxa"/>
            <w:vAlign w:val="bottom"/>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233,106</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147,875</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20" w:type="dxa"/>
            <w:vAlign w:val="bottom"/>
          </w:tcPr>
          <w:p>
            <w:pPr>
              <w:spacing w:after="0"/>
              <w:rPr>
                <w:sz w:val="14"/>
                <w:szCs w:val="14"/>
                <w:color w:val="auto"/>
              </w:rPr>
            </w:pPr>
          </w:p>
        </w:tc>
      </w:tr>
      <w:tr>
        <w:trPr>
          <w:trHeight w:val="160"/>
        </w:trPr>
        <w:tc>
          <w:tcPr>
            <w:tcW w:w="20" w:type="dxa"/>
            <w:vAlign w:val="bottom"/>
            <w:shd w:val="clear" w:color="auto" w:fill="CCEEFF"/>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25,697</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187,593</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 costs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47,283</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44,251</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20" w:type="dxa"/>
            <w:vAlign w:val="bottom"/>
          </w:tcPr>
          <w:p>
            <w:pPr>
              <w:spacing w:after="0"/>
              <w:rPr>
                <w:sz w:val="14"/>
                <w:szCs w:val="14"/>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329,246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202,909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990,116</w:t>
            </w: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F-37</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2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34,289</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151,929</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52,175</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415,012</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53,878</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71"/>
        </w:trPr>
        <w:tc>
          <w:tcPr>
            <w:tcW w:w="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34,638</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161,046</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59,828</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29,149</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63,955</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121,185</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160"/>
        </w:trPr>
        <w:tc>
          <w:tcPr>
            <w:tcW w:w="20" w:type="dxa"/>
            <w:vAlign w:val="bottom"/>
            <w:shd w:val="clear" w:color="auto" w:fill="CCEEFF"/>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 costs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161,263</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161,263</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163,918</w:t>
            </w:r>
          </w:p>
        </w:tc>
      </w:tr>
      <w:tr>
        <w:trPr>
          <w:trHeight w:val="160"/>
        </w:trPr>
        <w:tc>
          <w:tcPr>
            <w:tcW w:w="20" w:type="dxa"/>
            <w:vAlign w:val="bottom"/>
            <w:shd w:val="clear" w:color="auto" w:fill="CCEEFF"/>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155,040</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r>
      <w:tr>
        <w:trPr>
          <w:trHeight w:val="160"/>
        </w:trPr>
        <w:tc>
          <w:tcPr>
            <w:tcW w:w="20" w:type="dxa"/>
            <w:vAlign w:val="bottom"/>
          </w:tcPr>
          <w:p>
            <w:pPr>
              <w:spacing w:after="0"/>
              <w:rPr>
                <w:sz w:val="13"/>
                <w:szCs w:val="1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 costs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258,297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75,366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years ended December 31, 2024 and December 31, 2023:</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26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Adjustment to beginning balance due to PCD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91"/>
        </w:trPr>
        <w:tc>
          <w:tcPr>
            <w:tcW w:w="262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marks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8"/>
                <w:szCs w:val="18"/>
                <w:color w:val="auto"/>
                <w:vertAlign w:val="superscript"/>
              </w:rPr>
              <w:t>2</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11,704</w:t>
            </w: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12,574</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Given the January 6, 2023 transition to a financial holding company, the Company established an ACL with the beginning balance representing the purchased credit deteriorated loans acquired</w:t>
      </w:r>
    </w:p>
    <w:p>
      <w:pPr>
        <w:ind w:left="60"/>
        <w:spacing w:after="0" w:line="210" w:lineRule="auto"/>
        <w:rPr>
          <w:sz w:val="20"/>
          <w:szCs w:val="20"/>
          <w:color w:val="auto"/>
        </w:rPr>
      </w:pPr>
      <w:r>
        <w:rPr>
          <w:rFonts w:ascii="Times New Roman" w:cs="Times New Roman" w:eastAsia="Times New Roman" w:hAnsi="Times New Roman"/>
          <w:sz w:val="14"/>
          <w:szCs w:val="14"/>
          <w:color w:val="auto"/>
        </w:rPr>
        <w:t>through the NBNYC Acquisition.</w:t>
      </w:r>
    </w:p>
    <w:p>
      <w:pPr>
        <w:spacing w:after="0" w:line="1" w:lineRule="exact"/>
        <w:rPr>
          <w:sz w:val="20"/>
          <w:szCs w:val="20"/>
          <w:color w:val="auto"/>
        </w:rPr>
      </w:pPr>
    </w:p>
    <w:p>
      <w:pPr>
        <w:ind w:left="60" w:right="300" w:hanging="55"/>
        <w:spacing w:after="0" w:line="219" w:lineRule="auto"/>
        <w:tabs>
          <w:tab w:leader="none" w:pos="65" w:val="left"/>
        </w:tabs>
        <w:numPr>
          <w:ilvl w:val="0"/>
          <w:numId w:val="5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$0.5 million of Provision for credit losses relating to unfunded commitments for the year ended December 31, 2024, which is recorded within Accounts payable, accrued expenses and other liabilities in accordance with ASC 326.</w:t>
      </w:r>
    </w:p>
    <w:p>
      <w:pPr>
        <w:spacing w:after="0" w:line="17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identified 145 and five loans as of December 31, 2024 and December 31, 2023, respectively, that did not share similar risk characteristics with the loan segments identified in NOTE 2 —SIGNIFICANT ACCOUNTING POLICIES and evaluated them for impairment individually.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individually evaluated and collectively evaluated ACL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12,472</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loans individually evaluated and collectively evaluated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359,275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596,029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330,564</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335,912</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basis of loans on nonaccrual status and the individually assessed ACL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00" w:type="dxa"/>
            <w:vAlign w:val="bottom"/>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with Allowance</w:t>
            </w:r>
          </w:p>
        </w:tc>
        <w:tc>
          <w:tcPr>
            <w:tcW w:w="28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ACL</w:t>
            </w:r>
          </w:p>
        </w:tc>
        <w:tc>
          <w:tcPr>
            <w:tcW w:w="200" w:type="dxa"/>
            <w:vAlign w:val="bottom"/>
          </w:tcPr>
          <w:p>
            <w:pPr>
              <w:spacing w:after="0"/>
              <w:rPr>
                <w:sz w:val="11"/>
                <w:szCs w:val="11"/>
                <w:color w:val="auto"/>
              </w:rPr>
            </w:pPr>
          </w:p>
        </w:tc>
        <w:tc>
          <w:tcPr>
            <w:tcW w:w="1680" w:type="dxa"/>
            <w:vAlign w:val="bottom"/>
          </w:tcPr>
          <w:p>
            <w:pPr>
              <w:jc w:val="right"/>
              <w:ind w:right="269"/>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80" w:type="dxa"/>
            <w:vAlign w:val="bottom"/>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with Allowance</w:t>
            </w:r>
          </w:p>
        </w:tc>
        <w:tc>
          <w:tcPr>
            <w:tcW w:w="28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unpaid contractual principal balance and recorded investment for the loans individually assessed is shown in the table below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Non-Real Estate Collateral</w:t>
            </w:r>
          </w:p>
        </w:tc>
        <w:tc>
          <w:tcPr>
            <w:tcW w:w="20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ACL</w:t>
            </w:r>
          </w:p>
        </w:tc>
        <w:tc>
          <w:tcPr>
            <w:tcW w:w="18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Non-Real Estate Collateral</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19,586</w:t>
            </w: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22,221</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3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Accrued interest on loans totaled $15.5 million and $10.7 million as of December 31, 2024 and December 31, 2023, respectively, and is excluded from the estimate of credit losses. The Company writes off accrued interest receivable by reversing interest income and typically occurs upon loans becoming 91 to 120 days past due.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The Company did not make any loan modifications to borrowers experiencing financial difficulty that would require disclosure, such as principal forgiveness, term extension, or interest rate reductions during the years ended December 31, 2024 and 2023. Additionally there were no troubled debt restructurings under legacy U.S. GAAP during the years ended December 31, 2024 and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fair value</w:t>
            </w:r>
          </w:p>
        </w:tc>
        <w:tc>
          <w:tcPr>
            <w:tcW w:w="1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2"/>
        </w:trPr>
        <w:tc>
          <w:tcPr>
            <w:tcW w:w="56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740" w:type="dxa"/>
            <w:vAlign w:val="bottom"/>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66,387</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w:t>
            </w: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7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8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SBA 7(a) Partials</w:t>
            </w:r>
          </w:p>
        </w:tc>
        <w:tc>
          <w:tcPr>
            <w:tcW w:w="17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0"/>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212,498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31,357</w:t>
            </w:r>
          </w:p>
        </w:tc>
      </w:tr>
      <w:tr>
        <w:trPr>
          <w:trHeight w:val="17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740" w:type="dxa"/>
            <w:vAlign w:val="bottom"/>
            <w:tcBorders>
              <w:bottom w:val="single" w:sz="8" w:color="auto"/>
            </w:tcBorders>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r>
      <w:tr>
        <w:trPr>
          <w:trHeight w:val="20"/>
        </w:trPr>
        <w:tc>
          <w:tcPr>
            <w:tcW w:w="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fair value by class:</w:t>
      </w:r>
    </w:p>
    <w:p>
      <w:pPr>
        <w:spacing w:after="0" w:line="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8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46"/>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4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6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8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20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400" w:type="dxa"/>
            <w:vAlign w:val="bottom"/>
          </w:tcPr>
          <w:p>
            <w:pPr>
              <w:spacing w:after="0"/>
              <w:rPr>
                <w:sz w:val="12"/>
                <w:szCs w:val="12"/>
                <w:color w:val="auto"/>
              </w:rPr>
            </w:pPr>
          </w:p>
        </w:tc>
        <w:tc>
          <w:tcPr>
            <w:tcW w:w="1360" w:type="dxa"/>
            <w:vAlign w:val="bottom"/>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4"/>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29,119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13,367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42,736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117,052</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159,788</w:t>
            </w:r>
          </w:p>
        </w:tc>
      </w:tr>
      <w:tr>
        <w:trPr>
          <w:trHeight w:val="153"/>
        </w:trPr>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 at fair value</w:t>
            </w:r>
          </w:p>
        </w:tc>
        <w:tc>
          <w:tcPr>
            <w:tcW w:w="16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210,006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212,498</w:t>
            </w:r>
          </w:p>
        </w:tc>
      </w:tr>
      <w:tr>
        <w:trPr>
          <w:trHeight w:val="156"/>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29,119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15,859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327,058</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372,286</w:t>
            </w:r>
          </w:p>
        </w:tc>
      </w:tr>
    </w:tbl>
    <w:p>
      <w:pPr>
        <w:spacing w:after="0" w:line="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40" w:type="dxa"/>
            <w:vAlign w:val="bottom"/>
            <w:tcBorders>
              <w:top w:val="single" w:sz="8" w:color="auto"/>
              <w:bottom w:val="single" w:sz="8" w:color="auto"/>
            </w:tcBorders>
            <w:gridSpan w:val="6"/>
          </w:tcPr>
          <w:p>
            <w:pPr>
              <w:ind w:left="36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8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46"/>
        </w:trPr>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02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12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26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00" w:type="dxa"/>
            <w:vAlign w:val="bottom"/>
          </w:tcPr>
          <w:p>
            <w:pPr>
              <w:spacing w:after="0"/>
              <w:rPr>
                <w:sz w:val="12"/>
                <w:szCs w:val="12"/>
                <w:color w:val="auto"/>
              </w:rPr>
            </w:pPr>
          </w:p>
        </w:tc>
      </w:tr>
      <w:tr>
        <w:trPr>
          <w:trHeight w:val="154"/>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78,464</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1121"/>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87,510</w:t>
            </w:r>
          </w:p>
        </w:tc>
      </w:tr>
      <w:tr>
        <w:trPr>
          <w:trHeight w:val="153"/>
        </w:trPr>
        <w:tc>
          <w:tcPr>
            <w:tcW w:w="1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 at fair value</w:t>
            </w:r>
          </w:p>
        </w:tc>
        <w:tc>
          <w:tcPr>
            <w:tcW w:w="2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gridSpan w:val="3"/>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3"/>
                <w:szCs w:val="13"/>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31,357</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31,357</w:t>
            </w:r>
          </w:p>
        </w:tc>
      </w:tr>
      <w:tr>
        <w:trPr>
          <w:trHeight w:val="156"/>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109,821</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1121"/>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118,867</w:t>
            </w:r>
          </w:p>
        </w:tc>
      </w:tr>
      <w:tr>
        <w:trPr>
          <w:trHeight w:val="435"/>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LCM</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2"/>
        </w:trPr>
        <w:tc>
          <w:tcPr>
            <w:tcW w:w="15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00" w:type="dxa"/>
            <w:vAlign w:val="bottom"/>
            <w:tcBorders>
              <w:bottom w:val="single" w:sz="8" w:color="auto"/>
            </w:tcBorders>
          </w:tcPr>
          <w:p>
            <w:pPr>
              <w:spacing w:after="0"/>
              <w:rPr>
                <w:sz w:val="17"/>
                <w:szCs w:val="17"/>
                <w:color w:val="auto"/>
              </w:rPr>
            </w:pPr>
          </w:p>
        </w:tc>
      </w:tr>
      <w:tr>
        <w:trPr>
          <w:trHeight w:val="17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First Lien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39,565</w:t>
            </w:r>
          </w:p>
        </w:tc>
      </w:tr>
      <w:tr>
        <w:trPr>
          <w:trHeight w:val="180"/>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Second Lien</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r>
      <w:tr>
        <w:trPr>
          <w:trHeight w:val="18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SBA 7(a) Partials</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11,237</w:t>
            </w:r>
          </w:p>
        </w:tc>
      </w:tr>
      <w:tr>
        <w:trPr>
          <w:trHeight w:val="196"/>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LCM by class:</w:t>
      </w:r>
    </w:p>
    <w:p>
      <w:pPr>
        <w:spacing w:after="0" w:line="1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r>
      <w:tr>
        <w:trPr>
          <w:trHeight w:val="147"/>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6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6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6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2"/>
                <w:szCs w:val="12"/>
                <w:color w:val="auto"/>
              </w:rPr>
            </w:pPr>
          </w:p>
        </w:tc>
        <w:tc>
          <w:tcPr>
            <w:tcW w:w="10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Cost</w:t>
            </w:r>
          </w:p>
        </w:tc>
      </w:tr>
      <w:tr>
        <w:trPr>
          <w:trHeight w:val="14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LCM</w:t>
            </w: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53"/>
        </w:trPr>
        <w:tc>
          <w:tcPr>
            <w:tcW w:w="2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2,164</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3,263</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55,540</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58,803</w:t>
            </w:r>
          </w:p>
        </w:tc>
      </w:tr>
      <w:tr>
        <w:trPr>
          <w:trHeight w:val="15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LCM</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55,540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58,803</w:t>
            </w:r>
          </w:p>
        </w:tc>
      </w:tr>
    </w:tbl>
    <w:p>
      <w:pPr>
        <w:spacing w:after="0" w:line="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r>
      <w:tr>
        <w:trPr>
          <w:trHeight w:val="146"/>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2"/>
                <w:szCs w:val="12"/>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6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90-119 Days</w:t>
            </w:r>
          </w:p>
        </w:tc>
        <w:tc>
          <w:tcPr>
            <w:tcW w:w="18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120+ Days</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2"/>
                <w:szCs w:val="12"/>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2"/>
                <w:szCs w:val="12"/>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Cost</w:t>
            </w:r>
          </w:p>
        </w:tc>
      </w:tr>
      <w:tr>
        <w:trPr>
          <w:trHeight w:val="144"/>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LCM</w:t>
            </w: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r>
      <w:tr>
        <w:trPr>
          <w:trHeight w:val="15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56,607</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56,607</w:t>
            </w:r>
          </w:p>
        </w:tc>
      </w:tr>
      <w:tr>
        <w:trPr>
          <w:trHeight w:val="15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LCM</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56,607</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56,607</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6—TRANSACTIONS WITH AFFILIATED COMPANIES AND RELATED PARTY TRANSACTIONS:</w:t>
            </w: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61"/>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1"/>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December 31, 2024 and 2023:</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3"/>
        </w:trPr>
        <w:tc>
          <w:tcPr>
            <w:tcW w:w="71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1</w:t>
            </w:r>
          </w:p>
        </w:tc>
        <w:tc>
          <w:tcPr>
            <w:tcW w:w="166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80"/>
        </w:trPr>
        <w:tc>
          <w:tcPr>
            <w:tcW w:w="7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2</w:t>
            </w:r>
          </w:p>
        </w:tc>
        <w:tc>
          <w:tcPr>
            <w:tcW w:w="16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w:t>
            </w:r>
          </w:p>
        </w:tc>
        <w:tc>
          <w:tcPr>
            <w:tcW w:w="1660" w:type="dxa"/>
            <w:vAlign w:val="bottom"/>
            <w:tcBorders>
              <w:top w:val="single" w:sz="8" w:color="auto"/>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Included within Accounts payable, accrued expenses, and other liabilities</w:t>
      </w:r>
    </w:p>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Other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other non-control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4—INVESTMENTS for a schedule of transactions with our joint ventures and other non-control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for the years ended December 31, 2024, 2023 and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260" w:type="dxa"/>
            <w:vAlign w:val="bottom"/>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18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96"/>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w:t>
            </w:r>
          </w:p>
        </w:tc>
        <w:tc>
          <w:tcPr>
            <w:tcW w:w="126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December 31, 2024 and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insured deposits</w:t>
            </w:r>
          </w:p>
        </w:tc>
        <w:tc>
          <w:tcPr>
            <w:tcW w:w="1740" w:type="dxa"/>
            <w:vAlign w:val="bottom"/>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Non-FDIC insured deposits</w:t>
            </w:r>
          </w:p>
        </w:tc>
        <w:tc>
          <w:tcPr>
            <w:tcW w:w="1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 from related parties and their affiliated companies</w:t>
            </w:r>
          </w:p>
        </w:tc>
        <w:tc>
          <w:tcPr>
            <w:tcW w:w="1740" w:type="dxa"/>
            <w:vAlign w:val="bottom"/>
            <w:tcBorders>
              <w:bottom w:val="single" w:sz="8" w:color="auto"/>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Transactions with Related Parties</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nephew of the Chief Executive Officer of the Company is employed by one of the Company’s consolidated subsidiaries and earned annual compensation in excess of $125 thousand during 2024, 2023 and 2022. The sister of a Director and the Chief Admin Officer is employed by one of the Company’s consolidated subsidiaries and earned annual compensation in excess of $125 thousand during 2024 and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7—SERVICING ASSETS:</w:t>
      </w:r>
    </w:p>
    <w:p>
      <w:pPr>
        <w:spacing w:after="0" w:line="18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Servicing assets held by NSBF are measured at fair value and the Company performs valuations on a quarterly basis. Servicing assets held by Newtek Bank, including Newtek Bank’s subsidiary SBL, are measured at lower of cost or market where the assets are initially recorded at fair value, then subsequently amortized, and assessed for impairment each reporting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earns servicing fees from the guaranteed portions of SBA 7(a) loans it originates and sells and for the portfolios of ALP loans SBL services for NCL JV and TSO JV.</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unpaid principle balance of loans serviced at December 31, 2024 and 2023:</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2"/>
        </w:trPr>
        <w:tc>
          <w:tcPr>
            <w:tcW w:w="6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4"/>
                <w:szCs w:val="24"/>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1,996,715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1,787,258</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169,842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63,494</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504</w:t>
            </w:r>
          </w:p>
        </w:tc>
        <w:tc>
          <w:tcPr>
            <w:tcW w:w="3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2,179,032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1,850,752</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and valuation assumptions related to servicing assets at December 31,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Borders>
              <w:bottom w:val="single" w:sz="8" w:color="auto"/>
            </w:tcBorders>
          </w:tcPr>
          <w:p>
            <w:pPr>
              <w:spacing w:after="0"/>
              <w:rPr>
                <w:sz w:val="16"/>
                <w:szCs w:val="16"/>
                <w:color w:val="auto"/>
              </w:rPr>
            </w:pPr>
          </w:p>
        </w:tc>
      </w:tr>
      <w:tr>
        <w:trPr>
          <w:trHeight w:val="141"/>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2"/>
                <w:szCs w:val="12"/>
                <w:color w:val="auto"/>
              </w:rPr>
            </w:pPr>
          </w:p>
        </w:tc>
      </w:tr>
      <w:tr>
        <w:trPr>
          <w:trHeight w:val="154"/>
        </w:trPr>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0" w:type="dxa"/>
            <w:vAlign w:val="bottom"/>
          </w:tcPr>
          <w:p>
            <w:pPr>
              <w:spacing w:after="0"/>
              <w:rPr>
                <w:sz w:val="13"/>
                <w:szCs w:val="13"/>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6"/>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12.97 %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18.90 %</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19.14 %</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96"/>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46,257</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5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Determined based on risk spreads and observable secondary market transactions.</w:t>
      </w:r>
    </w:p>
    <w:p>
      <w:pPr>
        <w:spacing w:after="0" w:line="15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Refer to NOTE 10—FAIR VALUE MEASUREMENTS for a rollforward of servicing assets at fair value. The following tables show a rollforward of servicing assets measured at LCM for the years ended December 31,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Borders>
              <w:bottom w:val="single" w:sz="8" w:color="CCEEFF"/>
            </w:tcBorders>
          </w:tcPr>
          <w:p>
            <w:pPr>
              <w:ind w:left="3400"/>
              <w:spacing w:after="0"/>
              <w:rPr>
                <w:sz w:val="20"/>
                <w:szCs w:val="20"/>
                <w:color w:val="auto"/>
              </w:rPr>
            </w:pPr>
            <w:r>
              <w:rPr>
                <w:rFonts w:ascii="Times New Roman" w:cs="Times New Roman" w:eastAsia="Times New Roman" w:hAnsi="Times New Roman"/>
                <w:sz w:val="14"/>
                <w:szCs w:val="14"/>
                <w:b w:val="1"/>
                <w:bCs w:val="1"/>
                <w:color w:val="auto"/>
              </w:rPr>
              <w:t>Servicing Assets, at LCM</w:t>
            </w: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180"/>
        </w:trPr>
        <w:tc>
          <w:tcPr>
            <w:tcW w:w="8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48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w:t>
            </w:r>
          </w:p>
        </w:tc>
      </w:tr>
      <w:tr>
        <w:trPr>
          <w:trHeight w:val="180"/>
        </w:trPr>
        <w:tc>
          <w:tcPr>
            <w:tcW w:w="8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2</w:t>
            </w:r>
          </w:p>
        </w:tc>
        <w:tc>
          <w:tcPr>
            <w:tcW w:w="48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19,184</w:t>
            </w: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4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80" w:hanging="75"/>
        <w:spacing w:after="0"/>
        <w:tabs>
          <w:tab w:leader="none" w:pos="80" w:val="left"/>
        </w:tabs>
        <w:numPr>
          <w:ilvl w:val="0"/>
          <w:numId w:val="6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Net loss on loan servicing assets in the Consolidated Statements of Income</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Net gains on sales of loans in the Consolidated Statements of Income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Borders>
              <w:bottom w:val="single" w:sz="8" w:color="CCEEFF"/>
            </w:tcBorders>
          </w:tcPr>
          <w:p>
            <w:pPr>
              <w:ind w:left="3400"/>
              <w:spacing w:after="0"/>
              <w:rPr>
                <w:sz w:val="20"/>
                <w:szCs w:val="20"/>
                <w:color w:val="auto"/>
              </w:rPr>
            </w:pPr>
            <w:r>
              <w:rPr>
                <w:rFonts w:ascii="Times New Roman" w:cs="Times New Roman" w:eastAsia="Times New Roman" w:hAnsi="Times New Roman"/>
                <w:sz w:val="14"/>
                <w:szCs w:val="14"/>
                <w:b w:val="1"/>
                <w:bCs w:val="1"/>
                <w:color w:val="auto"/>
              </w:rPr>
              <w:t>Servicing Assets, at LCM</w:t>
            </w: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Additions/(removal) of entities consolidating after Conversion to BHC</w:t>
            </w:r>
          </w:p>
        </w:tc>
        <w:tc>
          <w:tcPr>
            <w:tcW w:w="48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0"/>
        </w:trPr>
        <w:tc>
          <w:tcPr>
            <w:tcW w:w="8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480" w:type="dxa"/>
            <w:vAlign w:val="bottom"/>
            <w:shd w:val="clear" w:color="auto" w:fill="CCEEFF"/>
          </w:tcPr>
          <w:p>
            <w:pPr>
              <w:spacing w:after="0"/>
              <w:rPr>
                <w:sz w:val="15"/>
                <w:szCs w:val="15"/>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80"/>
        </w:trPr>
        <w:tc>
          <w:tcPr>
            <w:tcW w:w="8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2</w:t>
            </w:r>
          </w:p>
        </w:tc>
        <w:tc>
          <w:tcPr>
            <w:tcW w:w="48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10,636</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48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6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Net loss on loan servicing assets in the Consolidated Statements of Income</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Net gains on sales of loans in the Consolidated Statements of Income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fee income earned for the years ended December 31, 2024, 2023 and 2022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r>
      <w:tr>
        <w:trPr>
          <w:trHeight w:val="171"/>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fee income</w:t>
            </w:r>
          </w:p>
        </w:tc>
        <w:tc>
          <w:tcPr>
            <w:tcW w:w="152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$20,087</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$18,289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$13,698</w:t>
            </w:r>
          </w:p>
        </w:tc>
        <w:tc>
          <w:tcPr>
            <w:tcW w:w="20" w:type="dxa"/>
            <w:vAlign w:val="bottom"/>
            <w:shd w:val="clear" w:color="auto" w:fill="CCEEFF"/>
          </w:tcPr>
          <w:p>
            <w:pPr>
              <w:spacing w:after="0"/>
              <w:rPr>
                <w:sz w:val="14"/>
                <w:szCs w:val="14"/>
                <w:color w:val="auto"/>
              </w:rPr>
            </w:pPr>
          </w:p>
        </w:tc>
      </w:tr>
      <w:tr>
        <w:trPr>
          <w:trHeight w:val="424"/>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8—GOODWILL AND INTANGIBLE ASSETS:</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20" w:type="dxa"/>
            <w:vAlign w:val="bottom"/>
          </w:tcPr>
          <w:p>
            <w:pPr>
              <w:spacing w:after="0"/>
              <w:rPr>
                <w:sz w:val="14"/>
                <w:szCs w:val="14"/>
                <w:color w:val="auto"/>
              </w:rPr>
            </w:pPr>
          </w:p>
        </w:tc>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15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8"/>
                <w:szCs w:val="18"/>
                <w:color w:val="auto"/>
                <w:vertAlign w:val="superscript"/>
              </w:rPr>
              <w:t>1</w:t>
            </w:r>
          </w:p>
        </w:tc>
        <w:tc>
          <w:tcPr>
            <w:tcW w:w="1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15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140" w:right="320" w:hanging="135"/>
        <w:spacing w:after="0" w:line="223" w:lineRule="auto"/>
        <w:tabs>
          <w:tab w:leader="none" w:pos="94"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technology goodwill is classified as Held for Sale in anticipation of the NTS Sale, which was completed on January 2, 2025. Refer to NOTE 9—ASSETS AND LIABILITIES DIRECTLY ASSOCIATED WITH ASSETS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Banking:</w:t>
      </w:r>
    </w:p>
    <w:p>
      <w:pPr>
        <w:spacing w:after="0" w:line="19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Payments and Technology:</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goodwill in the payments and technology segments was generated from acquisitions by the legal entities within those segments prior to the consolidation of the those entities into NewtekOne following the Acquisition.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1"/>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3"/>
        </w:trPr>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Net 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4"/>
                <w:szCs w:val="14"/>
                <w:color w:val="auto"/>
              </w:rPr>
              <w:t>Net Carrying</w:t>
            </w:r>
          </w:p>
        </w:tc>
      </w:tr>
      <w:tr>
        <w:trPr>
          <w:trHeight w:val="187"/>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amount</w:t>
            </w:r>
          </w:p>
        </w:tc>
      </w:tr>
      <w:tr>
        <w:trPr>
          <w:trHeight w:val="17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 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 Customer Lists</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 Customer Lists¹</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right="680" w:firstLine="5"/>
        <w:spacing w:after="0" w:line="223" w:lineRule="auto"/>
        <w:tabs>
          <w:tab w:leader="none" w:pos="81" w:val="left"/>
        </w:tabs>
        <w:numPr>
          <w:ilvl w:val="0"/>
          <w:numId w:val="6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technology customer lists are classified as Held for Sale in anticipation of the NTS Sale, which was completed on January 2, 2025. Refer to NOTE 9—ASSETS AND LIABILITIES DIRECTLY ASSOCIATED WITH ASSETS HELD FOR SALE.</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Deposits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Lists. </w:t>
      </w:r>
      <w:r>
        <w:rPr>
          <w:rFonts w:ascii="Times New Roman" w:cs="Times New Roman" w:eastAsia="Times New Roman" w:hAnsi="Times New Roman"/>
          <w:sz w:val="14"/>
          <w:szCs w:val="14"/>
          <w:color w:val="auto"/>
        </w:rPr>
        <w:t>The intangible asset for customer lists were within the technology and payments segments and existed prior to the consolidation of those segments into NewtekOne following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Acquisition. The payments customer list has been disposed of. The technology customer lists are classified as Assets held for sale as of December 31, 2024.</w:t>
      </w:r>
    </w:p>
    <w:p>
      <w:pPr>
        <w:spacing w:after="0" w:line="1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Amortization expense for the years ended December 31, 2024, 2023, and 2022 is as follows and is included in Depreciation and amortization on the Consolidated Statements of Income. There was no amortization expense for the year ended December 31, 2022 since there were no intangible assets prior to the Acquisition.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154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1"/>
        </w:trPr>
        <w:tc>
          <w:tcPr>
            <w:tcW w:w="6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60" w:type="dxa"/>
            <w:vAlign w:val="bottom"/>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6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$539</w:t>
            </w: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$1,468</w:t>
            </w: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424"/>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December 31, 2024 is as follows: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3"/>
        </w:trPr>
        <w:tc>
          <w:tcPr>
            <w:tcW w:w="64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6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1"/>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870"/>
        </w:trPr>
        <w:tc>
          <w:tcPr>
            <w:tcW w:w="7040" w:type="dxa"/>
            <w:vAlign w:val="bottom"/>
            <w:gridSpan w:val="2"/>
          </w:tcPr>
          <w:p>
            <w:pPr>
              <w:ind w:left="5520"/>
              <w:spacing w:after="0"/>
              <w:rPr>
                <w:sz w:val="20"/>
                <w:szCs w:val="20"/>
                <w:color w:val="auto"/>
              </w:rPr>
            </w:pPr>
            <w:r>
              <w:rPr>
                <w:rFonts w:ascii="Times New Roman" w:cs="Times New Roman" w:eastAsia="Times New Roman" w:hAnsi="Times New Roman"/>
                <w:sz w:val="14"/>
                <w:szCs w:val="14"/>
                <w:color w:val="auto"/>
              </w:rPr>
              <w:t>F-44</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7"/>
        </w:trPr>
        <w:tc>
          <w:tcPr>
            <w:tcW w:w="6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9—ASSETS AND LIABILITIES DIRECTLY ASSOCIATED WITH ASSETS HELD FOR SALE:</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net assets of our technology segment, which consisted of NTS, are represented as held-for-sale as of December 31, 2024 as a result of our entry into the NTS Sale Agreement and our divestiture of NTS on January 2, 2025 (consistent with our commitments to the Federal Reserve). Refer to “NOTE 1—DESCRIPTION OF BUSINESS AND BASIS OF PRESENTATION</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 xml:space="preserve"> Sale of 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assets classified as held for sale and the liabilities directly associated with assets classified as held for sale as of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Held for Sale</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Directly Associated with Assets Held for Sale</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6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61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6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6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6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80"/>
        </w:trPr>
        <w:tc>
          <w:tcPr>
            <w:tcW w:w="30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Valuation allowance</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6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96"/>
        </w:trPr>
        <w:tc>
          <w:tcPr>
            <w:tcW w:w="3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6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6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associated expense is included in Other general and administrative costs in the consolidated statements of operations for the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20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goodwill in the technology segment was generated from acquisitions by the legal entities within that segment prior to the consolidation of the those entities into NewtekOne following the 2023 Acquisition.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intangible asset for customer lists within the technology segment existed prior to the consolidation of the technology segment into NewtekOne following the Acquisition.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171"/>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Gross carrying Amount</w:t>
            </w:r>
          </w:p>
        </w:tc>
        <w:tc>
          <w:tcPr>
            <w:tcW w:w="260" w:type="dxa"/>
            <w:vAlign w:val="bottom"/>
          </w:tcPr>
          <w:p>
            <w:pPr>
              <w:spacing w:after="0"/>
              <w:rPr>
                <w:sz w:val="14"/>
                <w:szCs w:val="14"/>
                <w:color w:val="auto"/>
              </w:rPr>
            </w:pPr>
          </w:p>
        </w:tc>
        <w:tc>
          <w:tcPr>
            <w:tcW w:w="23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40" w:type="dxa"/>
            <w:vAlign w:val="bottom"/>
          </w:tcPr>
          <w:p>
            <w:pPr>
              <w:spacing w:after="0"/>
              <w:rPr>
                <w:sz w:val="14"/>
                <w:szCs w:val="14"/>
                <w:color w:val="auto"/>
              </w:rPr>
            </w:pPr>
          </w:p>
        </w:tc>
        <w:tc>
          <w:tcPr>
            <w:tcW w:w="17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Net Carrying amount</w:t>
            </w: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Customer Lists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Right of use assets and lease liabilities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0.7 year, some of which include renewal options.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10—FAIR VALUE MEASUREMENTS: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December 31, 2024 and December 31, 2023:</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9"/>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2024</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3"/>
                <w:szCs w:val="13"/>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Treasury notes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3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Assets held for sale</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1,4</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871,475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846,844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4</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71"/>
        </w:trPr>
        <w:tc>
          <w:tcPr>
            <w:tcW w:w="70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6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spacing w:after="0" w:line="5" w:lineRule="exact"/>
        <w:rPr>
          <w:sz w:val="20"/>
          <w:szCs w:val="20"/>
          <w:color w:val="auto"/>
        </w:rPr>
      </w:pPr>
    </w:p>
    <w:p>
      <w:pPr>
        <w:ind w:left="80" w:hanging="75"/>
        <w:spacing w:after="0"/>
        <w:tabs>
          <w:tab w:leader="none" w:pos="8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$22.1 million of servicing assets at held at FV and $24.2 million of servicing assets are held at LCM. Refer to NOTE 7—SERVICING ASSETS.</w:t>
      </w:r>
    </w:p>
    <w:p>
      <w:pPr>
        <w:spacing w:after="0" w:line="44"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Non-recurring</w:t>
      </w:r>
    </w:p>
    <w:p>
      <w:pPr>
        <w:spacing w:after="0" w:line="5"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Measured at fair value on a recurring basis with the net unrealized gains or losses recorded in current period earnings.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8"/>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2023</w:t>
            </w:r>
          </w:p>
        </w:tc>
        <w:tc>
          <w:tcPr>
            <w:tcW w:w="860" w:type="dxa"/>
            <w:vAlign w:val="bottom"/>
            <w:tcBorders>
              <w:bottom w:val="single" w:sz="8" w:color="auto"/>
            </w:tcBorders>
          </w:tcPr>
          <w:p>
            <w:pPr>
              <w:spacing w:after="0"/>
              <w:rPr>
                <w:sz w:val="13"/>
                <w:szCs w:val="13"/>
                <w:color w:val="auto"/>
              </w:rPr>
            </w:pPr>
          </w:p>
        </w:tc>
      </w:tr>
      <w:tr>
        <w:trPr>
          <w:trHeight w:val="154"/>
        </w:trPr>
        <w:tc>
          <w:tcPr>
            <w:tcW w:w="6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66"/>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notes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r>
      <w:tr>
        <w:trPr>
          <w:trHeight w:val="180"/>
        </w:trPr>
        <w:tc>
          <w:tcPr>
            <w:tcW w:w="68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Servicing assets, at fair value</w:t>
            </w:r>
            <w:r>
              <w:rPr>
                <w:rFonts w:ascii="Times New Roman" w:cs="Times New Roman" w:eastAsia="Times New Roman" w:hAnsi="Times New Roman"/>
                <w:sz w:val="18"/>
                <w:szCs w:val="18"/>
                <w:color w:val="auto"/>
                <w:vertAlign w:val="superscript"/>
              </w:rPr>
              <w:t>2</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r>
      <w:tr>
        <w:trPr>
          <w:trHeight w:val="18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r>
      <w:tr>
        <w:trPr>
          <w:trHeight w:val="171"/>
        </w:trPr>
        <w:tc>
          <w:tcPr>
            <w:tcW w:w="6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692,872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660,701</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80"/>
        </w:trPr>
        <w:tc>
          <w:tcPr>
            <w:tcW w:w="68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3,4</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80" w:hanging="75"/>
        <w:spacing w:after="0"/>
        <w:tabs>
          <w:tab w:leader="none" w:pos="80"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205" w:lineRule="auto"/>
        <w:tabs>
          <w:tab w:leader="none" w:pos="80"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$29.3 million of servicing assets held at FV and $10.4 million of servicing assets are held at LCM. Refer to NOTE 7—SERVICING ASSETS</w:t>
      </w:r>
    </w:p>
    <w:p>
      <w:pPr>
        <w:spacing w:after="0" w:line="1" w:lineRule="exact"/>
        <w:rPr>
          <w:rFonts w:ascii="Times New Roman" w:cs="Times New Roman" w:eastAsia="Times New Roman" w:hAnsi="Times New Roman"/>
          <w:sz w:val="18"/>
          <w:szCs w:val="18"/>
          <w:color w:val="auto"/>
          <w:vertAlign w:val="superscript"/>
        </w:rPr>
      </w:pPr>
    </w:p>
    <w:p>
      <w:pPr>
        <w:ind w:right="4100"/>
        <w:spacing w:after="0" w:line="228"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Included in Accounts payable, accrued expenses, and other liabilities on the Consolidated Statements of Financial Condition.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Measured at fair value on a recurring basis with the net unrealized gains or losses recorded in current period earnings.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investments, servicing assets and liabilities measured at fair value using Level 3 inputs for the years ended December 31, 2024 and 2023:</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Loans HFI,</w:t>
            </w:r>
          </w:p>
        </w:tc>
        <w:tc>
          <w:tcPr>
            <w:tcW w:w="160" w:type="dxa"/>
            <w:vAlign w:val="bottom"/>
          </w:tcPr>
          <w:p>
            <w:pPr>
              <w:spacing w:after="0"/>
              <w:rPr>
                <w:sz w:val="9"/>
                <w:szCs w:val="9"/>
                <w:color w:val="auto"/>
              </w:rPr>
            </w:pPr>
          </w:p>
        </w:tc>
        <w:tc>
          <w:tcPr>
            <w:tcW w:w="9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400" w:type="dxa"/>
            <w:vAlign w:val="bottom"/>
            <w:gridSpan w:val="3"/>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Joint Ventures and Other</w:t>
            </w:r>
          </w:p>
        </w:tc>
        <w:tc>
          <w:tcPr>
            <w:tcW w:w="1000" w:type="dxa"/>
            <w:vAlign w:val="bottom"/>
            <w:gridSpan w:val="3"/>
          </w:tcPr>
          <w:p>
            <w:pPr>
              <w:jc w:val="center"/>
              <w:ind w:right="100"/>
              <w:spacing w:after="0" w:line="107"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120" w:type="dxa"/>
            <w:vAlign w:val="bottom"/>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Assets HFS</w:t>
            </w:r>
          </w:p>
        </w:tc>
        <w:tc>
          <w:tcPr>
            <w:tcW w:w="160" w:type="dxa"/>
            <w:vAlign w:val="bottom"/>
          </w:tcPr>
          <w:p>
            <w:pPr>
              <w:spacing w:after="0"/>
              <w:rPr>
                <w:sz w:val="9"/>
                <w:szCs w:val="9"/>
                <w:color w:val="auto"/>
              </w:rPr>
            </w:pPr>
          </w:p>
        </w:tc>
        <w:tc>
          <w:tcPr>
            <w:tcW w:w="86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Warrant</w:t>
            </w:r>
          </w:p>
        </w:tc>
        <w:tc>
          <w:tcPr>
            <w:tcW w:w="1020" w:type="dxa"/>
            <w:vAlign w:val="bottom"/>
            <w:gridSpan w:val="2"/>
          </w:tcPr>
          <w:p>
            <w:pPr>
              <w:jc w:val="right"/>
              <w:ind w:right="10"/>
              <w:spacing w:after="0" w:line="107" w:lineRule="exact"/>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 Investments</w:t>
            </w:r>
          </w:p>
        </w:tc>
        <w:tc>
          <w:tcPr>
            <w:tcW w:w="20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3"/>
                <w:szCs w:val="13"/>
                <w:color w:val="auto"/>
              </w:rPr>
            </w:pPr>
          </w:p>
        </w:tc>
        <w:tc>
          <w:tcPr>
            <w:tcW w:w="820" w:type="dxa"/>
            <w:vAlign w:val="bottom"/>
          </w:tcPr>
          <w:p>
            <w:pPr>
              <w:jc w:val="right"/>
              <w:ind w:right="250"/>
              <w:spacing w:after="0" w:line="159"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Reclasses between loans at FV and LCM</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Reclasses between loans HFS and HFI</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(179,949)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SBA loans, funded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ALP loans, funded</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loans, funded</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Fair value,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372,287</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6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80" w:type="dxa"/>
            <w:vAlign w:val="bottom"/>
          </w:tcPr>
          <w:p>
            <w:pPr>
              <w:spacing w:after="0"/>
              <w:rPr>
                <w:sz w:val="9"/>
                <w:szCs w:val="9"/>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Loans HFI, at FV</w:t>
            </w:r>
          </w:p>
        </w:tc>
        <w:tc>
          <w:tcPr>
            <w:tcW w:w="12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Controlled</w:t>
            </w:r>
          </w:p>
        </w:tc>
        <w:tc>
          <w:tcPr>
            <w:tcW w:w="100" w:type="dxa"/>
            <w:vAlign w:val="bottom"/>
          </w:tcPr>
          <w:p>
            <w:pPr>
              <w:spacing w:after="0"/>
              <w:rPr>
                <w:sz w:val="9"/>
                <w:szCs w:val="9"/>
                <w:color w:val="auto"/>
              </w:rPr>
            </w:pPr>
          </w:p>
        </w:tc>
        <w:tc>
          <w:tcPr>
            <w:tcW w:w="144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Joint Ventures and Other</w:t>
            </w:r>
          </w:p>
        </w:tc>
        <w:tc>
          <w:tcPr>
            <w:tcW w:w="1020" w:type="dxa"/>
            <w:vAlign w:val="bottom"/>
            <w:gridSpan w:val="3"/>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140" w:type="dxa"/>
            <w:vAlign w:val="bottom"/>
          </w:tcPr>
          <w:p>
            <w:pPr>
              <w:spacing w:after="0"/>
              <w:rPr>
                <w:sz w:val="9"/>
                <w:szCs w:val="9"/>
                <w:color w:val="auto"/>
              </w:rPr>
            </w:pPr>
          </w:p>
        </w:tc>
        <w:tc>
          <w:tcPr>
            <w:tcW w:w="88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Warrant</w:t>
            </w:r>
          </w:p>
        </w:tc>
        <w:tc>
          <w:tcPr>
            <w:tcW w:w="100" w:type="dxa"/>
            <w:vAlign w:val="bottom"/>
          </w:tcPr>
          <w:p>
            <w:pPr>
              <w:spacing w:after="0"/>
              <w:rPr>
                <w:sz w:val="9"/>
                <w:szCs w:val="9"/>
                <w:color w:val="auto"/>
              </w:rPr>
            </w:pPr>
          </w:p>
        </w:tc>
        <w:tc>
          <w:tcPr>
            <w:tcW w:w="720" w:type="dxa"/>
            <w:vAlign w:val="bottom"/>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Other Real</w:t>
            </w: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0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Non-Control Investments</w:t>
            </w:r>
          </w:p>
        </w:tc>
        <w:tc>
          <w:tcPr>
            <w:tcW w:w="20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7"/>
                <w:szCs w:val="7"/>
                <w:b w:val="1"/>
                <w:bCs w:val="1"/>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Estate Owned</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7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2022</w:t>
            </w: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38"/>
        </w:trPr>
        <w:tc>
          <w:tcPr>
            <w:tcW w:w="35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Additions/(removal) of entities consolidating after Conversion</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to BHC</w:t>
            </w:r>
          </w:p>
        </w:tc>
        <w:tc>
          <w:tcPr>
            <w:tcW w:w="26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69,745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Reclasses between loans at FV and LCM</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2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December 31, 2024 and December 31, 2023.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December 31, 2024 and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10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302,442</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23.98 %</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FV</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factor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2"/>
        </w:trPr>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4"/>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4.52 %</w:t>
            </w:r>
          </w:p>
        </w:tc>
      </w:tr>
    </w:tbl>
    <w:p>
      <w:pPr>
        <w:spacing w:after="0" w:line="98" w:lineRule="exact"/>
        <w:rPr>
          <w:sz w:val="20"/>
          <w:szCs w:val="20"/>
          <w:color w:val="auto"/>
        </w:rPr>
      </w:pPr>
    </w:p>
    <w:p>
      <w:pPr>
        <w:ind w:left="5520" w:right="3000" w:hanging="5515"/>
        <w:spacing w:after="0" w:line="867" w:lineRule="auto"/>
        <w:tabs>
          <w:tab w:leader="none" w:pos="96"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$22.1 million of servicing assets at held at FV and $24.2 million of servicing assets are held at LCM. Refer to NOTE 7—SERVICING ASSETS.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12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6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421,627</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41,227</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180"/>
        </w:trPr>
        <w:tc>
          <w:tcPr>
            <w:tcW w:w="30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 at FV</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12"/>
        </w:trPr>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3.88 %</w:t>
            </w:r>
          </w:p>
        </w:tc>
      </w:tr>
    </w:tbl>
    <w:p>
      <w:pPr>
        <w:spacing w:after="0" w:line="37" w:lineRule="exact"/>
        <w:rPr>
          <w:sz w:val="20"/>
          <w:szCs w:val="20"/>
          <w:color w:val="auto"/>
        </w:rPr>
      </w:pPr>
    </w:p>
    <w:p>
      <w:pPr>
        <w:ind w:left="80" w:hanging="75"/>
        <w:spacing w:after="0"/>
        <w:tabs>
          <w:tab w:leader="none" w:pos="80" w:val="left"/>
        </w:tabs>
        <w:numPr>
          <w:ilvl w:val="0"/>
          <w:numId w:val="7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$29.3 million of servicing assets held at FV and $10.4 million of servicing assets are held at LCM. Refer to NOTE 7—SERVICING ASSETS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93" w:lineRule="exact"/>
        <w:rPr>
          <w:rFonts w:ascii="Times New Roman" w:cs="Times New Roman" w:eastAsia="Times New Roman" w:hAnsi="Times New Roman"/>
          <w:sz w:val="18"/>
          <w:szCs w:val="18"/>
          <w:color w:val="auto"/>
          <w:vertAlign w:val="superscript"/>
        </w:rPr>
      </w:pPr>
    </w:p>
    <w:p>
      <w:pPr>
        <w:ind w:left="55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346,207</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FV</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58,856</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668,687</w:t>
            </w: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Joint ventures and other non-control investments, at</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FV</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r>
      <w:tr>
        <w:trPr>
          <w:trHeight w:val="18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410,442</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720,367</w:t>
            </w:r>
          </w:p>
        </w:tc>
      </w:tr>
      <w:tr>
        <w:trPr>
          <w:trHeight w:val="212"/>
        </w:trPr>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FV</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20" w:type="dxa"/>
            <w:vAlign w:val="bottom"/>
          </w:tcPr>
          <w:p>
            <w:pPr>
              <w:spacing w:after="0"/>
              <w:rPr>
                <w:sz w:val="15"/>
                <w:szCs w:val="15"/>
                <w:color w:val="auto"/>
              </w:rPr>
            </w:pP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120" w:type="dxa"/>
            <w:vAlign w:val="bottom"/>
          </w:tcPr>
          <w:p>
            <w:pPr>
              <w:spacing w:after="0"/>
              <w:rPr>
                <w:sz w:val="16"/>
                <w:szCs w:val="16"/>
                <w:color w:val="auto"/>
              </w:rPr>
            </w:pP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20" w:type="dxa"/>
            <w:vAlign w:val="bottom"/>
          </w:tcPr>
          <w:p>
            <w:pPr>
              <w:spacing w:after="0"/>
              <w:rPr>
                <w:sz w:val="16"/>
                <w:szCs w:val="16"/>
                <w:color w:val="auto"/>
              </w:rPr>
            </w:pP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Joint ventures and other non-control investments, at</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FV</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20" w:type="dxa"/>
            <w:vAlign w:val="bottom"/>
          </w:tcPr>
          <w:p>
            <w:pPr>
              <w:spacing w:after="0"/>
              <w:rPr>
                <w:sz w:val="16"/>
                <w:szCs w:val="16"/>
                <w:color w:val="auto"/>
              </w:rPr>
            </w:pPr>
          </w:p>
        </w:tc>
      </w:tr>
      <w:tr>
        <w:trPr>
          <w:trHeight w:val="18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20" w:type="dxa"/>
            <w:vAlign w:val="bottom"/>
          </w:tcPr>
          <w:p>
            <w:pPr>
              <w:spacing w:after="0"/>
              <w:rPr>
                <w:sz w:val="15"/>
                <w:szCs w:val="15"/>
                <w:color w:val="auto"/>
              </w:rPr>
            </w:pPr>
          </w:p>
        </w:tc>
      </w:tr>
      <w:tr>
        <w:trPr>
          <w:trHeight w:val="184"/>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641,794</w:t>
            </w:r>
          </w:p>
        </w:tc>
        <w:tc>
          <w:tcPr>
            <w:tcW w:w="120" w:type="dxa"/>
            <w:vAlign w:val="bottom"/>
          </w:tcPr>
          <w:p>
            <w:pPr>
              <w:spacing w:after="0"/>
              <w:rPr>
                <w:sz w:val="16"/>
                <w:szCs w:val="16"/>
                <w:color w:val="auto"/>
              </w:rPr>
            </w:pPr>
          </w:p>
        </w:tc>
      </w:tr>
      <w:tr>
        <w:trPr>
          <w:trHeight w:val="866"/>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F-50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3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fair values of the components of Borrowings are included in the chart below:</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2"/>
        </w:trPr>
        <w:tc>
          <w:tcPr>
            <w:tcW w:w="30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tcBorders>
              <w:bottom w:val="single" w:sz="8" w:color="auto"/>
            </w:tcBorders>
          </w:tcPr>
          <w:p>
            <w:pPr>
              <w:spacing w:after="0"/>
              <w:rPr>
                <w:sz w:val="17"/>
                <w:szCs w:val="17"/>
                <w:color w:val="auto"/>
              </w:rPr>
            </w:pPr>
          </w:p>
        </w:tc>
      </w:tr>
      <w:tr>
        <w:trPr>
          <w:trHeight w:val="171"/>
        </w:trPr>
        <w:tc>
          <w:tcPr>
            <w:tcW w:w="3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rPr>
              <w:t>Closing Price</w:t>
            </w:r>
          </w:p>
        </w:tc>
        <w:tc>
          <w:tcPr>
            <w:tcW w:w="138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Closing Price</w:t>
            </w:r>
          </w:p>
        </w:tc>
        <w:tc>
          <w:tcPr>
            <w:tcW w:w="6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Fair Value</w:t>
            </w:r>
          </w:p>
        </w:tc>
      </w:tr>
      <w:tr>
        <w:trPr>
          <w:trHeight w:val="160"/>
        </w:trPr>
        <w:tc>
          <w:tcPr>
            <w:tcW w:w="30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Public 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180"/>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 Notes (5.75%)</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gridSpan w:val="3"/>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  $</w:t>
            </w:r>
          </w:p>
        </w:tc>
        <w:tc>
          <w:tcPr>
            <w:tcW w:w="180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38,235</w:t>
            </w:r>
          </w:p>
        </w:tc>
      </w:tr>
      <w:tr>
        <w:trPr>
          <w:trHeight w:val="180"/>
        </w:trPr>
        <w:tc>
          <w:tcPr>
            <w:tcW w:w="3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 Notes (5.50%)</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115,966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109,250</w:t>
            </w:r>
          </w:p>
        </w:tc>
      </w:tr>
      <w:tr>
        <w:trPr>
          <w:trHeight w:val="180"/>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 Notes (8.00%)</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40,070</w:t>
            </w:r>
          </w:p>
        </w:tc>
      </w:tr>
      <w:tr>
        <w:trPr>
          <w:trHeight w:val="180"/>
        </w:trPr>
        <w:tc>
          <w:tcPr>
            <w:tcW w:w="3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 Notes (8.50%)</w:t>
            </w:r>
          </w:p>
        </w:tc>
        <w:tc>
          <w:tcPr>
            <w:tcW w:w="3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 Notes (8.625%)</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 (Level 2)</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187,555</w:t>
            </w:r>
          </w:p>
        </w:tc>
      </w:tr>
      <w:tr>
        <w:trPr>
          <w:trHeight w:val="202"/>
        </w:trPr>
        <w:tc>
          <w:tcPr>
            <w:tcW w:w="3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Private Parent Company Notes</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5"/>
                <w:szCs w:val="15"/>
                <w:color w:val="auto"/>
              </w:rPr>
            </w:pPr>
          </w:p>
        </w:tc>
        <w:tc>
          <w:tcPr>
            <w:tcW w:w="236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79,179</w:t>
            </w: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Securitizations</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Borrowings</w:t>
            </w:r>
            <w:r>
              <w:rPr>
                <w:rFonts w:ascii="Times New Roman" w:cs="Times New Roman" w:eastAsia="Times New Roman" w:hAnsi="Times New Roman"/>
                <w:sz w:val="18"/>
                <w:szCs w:val="18"/>
                <w:color w:val="auto"/>
                <w:vertAlign w:val="superscript"/>
              </w:rPr>
              <w:t>3</w:t>
            </w: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23,184</w:t>
            </w: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3</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59,764</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 (Level 3)</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454,239</w:t>
            </w:r>
          </w:p>
        </w:tc>
      </w:tr>
      <w:tr>
        <w:trPr>
          <w:trHeight w:val="202"/>
        </w:trPr>
        <w:tc>
          <w:tcPr>
            <w:tcW w:w="3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340" w:type="dxa"/>
            <w:vAlign w:val="bottom"/>
          </w:tcPr>
          <w:p>
            <w:pPr>
              <w:spacing w:after="0"/>
              <w:rPr>
                <w:sz w:val="16"/>
                <w:szCs w:val="16"/>
                <w:color w:val="auto"/>
              </w:rPr>
            </w:pPr>
          </w:p>
        </w:tc>
        <w:tc>
          <w:tcPr>
            <w:tcW w:w="236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720,367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641,794</w:t>
            </w:r>
          </w:p>
        </w:tc>
      </w:tr>
    </w:tbl>
    <w:p>
      <w:pPr>
        <w:spacing w:after="0" w:line="26" w:lineRule="exact"/>
        <w:rPr>
          <w:sz w:val="20"/>
          <w:szCs w:val="20"/>
          <w:color w:val="auto"/>
        </w:rPr>
      </w:pPr>
    </w:p>
    <w:p>
      <w:pPr>
        <w:ind w:left="80" w:hanging="75"/>
        <w:spacing w:after="0"/>
        <w:tabs>
          <w:tab w:leader="none" w:pos="80" w:val="left"/>
        </w:tabs>
        <w:numPr>
          <w:ilvl w:val="0"/>
          <w:numId w:val="7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values are based on the closing public share price on the date of measurement.</w:t>
      </w:r>
    </w:p>
    <w:p>
      <w:pPr>
        <w:ind w:left="60" w:right="80" w:hanging="55"/>
        <w:spacing w:after="0" w:line="221" w:lineRule="auto"/>
        <w:tabs>
          <w:tab w:leader="none" w:pos="78" w:val="left"/>
        </w:tabs>
        <w:numPr>
          <w:ilvl w:val="0"/>
          <w:numId w:val="7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Not recorded at fair value on a recurring basis. The fixed rate private Notes are held at par as of December 31, 2024 and December 31, 2023. Fair value calculations are performed based on implied treasury rates as of year end.</w:t>
      </w:r>
    </w:p>
    <w:p>
      <w:pPr>
        <w:ind w:left="80" w:hanging="75"/>
        <w:spacing w:after="0" w:line="205" w:lineRule="auto"/>
        <w:tabs>
          <w:tab w:leader="none" w:pos="80"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 is calculated as the Borrowings Outstanding. Refer to NOTE 13—BORROWINGS.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26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Demand</w:t>
            </w:r>
          </w:p>
        </w:tc>
        <w:tc>
          <w:tcPr>
            <w:tcW w:w="28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80" w:type="dxa"/>
            <w:vAlign w:val="bottom"/>
          </w:tcPr>
          <w:p>
            <w:pPr>
              <w:spacing w:after="0"/>
              <w:rPr>
                <w:sz w:val="15"/>
                <w:szCs w:val="15"/>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Checking</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103,978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Savings</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386,680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6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interest-bearing</w:t>
            </w:r>
          </w:p>
        </w:tc>
        <w:tc>
          <w:tcPr>
            <w:tcW w:w="2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6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28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28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140,679</w:t>
            </w:r>
          </w:p>
        </w:tc>
        <w:tc>
          <w:tcPr>
            <w:tcW w:w="80" w:type="dxa"/>
            <w:vAlign w:val="bottom"/>
          </w:tcPr>
          <w:p>
            <w:pPr>
              <w:spacing w:after="0"/>
              <w:rPr>
                <w:sz w:val="15"/>
                <w:szCs w:val="15"/>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 overdrafts reclassified as loan balances</w:t>
            </w:r>
          </w:p>
        </w:tc>
        <w:tc>
          <w:tcPr>
            <w:tcW w:w="28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w:t>
            </w:r>
          </w:p>
        </w:tc>
        <w:tc>
          <w:tcPr>
            <w:tcW w:w="28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99,231</w:t>
            </w:r>
          </w:p>
        </w:tc>
        <w:tc>
          <w:tcPr>
            <w:tcW w:w="80" w:type="dxa"/>
            <w:vAlign w:val="bottom"/>
          </w:tcPr>
          <w:p>
            <w:pPr>
              <w:spacing w:after="0"/>
              <w:rPr>
                <w:sz w:val="16"/>
                <w:szCs w:val="16"/>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2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26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gridSpan w:val="2"/>
            <w:vMerge w:val="restart"/>
          </w:tcPr>
          <w:p>
            <w:pPr>
              <w:jc w:val="right"/>
              <w:ind w:right="2209"/>
              <w:spacing w:after="0"/>
              <w:rPr>
                <w:sz w:val="20"/>
                <w:szCs w:val="20"/>
                <w:color w:val="auto"/>
              </w:rPr>
            </w:pPr>
            <w:r>
              <w:rPr>
                <w:rFonts w:ascii="Times New Roman" w:cs="Times New Roman" w:eastAsia="Times New Roman" w:hAnsi="Times New Roman"/>
                <w:sz w:val="14"/>
                <w:szCs w:val="14"/>
                <w:color w:val="auto"/>
              </w:rPr>
              <w:t>F-51</w:t>
            </w: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8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12—ACCOUNTS PAYABLE, ACCRUED EXPENSES AND OTHER LIABILITES: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the components of accounts payable, accrued expenses and other liabilities at December 31, 2024 and December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3"/>
                <w:szCs w:val="13"/>
                <w:color w:val="auto"/>
              </w:rPr>
            </w:pP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related remittances due to SBA and participants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and related payables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Funds in process to PMT's payroll customers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processing, servicing and other loan related payables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r>
      <w:tr>
        <w:trPr>
          <w:trHeight w:val="180"/>
        </w:trPr>
        <w:tc>
          <w:tcPr>
            <w:tcW w:w="79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SBA repair &amp; denial reserve</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 faith deposits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18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15,451</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accounts payable, accrued expenses and other liabilities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0" w:right="80" w:hanging="55"/>
        <w:spacing w:after="0" w:line="218" w:lineRule="auto"/>
        <w:tabs>
          <w:tab w:leader="none" w:pos="78" w:val="left"/>
        </w:tabs>
        <w:numPr>
          <w:ilvl w:val="0"/>
          <w:numId w:val="7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 may be exposed to repair and denial liability to the SBA for SBA 7(a) loans in its portfolio. The Company established a loss contingency reserve in accordance with ASC 450-20. To determine the reserve the Company utilizes probability of default and loss given default rates, which are consistent with the assumptions used in its cash flow projections when estimating the fair value of loans. These factors are applied to the outstanding balances of guaranteed SBA 7(a) loans as well as a rate of repurchase based on historical experience.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and December 31, 2023,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40" w:type="dxa"/>
            <w:vAlign w:val="bottom"/>
            <w:shd w:val="clear" w:color="auto" w:fill="CCEEFF"/>
          </w:tcPr>
          <w:p>
            <w:pPr>
              <w:spacing w:after="0"/>
              <w:rPr>
                <w:sz w:val="9"/>
                <w:szCs w:val="9"/>
                <w:color w:val="auto"/>
              </w:rPr>
            </w:pPr>
          </w:p>
        </w:tc>
        <w:tc>
          <w:tcPr>
            <w:tcW w:w="1000" w:type="dxa"/>
            <w:vAlign w:val="bottom"/>
            <w:gridSpan w:val="2"/>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5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16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60" w:type="dxa"/>
            <w:vAlign w:val="bottom"/>
            <w:shd w:val="clear" w:color="auto" w:fill="CCEEFF"/>
          </w:tcPr>
          <w:p>
            <w:pPr>
              <w:spacing w:after="0"/>
              <w:rPr>
                <w:sz w:val="9"/>
                <w:szCs w:val="9"/>
                <w:color w:val="auto"/>
              </w:rPr>
            </w:pPr>
          </w:p>
        </w:tc>
        <w:tc>
          <w:tcPr>
            <w:tcW w:w="1000" w:type="dxa"/>
            <w:vAlign w:val="bottom"/>
            <w:gridSpan w:val="2"/>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5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NMS Webster Note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Advances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2024 Notes</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Notes</w:t>
            </w:r>
            <w:r>
              <w:rPr>
                <w:rFonts w:ascii="Times New Roman" w:cs="Times New Roman" w:eastAsia="Times New Roman" w:hAnsi="Times New Roman"/>
                <w:sz w:val="18"/>
                <w:szCs w:val="18"/>
                <w:color w:val="auto"/>
                <w:vertAlign w:val="superscript"/>
              </w:rPr>
              <w:t>4</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2027 Notes</w:t>
            </w:r>
            <w:r>
              <w:rPr>
                <w:rFonts w:ascii="Times New Roman" w:cs="Times New Roman" w:eastAsia="Times New Roman" w:hAnsi="Times New Roman"/>
                <w:sz w:val="18"/>
                <w:szCs w:val="18"/>
                <w:color w:val="auto"/>
                <w:vertAlign w:val="superscript"/>
              </w:rPr>
              <w:t>4</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2028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5</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296,223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7.84 %</w:t>
            </w:r>
          </w:p>
        </w:tc>
        <w:tc>
          <w:tcPr>
            <w:tcW w:w="0" w:type="dxa"/>
            <w:vAlign w:val="bottom"/>
          </w:tcPr>
          <w:p>
            <w:pPr>
              <w:spacing w:after="0"/>
              <w:rPr>
                <w:sz w:val="1"/>
                <w:szCs w:val="1"/>
                <w:color w:val="auto"/>
              </w:rPr>
            </w:pP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855,977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878,235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7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80" w:hanging="75"/>
        <w:spacing w:after="0" w:line="205" w:lineRule="auto"/>
        <w:tabs>
          <w:tab w:leader="none" w:pos="80" w:val="left"/>
        </w:tabs>
        <w:numPr>
          <w:ilvl w:val="0"/>
          <w:numId w:val="7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December 31, 2024 and December 31, 2023, the carrying amount of Newtek Bank’s FHLB borrowings includes a $0.04 million and $0.2 million purchase accounting adjustment, respectively.</w:t>
      </w:r>
    </w:p>
    <w:p>
      <w:pPr>
        <w:spacing w:after="0" w:line="1" w:lineRule="exact"/>
        <w:rPr>
          <w:rFonts w:ascii="Times New Roman" w:cs="Times New Roman" w:eastAsia="Times New Roman" w:hAnsi="Times New Roman"/>
          <w:sz w:val="18"/>
          <w:szCs w:val="18"/>
          <w:color w:val="auto"/>
          <w:vertAlign w:val="superscript"/>
        </w:rPr>
      </w:pPr>
    </w:p>
    <w:p>
      <w:pPr>
        <w:spacing w:after="0" w:line="18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On August 1, 2024, the 2024 Notes matured.</w:t>
      </w:r>
    </w:p>
    <w:p>
      <w:pPr>
        <w:ind w:left="140" w:right="180" w:hanging="135"/>
        <w:spacing w:after="0" w:line="234" w:lineRule="auto"/>
        <w:tabs>
          <w:tab w:leader="none" w:pos="200" w:val="left"/>
        </w:tabs>
        <w:numPr>
          <w:ilvl w:val="0"/>
          <w:numId w:val="7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extended the maturity date of the 8.125% Senior Notes due 2025 from February 1, 2025 to the new maturity date of February 1, 2027. The notes are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80" w:hanging="75"/>
        <w:spacing w:after="0"/>
        <w:tabs>
          <w:tab w:leader="none" w:pos="80"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December 31, 2024 and December 31, 2023, the net assets of the consolidated Trusts totaled $8.9 million and $14.8 million, respectively.</w:t>
      </w:r>
    </w:p>
    <w:p>
      <w:pPr>
        <w:spacing w:after="0" w:line="17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Outstanding borrowings that are presented net of deferred financing costs, which include the bank borrowings, the Parent Company Notes, and the Notes payable - Securitization Trusts, consisted of the following:</w:t>
      </w:r>
    </w:p>
    <w:p>
      <w:pPr>
        <w:spacing w:after="0" w:line="5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38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8"/>
        </w:trPr>
        <w:tc>
          <w:tcPr>
            <w:tcW w:w="3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w w:val="99"/>
              </w:rPr>
              <w:t>Net carrying</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Net carrying</w:t>
            </w:r>
          </w:p>
        </w:tc>
      </w:tr>
      <w:tr>
        <w:trPr>
          <w:trHeight w:val="191"/>
        </w:trPr>
        <w:tc>
          <w:tcPr>
            <w:tcW w:w="3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costs</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20"/>
              <w:spacing w:after="0" w:line="191" w:lineRule="exact"/>
              <w:rPr>
                <w:sz w:val="20"/>
                <w:szCs w:val="20"/>
                <w:color w:val="auto"/>
              </w:rPr>
            </w:pPr>
            <w:r>
              <w:rPr>
                <w:rFonts w:ascii="Times New Roman" w:cs="Times New Roman" w:eastAsia="Times New Roman" w:hAnsi="Times New Roman"/>
                <w:sz w:val="14"/>
                <w:szCs w:val="14"/>
                <w:color w:val="auto"/>
                <w:w w:val="95"/>
              </w:rPr>
              <w:t>amount</w:t>
            </w:r>
            <w:r>
              <w:rPr>
                <w:rFonts w:ascii="Times New Roman" w:cs="Times New Roman" w:eastAsia="Times New Roman" w:hAnsi="Times New Roman"/>
                <w:sz w:val="18"/>
                <w:szCs w:val="18"/>
                <w:color w:val="auto"/>
                <w:w w:val="95"/>
                <w:vertAlign w:val="superscript"/>
              </w:rPr>
              <w:t>1</w:t>
            </w:r>
          </w:p>
        </w:tc>
        <w:tc>
          <w:tcPr>
            <w:tcW w:w="1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Principal balance</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financing costs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9"/>
              <w:spacing w:after="0" w:line="191" w:lineRule="exact"/>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8"/>
                <w:szCs w:val="18"/>
                <w:color w:val="auto"/>
                <w:vertAlign w:val="superscript"/>
              </w:rPr>
              <w:t>1</w:t>
            </w:r>
          </w:p>
        </w:tc>
      </w:tr>
      <w:tr>
        <w:trPr>
          <w:trHeight w:val="16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Borrowings:</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NMS Webster Note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Parent Company Notes: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 Notes (5.75%)</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2025 Notes (5.00%)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r>
      <w:tr>
        <w:trPr>
          <w:trHeight w:val="180"/>
        </w:trPr>
        <w:tc>
          <w:tcPr>
            <w:tcW w:w="38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Notes (8.125%)</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 Notes (5.50%)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113,564</w:t>
            </w:r>
          </w:p>
        </w:tc>
      </w:tr>
      <w:tr>
        <w:trPr>
          <w:trHeight w:val="180"/>
        </w:trPr>
        <w:tc>
          <w:tcPr>
            <w:tcW w:w="38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2027 Notes (8.125%)</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 Notes (8.00%)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38,378</w:t>
            </w: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 Notes (8.50%)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 Notes (8.625%)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292,112</w:t>
            </w:r>
          </w:p>
        </w:tc>
      </w:tr>
    </w:tbl>
    <w:p>
      <w:pPr>
        <w:spacing w:after="0" w:line="97" w:lineRule="exact"/>
        <w:rPr>
          <w:sz w:val="20"/>
          <w:szCs w:val="20"/>
          <w:color w:val="auto"/>
        </w:rPr>
      </w:pPr>
    </w:p>
    <w:p>
      <w:pPr>
        <w:ind w:left="80" w:hanging="75"/>
        <w:spacing w:after="0"/>
        <w:tabs>
          <w:tab w:leader="none" w:pos="80" w:val="left"/>
        </w:tabs>
        <w:numPr>
          <w:ilvl w:val="0"/>
          <w:numId w:val="8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spacing w:after="0" w:line="60" w:lineRule="exact"/>
        <w:rPr>
          <w:sz w:val="20"/>
          <w:szCs w:val="20"/>
          <w:color w:val="auto"/>
        </w:rPr>
      </w:pPr>
    </w:p>
    <w:p>
      <w:pPr>
        <w:ind w:left="140" w:right="160" w:hanging="135"/>
        <w:spacing w:after="0" w:line="237" w:lineRule="auto"/>
        <w:tabs>
          <w:tab w:leader="none" w:pos="235" w:val="left"/>
        </w:tabs>
        <w:numPr>
          <w:ilvl w:val="0"/>
          <w:numId w:val="8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extended the maturity date of the 8.125% Senior Notes due 2025 from February 1, 2025 to the new maturity date of February 1, 2027. The notes are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years ended December 31, 2024, 2023 and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40" w:type="dxa"/>
            <w:vAlign w:val="bottom"/>
            <w:tcBorders>
              <w:bottom w:val="single" w:sz="8" w:color="auto"/>
            </w:tcBorders>
          </w:tcPr>
          <w:p>
            <w:pPr>
              <w:spacing w:after="0"/>
              <w:rPr>
                <w:sz w:val="16"/>
                <w:szCs w:val="16"/>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$26,325</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8.50% 2029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 8.50% per year payable quarterly on March 1, June 1, September 1 and December 1 of each year, commencing on September 1, 2024, and trade on the Nasdaq Global Market under the trading symbol “NEWTG.” At December 31, 2024, the Company was in compliance with all covenants related to the 2029 8.50% Notes.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September 16, 2024, the Company completed a public offering of $75.0 million aggregate principal amount of 8.625% notes due 2029. The Notes will mature on October 15, 2029. The Company received $72.8 million in proceeds, before expenses, from the sale of the 2029 Notes. The Notes bear interest at a rate of 8.625% per year, payable quarterly on January 15, April 15, July 15, and October 15 each year, commencing on January 15, 2025. , and trade on the Nasdaq Global Market under the trading symbol “NEWTH.” At December 31, 2024, the Company was in compliance with all covenants related to the 2029 8.625%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Company intends to use the net proceeds from the sale of the Notes for general corporate purposes. The 2028 Notes bear interest at a rate of 8.00% per year payable quarterly on March 1, June 1, September 1 and December 1 of each year, commencing on December 1, 2023, and trade on the Nasdaq Global Market under the trading symbol “NEWTI.” At December 31, 2024, the Company was in compliance with all covenants related to the 2028 Notes.</w:t>
      </w:r>
    </w:p>
    <w:p>
      <w:pPr>
        <w:spacing w:after="0" w:line="16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and 2023, interest expense including amortization of related deferred financing costs was $3.5 million and $1.2 million, respectively. No interest expense was incurred during the year ended 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January 2021, the Company closed a public offering of $115.0 million aggregate principal amount of 5.50% Notes due 2026, including $15.0 million in aggregate principal amount sold pursuant to a fully-exercised overallotment option. The sale of the 2026 Notes generated proceeds of approximately $111.3 million, net of underwriter's fees and expenses. The 2026 Notes will mature on February 1, 2026 and may be redeemed in whole or in part at any time or from time to time at the Company’s option on or after February 1, 2022. The 2026 Notes bear interest at a rate of 5.50% per year payable quarterly on February 1, May 1, August 1 and November 1 of each year, commencing on May 1, 2021, and trade on the Nasdaq Global Market under the trading symbol “NEWTZ.”</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2024, 2023 and 2022, interest expense including amortization of related deferred financing costs was $7.0 million, $7.0 million and $7.0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On November 27, 2020, the Company closed an exempt offering of $5.0 million in aggregate principal amount of its 2025 6.85% Notes. The offering was consummated pursuant to the terms of a purchase agreement dated November 27, 2020 among the Company and an accredited investor. The purchase agreement provided for the 2025 6.85% Notes to be issued to the Purchaser in a private placement in reliance on Section 4(a)(2) of the Securities Act of 1933, as amended (the “Securities Act”). The 2025 6.85% Notes were scheduled to mature on November 30, 2025 and could be redeemed in whole or in part at any time. The 2025 6.85% Notes bear interest at a rate of 6.85% per year payable quarterly on February 28, May 31, August 31 and November 30, of each year, beginning February 28, 2021. Total net proceeds received after deducting structuring fees and estimated offering expenses was $4.8 million. The Company exercised its option to issue up to $10.0 million of additional 2025 6.85% Notes to the purchaser, and issued $10.0 million in additional 2025 6.85% Notes to the purchaser in an exempt offering in January 2021.</w:t>
      </w:r>
    </w:p>
    <w:p>
      <w:pPr>
        <w:spacing w:after="0" w:line="16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No interest expense was incurred during the years ended December 31, 2024 and 2023. For the year ended December 31, 2022, interest expense including amortization of related deferred financing costs was $0.4 million.</w:t>
      </w:r>
    </w:p>
    <w:p>
      <w:pPr>
        <w:spacing w:after="0" w:line="145"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July 25, 2019, the Company closed a public offering of $55.0 million in aggregate principal amount of its 2024 Notes. The 2024 Notes will mature on August 1, 2024 and may be redeemed in whole or in part at any time or from time to time at Newtek’s option on or after August 1, 2021. The 2024 Notes bear interest at a rate of 5.75% per year payable quarterly on August 1, November 1, February 1 and May 1, of each year, beginning November 1, 2019. Total net proceeds received after deducting underwriters’ discount and expenses was $53.3 million. The 2024 Notes are listed on the Nasdaq Global Market under the trading symbol “NEWTL” and were rated “A-“ by Egan-Jones. In August 2019, the underwriters exercised their option to purchase an additional $8.25 million in aggregate principal amount of the 2024 Notes resulting in an additional $8.0 million in net proceeds.</w:t>
      </w:r>
    </w:p>
    <w:p>
      <w:pPr>
        <w:spacing w:after="0" w:line="1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December 29, 2021, the Company redeemed $40.0 million in aggregate principal amount of the $78.25 million in aggregate principal amount of the Notes on the redemption date of December 29, 2021 at 100% of their principal amount ($25 per Note), plus the accrued and unpaid interest thereon from November 1, 2021, through, but excluding, the redemption date. As a result of the partial redemption of the 2024 Notes, the Company recorded a $0.6 million loss on extinguishment of debt during the year ended December 31, 2021, equivalent to the redeemed portion of the remaining balance of unamortized deferred financing costs as of the redemption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2024, 2023 and 2022, interest expense including amortization of related deferred financing costs was $1.4 million, $2.4 million, and $2.4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Notes Payable - Securitization Trusts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assets in SBA 7(a) Unguaranteed Non-Affiliate Investments and reflects the associated financing in Notes Payable - Securitization trusts on the Consolidated Statements of Financial Condition.</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with a final maturity date of the notes is February 2043. On February 27, 2023, the 2017-1 Trust was terminated as a result of NSBF purchasing the 2017-1 Trust assets, with the 2017-1 Trust’s noteholders receiving the redemption price.</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assets in a private placement. The Class A and Class B notes received an “A” and “BBB-” rating by S&amp;P, respectively, and the final maturity date of the notes is December 2044. In October 2024, the 2019-1 Trust was terminated as a result of NSBF purchasing the 2019-1 Trust assets, with the 2019-1 Trust’s noteholders receiving the redemption price.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assets in a private placement. The Class A and Class B notes received an “A” and “BBB-” rating by S&amp;P, respectively, and the final maturity date of the notes is December 2044. The Class A and Class B notes bear interest at a rate of adjusted SOFR plus 1.92% across both classes. NSBF has the right to call the 2021-1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NSBF has the right to call the 2022-1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NSBF has the right to call the 2023-1 Class A and B notes at such time as the sum of the principal amount of the Class A Notes and the Class B Notes is less than or equal to 20.00% of the sum of the principal amount of the Class A Notes and Class B Notes as of the closing date of the transaction, with the prior written consent of the SBA.</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2023 and 2022, interest expense including amortization of related deferred financing costs and discount was $21.1 million, $23.5 million, and $10.6 million, respectively.</w:t>
      </w:r>
    </w:p>
    <w:p>
      <w:pPr>
        <w:spacing w:after="0" w:line="1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At December 31, 2024 and 2023, the assets of the consolidated Trusts totaled $8.9 million and $14.8 million, respectively. The liabilities of the consolidated Trusts totaled $189.2 million and $296.2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 Capital One Facility</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Prior to October 2023, NSBF maintained a $150 million Capital One facility to finance the origination of the unguaranteed and guaranteed portions of SBA 7(a) loans NSBF originated. The portion of the facility collateralized by the government guaranteed portion of SBA 7(a) loans was Prime minus 0.75% and the interest rate on the portion of the facility collateralized by the non-guaranteed portion of SBA 7(a) loans was Prime plus 0.25%. The facility provided for a 55% advance rate on the non-guaranteed portions of the SBA 7(a) loans NSBF originates and a 90% advance rate on the guaranteed portions of SBA 7(a) loans NSBF originated. The NSBF Capital One facility was paid off and terminated in October of 2023.</w:t>
      </w:r>
    </w:p>
    <w:p>
      <w:pPr>
        <w:spacing w:after="0" w:line="16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No interest expense was incurred during the year ended December 31, 2024. For the years ended December 31, 2023 and 2022, interest expense including amortization of related deferred financing costs was $11.0 million and $4.0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Payable - Related Parties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2015, the Company entered into the Related Party RLOC. Maximum borrowings under the Related Party RLOC were $38.0 million.</w:t>
      </w:r>
    </w:p>
    <w:p>
      <w:pPr>
        <w:spacing w:after="0" w:line="2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In June 2017, the Related Party RLOC was amended to increase maximum borrowings to $50.0 million. The outstanding balance had an interest rate equal to 1 month LIBOR (with a floor of 0.50%) plus 6.0% or a rate equal to the greater of the Prime Rate or 3.5% plus 5.0%. In November 2018, the Related Party RLOC was amended to reduce the interest rate to the lesser of 1 month LIBOR plus 2.5% or the Prime Rate plus 1.5%.</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and 2023, interest expense was eliminated in the consolidated financial statements on related party notes payable. Interest expense for the year ended December 31, 2022 was $0.5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expected principal repayments on the Company’s borrowings for the next five fiscal years and thereafter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60" w:type="dxa"/>
            <w:vAlign w:val="bottom"/>
          </w:tcPr>
          <w:p>
            <w:pPr>
              <w:spacing w:after="0"/>
              <w:rPr>
                <w:sz w:val="11"/>
                <w:szCs w:val="1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Borrowings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1"/>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5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86,344</w:t>
            </w:r>
          </w:p>
        </w:tc>
      </w:tr>
      <w:tr>
        <w:trPr>
          <w:trHeight w:val="18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123,075</w:t>
            </w:r>
          </w:p>
        </w:tc>
      </w:tr>
      <w:tr>
        <w:trPr>
          <w:trHeight w:val="180"/>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132,980</w:t>
            </w:r>
          </w:p>
        </w:tc>
      </w:tr>
      <w:tr>
        <w:trPr>
          <w:trHeight w:val="18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80"/>
        </w:trPr>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8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146,875</w:t>
            </w:r>
          </w:p>
        </w:tc>
      </w:tr>
      <w:tr>
        <w:trPr>
          <w:trHeight w:val="180"/>
        </w:trPr>
        <w:tc>
          <w:tcPr>
            <w:tcW w:w="20" w:type="dxa"/>
            <w:vAlign w:val="bottom"/>
            <w:tcBorders>
              <w:bottom w:val="single" w:sz="8" w:color="CCEEFF"/>
            </w:tcBorders>
          </w:tcPr>
          <w:p>
            <w:pPr>
              <w:spacing w:after="0"/>
              <w:rPr>
                <w:sz w:val="15"/>
                <w:szCs w:val="15"/>
                <w:color w:val="auto"/>
              </w:rPr>
            </w:pPr>
          </w:p>
        </w:tc>
        <w:tc>
          <w:tcPr>
            <w:tcW w:w="9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189,231</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14—DERIVATIVE INSTRUMENTS:</w:t>
      </w:r>
    </w:p>
    <w:p>
      <w:pPr>
        <w:spacing w:after="0" w:line="2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December 31, 2024 and December 31, 2023:</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100" w:type="dxa"/>
            <w:vAlign w:val="bottom"/>
            <w:tcBorders>
              <w:bottom w:val="single" w:sz="8" w:color="auto"/>
            </w:tcBorders>
          </w:tcPr>
          <w:p>
            <w:pPr>
              <w:spacing w:after="0"/>
              <w:rPr>
                <w:sz w:val="13"/>
                <w:szCs w:val="13"/>
                <w:color w:val="auto"/>
              </w:rPr>
            </w:pPr>
          </w:p>
        </w:tc>
      </w:tr>
      <w:tr>
        <w:trPr>
          <w:trHeight w:val="150"/>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4"/>
        </w:trPr>
        <w:tc>
          <w:tcPr>
            <w:tcW w:w="240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0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7"/>
                <w:szCs w:val="7"/>
                <w:b w:val="1"/>
                <w:bCs w:val="1"/>
                <w:color w:val="auto"/>
              </w:rPr>
              <w:t>2</w:t>
            </w:r>
          </w:p>
        </w:tc>
        <w:tc>
          <w:tcPr>
            <w:tcW w:w="2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Pr>
          <w:p>
            <w:pPr>
              <w:spacing w:after="0"/>
              <w:rPr>
                <w:sz w:val="13"/>
                <w:szCs w:val="13"/>
                <w:color w:val="auto"/>
              </w:rPr>
            </w:pPr>
          </w:p>
        </w:tc>
        <w:tc>
          <w:tcPr>
            <w:tcW w:w="1380" w:type="dxa"/>
            <w:vAlign w:val="bottom"/>
            <w:gridSpan w:val="3"/>
          </w:tcPr>
          <w:p>
            <w:pPr>
              <w:jc w:val="center"/>
              <w:ind w:right="22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3"/>
                <w:szCs w:val="13"/>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7"/>
                <w:szCs w:val="7"/>
                <w:b w:val="1"/>
                <w:bCs w:val="1"/>
                <w:color w:val="auto"/>
              </w:rPr>
              <w:t>3</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(153,049)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r>
    </w:tbl>
    <w:p>
      <w:pPr>
        <w:spacing w:after="0" w:line="29" w:lineRule="exact"/>
        <w:rPr>
          <w:sz w:val="20"/>
          <w:szCs w:val="20"/>
          <w:color w:val="auto"/>
        </w:rPr>
      </w:pPr>
    </w:p>
    <w:p>
      <w:pPr>
        <w:ind w:left="80" w:hanging="75"/>
        <w:spacing w:after="0"/>
        <w:tabs>
          <w:tab w:leader="none" w:pos="80" w:val="left"/>
        </w:tabs>
        <w:numPr>
          <w:ilvl w:val="0"/>
          <w:numId w:val="8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as a negative number when the position is sold short.</w:t>
      </w:r>
    </w:p>
    <w:p>
      <w:pPr>
        <w:ind w:left="80" w:hanging="75"/>
        <w:spacing w:after="0" w:line="196" w:lineRule="auto"/>
        <w:tabs>
          <w:tab w:leader="none" w:pos="80" w:val="left"/>
        </w:tabs>
        <w:numPr>
          <w:ilvl w:val="0"/>
          <w:numId w:val="8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Other assets in the accompanying Consolidated Statements of Financial Condition.</w:t>
      </w:r>
    </w:p>
    <w:p>
      <w:pPr>
        <w:ind w:left="80" w:hanging="75"/>
        <w:spacing w:after="0" w:line="205" w:lineRule="auto"/>
        <w:tabs>
          <w:tab w:leader="none" w:pos="80" w:val="left"/>
        </w:tabs>
        <w:numPr>
          <w:ilvl w:val="0"/>
          <w:numId w:val="8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Accounts payable, accrued expenses, and other liabilities in the accompanying Consolidated Statements of Financial Condition.</w:t>
      </w:r>
    </w:p>
    <w:p>
      <w:pPr>
        <w:spacing w:after="0" w:line="17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 operations for the years ended December 31, 2024, 2023 and 2022:</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876"/>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02"/>
        </w:trPr>
        <w:tc>
          <w:tcPr>
            <w:tcW w:w="26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60" w:type="dxa"/>
            <w:vAlign w:val="bottom"/>
          </w:tcPr>
          <w:p>
            <w:pPr>
              <w:spacing w:after="0"/>
              <w:rPr>
                <w:sz w:val="8"/>
                <w:szCs w:val="8"/>
                <w:color w:val="auto"/>
              </w:rPr>
            </w:pPr>
          </w:p>
        </w:tc>
        <w:tc>
          <w:tcPr>
            <w:tcW w:w="1220" w:type="dxa"/>
            <w:vAlign w:val="bottom"/>
            <w:gridSpan w:val="2"/>
          </w:tcPr>
          <w:p>
            <w:pPr>
              <w:ind w:left="18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00" w:type="dxa"/>
            <w:vAlign w:val="bottom"/>
          </w:tcPr>
          <w:p>
            <w:pPr>
              <w:spacing w:after="0"/>
              <w:rPr>
                <w:sz w:val="8"/>
                <w:szCs w:val="8"/>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260" w:type="dxa"/>
            <w:vAlign w:val="bottom"/>
          </w:tcPr>
          <w:p>
            <w:pPr>
              <w:spacing w:after="0"/>
              <w:rPr>
                <w:sz w:val="8"/>
                <w:szCs w:val="8"/>
                <w:color w:val="auto"/>
              </w:rPr>
            </w:pPr>
          </w:p>
        </w:tc>
        <w:tc>
          <w:tcPr>
            <w:tcW w:w="1200" w:type="dxa"/>
            <w:vAlign w:val="bottom"/>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260" w:type="dxa"/>
            <w:vAlign w:val="bottom"/>
          </w:tcPr>
          <w:p>
            <w:pPr>
              <w:spacing w:after="0"/>
              <w:rPr>
                <w:sz w:val="8"/>
                <w:szCs w:val="8"/>
                <w:color w:val="auto"/>
              </w:rPr>
            </w:pPr>
          </w:p>
        </w:tc>
        <w:tc>
          <w:tcPr>
            <w:tcW w:w="1220" w:type="dxa"/>
            <w:vAlign w:val="bottom"/>
            <w:gridSpan w:val="2"/>
          </w:tcPr>
          <w:p>
            <w:pPr>
              <w:ind w:left="18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8"/>
                <w:szCs w:val="8"/>
                <w:color w:val="auto"/>
              </w:rPr>
            </w:pP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0" w:type="dxa"/>
            <w:vAlign w:val="bottom"/>
          </w:tcPr>
          <w:p>
            <w:pPr>
              <w:spacing w:after="0"/>
              <w:rPr>
                <w:sz w:val="1"/>
                <w:szCs w:val="1"/>
                <w:color w:val="auto"/>
              </w:rPr>
            </w:pPr>
          </w:p>
        </w:tc>
      </w:tr>
      <w:tr>
        <w:trPr>
          <w:trHeight w:val="154"/>
        </w:trPr>
        <w:tc>
          <w:tcPr>
            <w:tcW w:w="2640" w:type="dxa"/>
            <w:vAlign w:val="bottom"/>
            <w:gridSpan w:val="2"/>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2024, the Company entered into one-year employment agreements with its named executive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Company’s obligations and commitments, as of December 31, 2024 for future minimum cash payments required under operating lease and employment agreements: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Employment Agreements</w:t>
            </w:r>
            <w:r>
              <w:rPr>
                <w:rFonts w:ascii="Times New Roman" w:cs="Times New Roman" w:eastAsia="Times New Roman" w:hAnsi="Times New Roman"/>
                <w:sz w:val="14"/>
                <w:szCs w:val="14"/>
                <w:b w:val="1"/>
                <w:bCs w:val="1"/>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60" w:type="dxa"/>
            <w:vAlign w:val="bottom"/>
            <w:tcBorders>
              <w:top w:val="single" w:sz="8" w:color="auto"/>
              <w:bottom w:val="single" w:sz="8" w:color="auto"/>
            </w:tcBorders>
            <w:shd w:val="clear" w:color="auto" w:fill="CCEEFF"/>
          </w:tcPr>
          <w:p>
            <w:pPr>
              <w:jc w:val="right"/>
              <w:ind w:right="159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8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Employment agreements with certain of the Company’s named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65"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6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and 2023, the Company had unfunded commitments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3"/>
                <w:szCs w:val="13"/>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 loans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20,365</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loans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81,023</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 loans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13,150</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10,877</w:t>
            </w:r>
          </w:p>
        </w:tc>
      </w:tr>
      <w:tr>
        <w:trPr>
          <w:trHeight w:val="196"/>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anticipates these commitments will be funded from the same sources it used to fund its other loan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On February 3, 2023, we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is convertible at the holder’s option into 47.54 shares of the Company’s Common Stock. The Company had not issued preferred stock prior to February 3,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ATM Program</w:t>
      </w:r>
    </w:p>
    <w:p>
      <w:pPr>
        <w:spacing w:after="0" w:line="191"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3.0 million shares of Common Stock from time to time through the placement agents (the “ATM Program”). The Company may, subject to market conditions, engage in activity under the ATM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sold and net proceeds received under the 2023 ATM Equity Distribution Agreement: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60" w:type="dxa"/>
            <w:vAlign w:val="bottom"/>
          </w:tcPr>
          <w:p>
            <w:pPr>
              <w:spacing w:after="0"/>
              <w:rPr>
                <w:sz w:val="13"/>
                <w:szCs w:val="13"/>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60" w:type="dxa"/>
            <w:vAlign w:val="bottom"/>
          </w:tcPr>
          <w:p>
            <w:pPr>
              <w:spacing w:after="0"/>
              <w:rPr>
                <w:sz w:val="13"/>
                <w:szCs w:val="13"/>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18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sold</w:t>
            </w:r>
          </w:p>
        </w:tc>
        <w:tc>
          <w:tcPr>
            <w:tcW w:w="14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Placement agent fees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We used the net proceeds for funding investments in accordance with our investment objective and strategies and for general corporate purposes including repaying outstanding indebtedness and other general corporate purposes.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ATM Program</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June 25, 2020, the Company entered into the 2020 ATM Equity Distribution Agreement. On July 20, 2022, the Company entered into Amendment No. 1 to the 2020 ATM Equity Distribution Agreement. The 2020 ATM Equity Distribution Agreement, as amended, provided that the Company may offer and sell up to 6.4 million shares of common stock from time to time through the placement agents. The ATM program was suspended as of January 6, 2023, when the Company did not have an effective shelf registration statement in place. The following table summarizes the total shares sold and net proceeds received under the 2020 ATM Equity Distribution Agreement:</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10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sold</w:t>
            </w:r>
          </w:p>
        </w:tc>
        <w:tc>
          <w:tcPr>
            <w:tcW w:w="176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107</w:t>
            </w: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760" w:type="dxa"/>
            <w:vAlign w:val="bottom"/>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19.12</w:t>
            </w: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w:t>
            </w:r>
          </w:p>
        </w:tc>
        <w:tc>
          <w:tcPr>
            <w:tcW w:w="176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2,054</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net proceeds for funding investments in debt and equity securities in accordance with its investment objective and strategies.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191"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next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repurchased and net proceeds received under the stock repurchase program:</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r>
      <w:tr>
        <w:trPr>
          <w:trHeight w:val="18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Pr>
          <w:p>
            <w:pPr>
              <w:spacing w:after="0"/>
              <w:rPr>
                <w:sz w:val="15"/>
                <w:szCs w:val="15"/>
                <w:color w:val="auto"/>
              </w:rPr>
            </w:pPr>
          </w:p>
        </w:tc>
        <w:tc>
          <w:tcPr>
            <w:tcW w:w="1760" w:type="dxa"/>
            <w:vAlign w:val="bottom"/>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dividend declarations and distributions on the Series A Preferred Stock during the years ended December 31,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600" w:type="dxa"/>
            <w:vAlign w:val="bottom"/>
          </w:tcPr>
          <w:p>
            <w:pPr>
              <w:ind w:left="80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8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Cash Distribution</w:t>
            </w:r>
          </w:p>
        </w:tc>
      </w:tr>
      <w:tr>
        <w:trPr>
          <w:trHeight w:val="139"/>
        </w:trPr>
        <w:tc>
          <w:tcPr>
            <w:tcW w:w="20" w:type="dxa"/>
            <w:vAlign w:val="bottom"/>
            <w:tcBorders>
              <w:top w:val="single" w:sz="8" w:color="auto"/>
            </w:tcBorders>
            <w:shd w:val="clear" w:color="auto" w:fill="CCEEFF"/>
          </w:tcPr>
          <w:p>
            <w:pPr>
              <w:spacing w:after="0"/>
              <w:rPr>
                <w:sz w:val="12"/>
                <w:szCs w:val="12"/>
                <w:color w:val="auto"/>
              </w:rPr>
            </w:pPr>
          </w:p>
        </w:tc>
        <w:tc>
          <w:tcPr>
            <w:tcW w:w="3580" w:type="dxa"/>
            <w:vAlign w:val="bottom"/>
            <w:tcBorders>
              <w:top w:val="single" w:sz="8" w:color="auto"/>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18, 2024</w:t>
            </w:r>
          </w:p>
        </w:tc>
        <w:tc>
          <w:tcPr>
            <w:tcW w:w="2200" w:type="dxa"/>
            <w:vAlign w:val="bottom"/>
            <w:tcBorders>
              <w:top w:val="single" w:sz="8" w:color="CCEEFF"/>
            </w:tcBorders>
            <w:gridSpan w:val="2"/>
          </w:tcPr>
          <w:p>
            <w:pPr>
              <w:spacing w:after="0"/>
              <w:rPr>
                <w:sz w:val="15"/>
                <w:szCs w:val="15"/>
                <w:color w:val="auto"/>
              </w:rPr>
            </w:pPr>
          </w:p>
        </w:tc>
        <w:tc>
          <w:tcPr>
            <w:tcW w:w="1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March 28, 2024</w:t>
            </w: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1, 2024</w:t>
            </w:r>
          </w:p>
        </w:tc>
        <w:tc>
          <w:tcPr>
            <w:tcW w:w="180" w:type="dxa"/>
            <w:vAlign w:val="bottom"/>
            <w:tcBorders>
              <w:top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26, 2024</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28, 2024</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2024</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20" w:type="dxa"/>
            <w:vAlign w:val="bottom"/>
          </w:tcPr>
          <w:p>
            <w:pPr>
              <w:spacing w:after="0"/>
              <w:rPr>
                <w:sz w:val="15"/>
                <w:szCs w:val="15"/>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16, 2024</w:t>
            </w: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1, 2024</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2025</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2, 2025</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39"/>
        </w:trPr>
        <w:tc>
          <w:tcPr>
            <w:tcW w:w="20" w:type="dxa"/>
            <w:vAlign w:val="bottom"/>
            <w:shd w:val="clear" w:color="auto" w:fill="CCEEFF"/>
          </w:tcPr>
          <w:p>
            <w:pPr>
              <w:spacing w:after="0"/>
              <w:rPr>
                <w:sz w:val="12"/>
                <w:szCs w:val="12"/>
                <w:color w:val="auto"/>
              </w:rPr>
            </w:pPr>
          </w:p>
        </w:tc>
        <w:tc>
          <w:tcPr>
            <w:tcW w:w="368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April 13, 2023</w:t>
            </w:r>
          </w:p>
        </w:tc>
        <w:tc>
          <w:tcPr>
            <w:tcW w:w="2200" w:type="dxa"/>
            <w:vAlign w:val="bottom"/>
            <w:tcBorders>
              <w:top w:val="single" w:sz="8" w:color="CCEEFF"/>
            </w:tcBorders>
            <w:gridSpan w:val="2"/>
          </w:tcPr>
          <w:p>
            <w:pPr>
              <w:spacing w:after="0"/>
              <w:rPr>
                <w:sz w:val="15"/>
                <w:szCs w:val="15"/>
                <w:color w:val="auto"/>
              </w:rPr>
            </w:pPr>
          </w:p>
        </w:tc>
        <w:tc>
          <w:tcPr>
            <w:tcW w:w="1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March 20, 2023</w:t>
            </w: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April 14, 2023</w:t>
            </w:r>
          </w:p>
        </w:tc>
        <w:tc>
          <w:tcPr>
            <w:tcW w:w="180" w:type="dxa"/>
            <w:vAlign w:val="bottom"/>
            <w:tcBorders>
              <w:top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2023</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27, 2023</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2023</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20" w:type="dxa"/>
            <w:vAlign w:val="bottom"/>
          </w:tcPr>
          <w:p>
            <w:pPr>
              <w:spacing w:after="0"/>
              <w:rPr>
                <w:sz w:val="15"/>
                <w:szCs w:val="15"/>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27, 2023</w:t>
            </w: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October 2, 2023</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25, 2023</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27, 2023</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2, 2024</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87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2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F-60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The Company’s dividends and distributions on the Company’s common shares are recorded on the declaration date. Effective December 8, 2023, the Company terminated the DRIP. The following table summarizes the Company’s dividend declarations and distributions, including DRIP shares and dividend shares issued on vested restricted stock awards, during the years ended December 31, 2024 and 2023:</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DRIP Shares Issued</w:t>
            </w:r>
          </w:p>
        </w:tc>
        <w:tc>
          <w:tcPr>
            <w:tcW w:w="1540" w:type="dxa"/>
            <w:vAlign w:val="bottom"/>
            <w:gridSpan w:val="3"/>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Dividend Shares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540" w:type="dxa"/>
            <w:vAlign w:val="bottom"/>
            <w:gridSpan w:val="3"/>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on Unvested RSAs</w:t>
            </w:r>
          </w:p>
        </w:tc>
        <w:tc>
          <w:tcPr>
            <w:tcW w:w="0" w:type="dxa"/>
            <w:vAlign w:val="bottom"/>
          </w:tcPr>
          <w:p>
            <w:pPr>
              <w:spacing w:after="0"/>
              <w:rPr>
                <w:sz w:val="1"/>
                <w:szCs w:val="1"/>
                <w:color w:val="auto"/>
              </w:rPr>
            </w:pPr>
          </w:p>
        </w:tc>
      </w:tr>
      <w:tr>
        <w:trPr>
          <w:trHeight w:val="169"/>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0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Distribution</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66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9"/>
        </w:trPr>
        <w:tc>
          <w:tcPr>
            <w:tcW w:w="20" w:type="dxa"/>
            <w:vAlign w:val="bottom"/>
            <w:tcBorders>
              <w:top w:val="single" w:sz="8" w:color="auto"/>
            </w:tcBorders>
            <w:shd w:val="clear" w:color="auto" w:fill="CCEEFF"/>
          </w:tcPr>
          <w:p>
            <w:pPr>
              <w:spacing w:after="0"/>
              <w:rPr>
                <w:sz w:val="12"/>
                <w:szCs w:val="12"/>
                <w:color w:val="auto"/>
              </w:rPr>
            </w:pPr>
          </w:p>
        </w:tc>
        <w:tc>
          <w:tcPr>
            <w:tcW w:w="2220" w:type="dxa"/>
            <w:vAlign w:val="bottom"/>
            <w:tcBorders>
              <w:top w:val="single" w:sz="8" w:color="auto"/>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19, 2024</w:t>
            </w:r>
          </w:p>
        </w:tc>
        <w:tc>
          <w:tcPr>
            <w:tcW w:w="7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1780" w:type="dxa"/>
            <w:vAlign w:val="bottom"/>
            <w:tcBorders>
              <w:top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15, 2024</w:t>
            </w:r>
          </w:p>
        </w:tc>
        <w:tc>
          <w:tcPr>
            <w:tcW w:w="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27, 2024</w:t>
            </w:r>
          </w:p>
        </w:tc>
        <w:tc>
          <w:tcPr>
            <w:tcW w:w="10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9, 2024</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19, 2024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0"/>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September 16, 2024</w:t>
            </w:r>
          </w:p>
        </w:tc>
        <w:tc>
          <w:tcPr>
            <w:tcW w:w="100" w:type="dxa"/>
            <w:vAlign w:val="bottom"/>
          </w:tcPr>
          <w:p>
            <w:pPr>
              <w:spacing w:after="0"/>
              <w:rPr>
                <w:sz w:val="15"/>
                <w:szCs w:val="15"/>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2024</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21, 2024</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13, 2024</w:t>
            </w:r>
          </w:p>
        </w:tc>
        <w:tc>
          <w:tcPr>
            <w:tcW w:w="10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2024</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13, 2025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13</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February 27, 2023</w:t>
            </w:r>
          </w:p>
        </w:tc>
        <w:tc>
          <w:tcPr>
            <w:tcW w:w="7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4, 2023</w:t>
            </w:r>
          </w:p>
        </w:tc>
        <w:tc>
          <w:tcPr>
            <w:tcW w:w="1780" w:type="dxa"/>
            <w:vAlign w:val="bottom"/>
            <w:tcBorders>
              <w:top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14, 2023</w:t>
            </w:r>
          </w:p>
        </w:tc>
        <w:tc>
          <w:tcPr>
            <w:tcW w:w="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72</w:t>
            </w:r>
          </w:p>
        </w:tc>
        <w:tc>
          <w:tcPr>
            <w:tcW w:w="52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27, 2023</w:t>
            </w:r>
          </w:p>
        </w:tc>
        <w:tc>
          <w:tcPr>
            <w:tcW w:w="10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10, 2023</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21, 2023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73</w:t>
            </w:r>
          </w:p>
        </w:tc>
        <w:tc>
          <w:tcPr>
            <w:tcW w:w="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September 27, 2023</w:t>
            </w:r>
          </w:p>
        </w:tc>
        <w:tc>
          <w:tcPr>
            <w:tcW w:w="100" w:type="dxa"/>
            <w:vAlign w:val="bottom"/>
          </w:tcPr>
          <w:p>
            <w:pPr>
              <w:spacing w:after="0"/>
              <w:rPr>
                <w:sz w:val="15"/>
                <w:szCs w:val="15"/>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2023</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20, 2023</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71</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2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11, 2023</w:t>
            </w:r>
          </w:p>
        </w:tc>
        <w:tc>
          <w:tcPr>
            <w:tcW w:w="10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December 29, 2023</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12, 2024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17—REGULATORY CAPITAL:</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maintenance of appropriate levels of capital is a management priority and is monitored on a regular basis. The Company’s principal goals related to the maintenance of capital are the following: to provide adequate capital to support the Company’s risk profile consistent with the risk appetite approved by the Board of Directors; to provide financial flexibility to support future growth and client needs; comply with relevant laws, regulations, and supervisory guidance; to achieve optimal ratings for the Company and its subsidiaries; and to provide a competitive return to shareholders. Management regularly monitors the capital position of the Company on both a consolidated and bank level basis. Risk-based capital ratios, which include Tier 1 Capital, Total Capital and Common Equity Tier 1 Capital, are calculated based on regulatory guidance related to the measurement of capital and risk-weighted assets.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NewtekOne, Inc. as of December 31, 2024 and 2023 are presented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2024</w:t>
            </w:r>
          </w:p>
        </w:tc>
        <w:tc>
          <w:tcPr>
            <w:tcW w:w="20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13.3 %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69,727</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61,492</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231,899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19.7 %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109,320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December 31, 2023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13.6 %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53,363</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16.2 %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66,870</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5"/>
                <w:szCs w:val="15"/>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89,160</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26" w:lineRule="exact"/>
        <w:rPr>
          <w:sz w:val="20"/>
          <w:szCs w:val="20"/>
          <w:color w:val="auto"/>
        </w:rPr>
      </w:pPr>
    </w:p>
    <w:p>
      <w:pPr>
        <w:ind w:left="80" w:hanging="75"/>
        <w:spacing w:after="0"/>
        <w:tabs>
          <w:tab w:leader="none" w:pos="80" w:val="left"/>
        </w:tabs>
        <w:numPr>
          <w:ilvl w:val="0"/>
          <w:numId w:val="8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80"/>
        <w:spacing w:after="0" w:line="272" w:lineRule="auto"/>
        <w:rPr>
          <w:sz w:val="20"/>
          <w:szCs w:val="20"/>
          <w:color w:val="auto"/>
        </w:rPr>
      </w:pPr>
      <w:r>
        <w:rPr>
          <w:rFonts w:ascii="Times New Roman" w:cs="Times New Roman" w:eastAsia="Times New Roman" w:hAnsi="Times New Roman"/>
          <w:sz w:val="14"/>
          <w:szCs w:val="14"/>
          <w:color w:val="auto"/>
        </w:rPr>
        <w:t>Capital amounts and ratios for Newtek Bank as of December 31, 2024 and 2023, are presented in the table below. As of December 31, 2024 and 2023, Newtek Bank was categorized as “well-capitalized” under the prompt corrective action measures and met the capital conservation buffer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0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2024</w:t>
            </w: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40,197</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4.0 %</w:t>
            </w: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50,246</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38,151</w:t>
            </w:r>
          </w:p>
        </w:tc>
        <w:tc>
          <w:tcPr>
            <w:tcW w:w="100" w:type="dxa"/>
            <w:vAlign w:val="bottom"/>
          </w:tcPr>
          <w:p>
            <w:pPr>
              <w:spacing w:after="0"/>
              <w:rPr>
                <w:sz w:val="15"/>
                <w:szCs w:val="15"/>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4.5 %</w:t>
            </w:r>
          </w:p>
        </w:tc>
        <w:tc>
          <w:tcPr>
            <w:tcW w:w="22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55,107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6.0 %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67,823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67,824</w:t>
            </w:r>
          </w:p>
        </w:tc>
        <w:tc>
          <w:tcPr>
            <w:tcW w:w="100" w:type="dxa"/>
            <w:vAlign w:val="bottom"/>
          </w:tcPr>
          <w:p>
            <w:pPr>
              <w:spacing w:after="0"/>
              <w:rPr>
                <w:sz w:val="15"/>
                <w:szCs w:val="15"/>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8.0 %</w:t>
            </w:r>
          </w:p>
        </w:tc>
        <w:tc>
          <w:tcPr>
            <w:tcW w:w="22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84,779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December 31, 2023</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23,893</w:t>
            </w:r>
          </w:p>
        </w:tc>
        <w:tc>
          <w:tcPr>
            <w:tcW w:w="100" w:type="dxa"/>
            <w:vAlign w:val="bottom"/>
          </w:tcPr>
          <w:p>
            <w:pPr>
              <w:spacing w:after="0"/>
              <w:rPr>
                <w:sz w:val="15"/>
                <w:szCs w:val="15"/>
                <w:color w:val="auto"/>
              </w:rPr>
            </w:pPr>
          </w:p>
        </w:tc>
        <w:tc>
          <w:tcPr>
            <w:tcW w:w="13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4.0 %  $</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29,866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4.5 %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30,026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27,716</w:t>
            </w:r>
          </w:p>
        </w:tc>
        <w:tc>
          <w:tcPr>
            <w:tcW w:w="100" w:type="dxa"/>
            <w:vAlign w:val="bottom"/>
          </w:tcPr>
          <w:p>
            <w:pPr>
              <w:spacing w:after="0"/>
              <w:rPr>
                <w:sz w:val="15"/>
                <w:szCs w:val="15"/>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7"/>
              </w:rPr>
              <w:t>6.0 %</w:t>
            </w:r>
          </w:p>
        </w:tc>
        <w:tc>
          <w:tcPr>
            <w:tcW w:w="22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36,955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7"/>
              </w:rPr>
              <w:t>8.0 %</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46,193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37" w:lineRule="exact"/>
        <w:rPr>
          <w:sz w:val="20"/>
          <w:szCs w:val="20"/>
          <w:color w:val="auto"/>
        </w:rPr>
      </w:pPr>
    </w:p>
    <w:p>
      <w:pPr>
        <w:ind w:left="80" w:hanging="75"/>
        <w:spacing w:after="0"/>
        <w:tabs>
          <w:tab w:leader="none" w:pos="80" w:val="left"/>
        </w:tabs>
        <w:numPr>
          <w:ilvl w:val="0"/>
          <w:numId w:val="8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18—EARNINGS PER SHARE:</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29"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0"/>
        </w:trPr>
        <w:tc>
          <w:tcPr>
            <w:tcW w:w="6920" w:type="dxa"/>
            <w:vAlign w:val="bottom"/>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Financial Holding Company</w:t>
            </w:r>
          </w:p>
        </w:tc>
        <w:tc>
          <w:tcPr>
            <w:tcW w:w="80" w:type="dxa"/>
            <w:vAlign w:val="bottom"/>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Holding Company</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Investment Company</w:t>
            </w:r>
          </w:p>
        </w:tc>
        <w:tc>
          <w:tcPr>
            <w:tcW w:w="0" w:type="dxa"/>
            <w:vAlign w:val="bottom"/>
          </w:tcPr>
          <w:p>
            <w:pPr>
              <w:spacing w:after="0"/>
              <w:rPr>
                <w:sz w:val="1"/>
                <w:szCs w:val="1"/>
                <w:color w:val="auto"/>
              </w:rPr>
            </w:pPr>
          </w:p>
        </w:tc>
      </w:tr>
      <w:tr>
        <w:trPr>
          <w:trHeight w:val="16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Weighted-average basic shares outstanding</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24,945</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24,263</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24,198</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9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0" w:type="dxa"/>
            <w:vAlign w:val="bottom"/>
          </w:tcPr>
          <w:p>
            <w:pPr>
              <w:spacing w:after="0"/>
              <w:rPr>
                <w:sz w:val="1"/>
                <w:szCs w:val="1"/>
                <w:color w:val="auto"/>
              </w:rPr>
            </w:pPr>
          </w:p>
        </w:tc>
      </w:tr>
      <w:tr>
        <w:trPr>
          <w:trHeight w:val="180"/>
        </w:trPr>
        <w:tc>
          <w:tcPr>
            <w:tcW w:w="6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Preferred dividends on dilutive Series A convertible preferred stock¹</w:t>
            </w:r>
          </w:p>
        </w:tc>
        <w:tc>
          <w:tcPr>
            <w:tcW w:w="3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24,945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24,263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24,198</w:t>
            </w: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 effect of dilutive restricted stock awards²</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weighted-average diluted shares outstanding³</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Anti-dilutive warrants, restricted stock awards, and Series A convertible preferred stock</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140" w:right="40" w:hanging="135"/>
        <w:spacing w:after="0" w:line="226" w:lineRule="auto"/>
        <w:tabs>
          <w:tab w:leader="none" w:pos="81" w:val="left"/>
        </w:tabs>
        <w:numPr>
          <w:ilvl w:val="0"/>
          <w:numId w:val="8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periods presented, the Series A convertible preferred stock was antidilutive and, therefore, the preferred dividends have not been added back to the numerator of Net income, for diluted earnings per share.</w:t>
      </w:r>
    </w:p>
    <w:p>
      <w:pPr>
        <w:ind w:left="80" w:hanging="75"/>
        <w:spacing w:after="0" w:line="196" w:lineRule="auto"/>
        <w:tabs>
          <w:tab w:leader="none" w:pos="80" w:val="left"/>
        </w:tabs>
        <w:numPr>
          <w:ilvl w:val="0"/>
          <w:numId w:val="9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Incremental diluted shares from restricted stock awards under the treasury stock method.</w:t>
      </w:r>
    </w:p>
    <w:p>
      <w:pPr>
        <w:spacing w:after="0" w:line="1" w:lineRule="exact"/>
        <w:rPr>
          <w:sz w:val="20"/>
          <w:szCs w:val="20"/>
          <w:color w:val="auto"/>
        </w:rPr>
      </w:pPr>
    </w:p>
    <w:p>
      <w:pPr>
        <w:ind w:left="140" w:right="380" w:hanging="135"/>
        <w:spacing w:after="0" w:line="226" w:lineRule="auto"/>
        <w:tabs>
          <w:tab w:leader="none" w:pos="94" w:val="left"/>
        </w:tabs>
        <w:numPr>
          <w:ilvl w:val="0"/>
          <w:numId w:val="9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year ended ended December 31, 2024 and December 31, 2023, the Warrants were not included in the diluted share count because the results would have been anti-dilutive under the if-converted method.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color w:val="auto"/>
        </w:rPr>
        <w:t>NOTE 19—LEASES: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Under ASC 842, operating lease expense is generally recognized on a straight-line basis over the term of the lease. The Company has entered into operating lease agreements for office space with remaining contractual terms up to fifteen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supplemental cash flow and other information related to our operating leases: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(operating cash flows)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$2,693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 operating leases</w:t>
            </w:r>
          </w:p>
        </w:tc>
        <w:tc>
          <w:tcPr>
            <w:tcW w:w="1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5.87 years</w:t>
            </w:r>
          </w:p>
        </w:tc>
        <w:tc>
          <w:tcPr>
            <w:tcW w:w="14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2.88 years</w:t>
            </w:r>
          </w:p>
        </w:tc>
        <w:tc>
          <w:tcPr>
            <w:tcW w:w="1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4.41 years</w:t>
            </w:r>
          </w:p>
        </w:tc>
        <w:tc>
          <w:tcPr>
            <w:tcW w:w="0" w:type="dxa"/>
            <w:vAlign w:val="bottom"/>
          </w:tcPr>
          <w:p>
            <w:pPr>
              <w:spacing w:after="0"/>
              <w:rPr>
                <w:sz w:val="1"/>
                <w:szCs w:val="1"/>
                <w:color w:val="auto"/>
              </w:rPr>
            </w:pPr>
          </w:p>
        </w:tc>
      </w:tr>
      <w:tr>
        <w:trPr>
          <w:trHeight w:val="180"/>
        </w:trPr>
        <w:tc>
          <w:tcPr>
            <w:tcW w:w="7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5.94%</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0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Total lease costs</w:t>
            </w:r>
            <w:r>
              <w:rPr>
                <w:rFonts w:ascii="Times New Roman" w:cs="Times New Roman" w:eastAsia="Times New Roman" w:hAnsi="Times New Roman"/>
                <w:sz w:val="18"/>
                <w:szCs w:val="18"/>
                <w:color w:val="auto"/>
                <w:vertAlign w:val="superscript"/>
              </w:rPr>
              <w:t>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Included in Other general and administrative costs on the consolidated statements of operations.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represents the maturity of the Company’s operating lease liabilities as of December 31, 2024:</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Maturity of Lease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vMerge w:val="continue"/>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0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Less: Imputed interest</w:t>
            </w: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706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4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2023 and 2022, the Company matched 50% of the first 2% of employee contributions, resulting in $0.5 million, $0.4 million and $0.1 million in expense,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3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0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2023 Plan</w:t>
            </w:r>
            <w:r>
              <w:rPr>
                <w:rFonts w:ascii="Times New Roman" w:cs="Times New Roman" w:eastAsia="Times New Roman" w:hAnsi="Times New Roman"/>
                <w:sz w:val="18"/>
                <w:szCs w:val="18"/>
                <w:b w:val="1"/>
                <w:bCs w:val="1"/>
                <w:color w:val="auto"/>
                <w:vertAlign w:val="superscript"/>
              </w:rPr>
              <w:t>2</w:t>
            </w:r>
          </w:p>
        </w:tc>
        <w:tc>
          <w:tcPr>
            <w:tcW w:w="2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2015 Plan</w:t>
            </w:r>
          </w:p>
        </w:tc>
      </w:tr>
      <w:tr>
        <w:trPr>
          <w:trHeight w:val="171"/>
        </w:trPr>
        <w:tc>
          <w:tcPr>
            <w:tcW w:w="70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1</w:t>
            </w:r>
          </w:p>
        </w:tc>
        <w:tc>
          <w:tcPr>
            <w:tcW w:w="2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3.0 million</w:t>
            </w:r>
          </w:p>
        </w:tc>
        <w:tc>
          <w:tcPr>
            <w:tcW w:w="100" w:type="dxa"/>
            <w:vAlign w:val="bottom"/>
          </w:tcPr>
          <w:p>
            <w:pPr>
              <w:spacing w:after="0"/>
              <w:rPr>
                <w:sz w:val="14"/>
                <w:szCs w:val="14"/>
                <w:color w:val="auto"/>
              </w:rPr>
            </w:pPr>
          </w:p>
        </w:tc>
        <w:tc>
          <w:tcPr>
            <w:tcW w:w="2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2020 and prior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(82)</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80"/>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(497)</w:t>
            </w: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(579)</w:t>
            </w: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9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 stock options were granted under the 2015 or 2023 Stock Incentive Plans.</w:t>
      </w:r>
    </w:p>
    <w:p>
      <w:pPr>
        <w:ind w:left="80" w:hanging="75"/>
        <w:spacing w:after="0" w:line="205" w:lineRule="auto"/>
        <w:tabs>
          <w:tab w:leader="none" w:pos="80" w:val="left"/>
        </w:tabs>
        <w:numPr>
          <w:ilvl w:val="0"/>
          <w:numId w:val="9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2023 Stock Incentive Plan provides for an initial share reserve of up to 3.0 million shares of Common Stock.</w:t>
      </w:r>
    </w:p>
    <w:p>
      <w:pPr>
        <w:spacing w:after="0" w:line="17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Awards of restricted stock granted under the 2015 and 2023 Stock Incentive Plans generally vest over a one- to three-year periods from the grant date; awards of restricted stock granted under the 2023 Stock Incentive Plan to non-employee directors generally vest over a one-year period. The grant date fair value is expensed over the service period, starting on the grant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Company’s outstanding shares related to restricted stock awards as of December 31, 2024 and December 31, 2023 are outlined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8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related to grants of restricted stock awards</w:t>
            </w: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4"/>
                <w:szCs w:val="14"/>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345</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awards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$14.51</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$19.18</w:t>
            </w:r>
          </w:p>
        </w:tc>
      </w:tr>
      <w:tr>
        <w:trPr>
          <w:trHeight w:val="18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shares outstanding related to dividends on 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December 31, 2023, the Company’s total unrecognized compensation expense related to unvested shares of restricted stock granted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compensation expense on unvested awards</w:t>
            </w:r>
          </w:p>
        </w:tc>
        <w:tc>
          <w:tcPr>
            <w:tcW w:w="2540" w:type="dxa"/>
            <w:vAlign w:val="bottom"/>
          </w:tcPr>
          <w:p>
            <w:pPr>
              <w:spacing w:after="0"/>
              <w:rPr>
                <w:sz w:val="14"/>
                <w:szCs w:val="14"/>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$5,929</w:t>
            </w:r>
          </w:p>
        </w:tc>
        <w:tc>
          <w:tcPr>
            <w:tcW w:w="8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$3,610</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period of unrecognized compensation expense</w:t>
            </w:r>
          </w:p>
        </w:tc>
        <w:tc>
          <w:tcPr>
            <w:tcW w:w="25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7"/>
              </w:rPr>
              <w:t>1.0 year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 years</w:t>
            </w:r>
          </w:p>
        </w:tc>
      </w:tr>
      <w:tr>
        <w:trPr>
          <w:trHeight w:val="679"/>
        </w:trPr>
        <w:tc>
          <w:tcPr>
            <w:tcW w:w="4600" w:type="dxa"/>
            <w:vAlign w:val="bottom"/>
          </w:tcPr>
          <w:p>
            <w:pPr>
              <w:spacing w:after="0"/>
              <w:rPr>
                <w:sz w:val="24"/>
                <w:szCs w:val="24"/>
                <w:color w:val="auto"/>
              </w:rPr>
            </w:pPr>
          </w:p>
        </w:tc>
        <w:tc>
          <w:tcPr>
            <w:tcW w:w="46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F-64</w:t>
            </w:r>
          </w:p>
        </w:tc>
        <w:tc>
          <w:tcPr>
            <w:tcW w:w="2020" w:type="dxa"/>
            <w:vAlign w:val="bottom"/>
          </w:tcPr>
          <w:p>
            <w:pPr>
              <w:spacing w:after="0"/>
              <w:rPr>
                <w:sz w:val="24"/>
                <w:szCs w:val="24"/>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p>
      <w:pPr>
        <w:spacing w:after="0" w:line="2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ESPP activity from inception through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171"/>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Offering Period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Offering Period</w:t>
            </w:r>
          </w:p>
        </w:tc>
        <w:tc>
          <w:tcPr>
            <w:tcW w:w="400" w:type="dxa"/>
            <w:vAlign w:val="bottom"/>
          </w:tcPr>
          <w:p>
            <w:pPr>
              <w:spacing w:after="0"/>
              <w:rPr>
                <w:sz w:val="14"/>
                <w:szCs w:val="14"/>
                <w:color w:val="auto"/>
              </w:rPr>
            </w:pPr>
          </w:p>
        </w:tc>
        <w:tc>
          <w:tcPr>
            <w:tcW w:w="134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3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10/1/2024</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4/1/2024</w:t>
            </w:r>
          </w:p>
        </w:tc>
        <w:tc>
          <w:tcPr>
            <w:tcW w:w="3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date</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12/15/2024</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9/15/2024</w:t>
            </w: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purchased</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 price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10.21</w:t>
            </w:r>
          </w:p>
        </w:tc>
        <w:tc>
          <w:tcPr>
            <w:tcW w:w="3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 net of discount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3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200" w:lineRule="exact"/>
        <w:rPr>
          <w:sz w:val="20"/>
          <w:szCs w:val="20"/>
          <w:color w:val="auto"/>
        </w:rPr>
      </w:pPr>
    </w:p>
    <w:p>
      <w:pPr>
        <w:sectPr>
          <w:pgSz w:w="11900" w:h="16838" w:orient="portrait"/>
          <w:cols w:equalWidth="0" w:num="1">
            <w:col w:w="11280"/>
          </w:cols>
          <w:pgMar w:left="300" w:top="123" w:right="31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ESPP share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1212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shares authorized under the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 shares purchased during:</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 for future purchases, December 31, 2024</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200</w:t>
      </w:r>
    </w:p>
    <w:p>
      <w:pPr>
        <w:spacing w:after="0" w:line="2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(20)</w:t>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34925</wp:posOffset>
            </wp:positionV>
            <wp:extent cx="120586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420" w:space="720"/>
            <w:col w:w="1140"/>
          </w:cols>
          <w:pgMar w:left="300" w:top="123" w:right="319" w:bottom="1440" w:gutter="0" w:footer="0" w:header="0"/>
          <w:type w:val="continuous"/>
        </w:sectPr>
      </w:pPr>
    </w:p>
    <w:p>
      <w:pPr>
        <w:spacing w:after="0" w:line="8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Company’s total stock-based compensation expense included within Salaries and employee benefits expense in the Consolidated Statements of Income for the years ended December 31, 2024, 2023 and 2022 is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20" w:type="dxa"/>
            <w:vAlign w:val="bottom"/>
            <w:tcBorders>
              <w:bottom w:val="single" w:sz="8" w:color="auto"/>
            </w:tcBorders>
          </w:tcPr>
          <w:p>
            <w:pPr>
              <w:spacing w:after="0"/>
              <w:rPr>
                <w:sz w:val="16"/>
                <w:szCs w:val="16"/>
                <w:color w:val="auto"/>
              </w:rPr>
            </w:pPr>
          </w:p>
        </w:tc>
      </w:tr>
      <w:tr>
        <w:trPr>
          <w:trHeight w:val="171"/>
        </w:trPr>
        <w:tc>
          <w:tcPr>
            <w:tcW w:w="7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420" w:type="dxa"/>
            <w:vAlign w:val="bottom"/>
            <w:gridSpan w:val="3"/>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w w:val="99"/>
              </w:rPr>
              <w:t>—</w:t>
            </w:r>
          </w:p>
        </w:tc>
      </w:tr>
      <w:tr>
        <w:trPr>
          <w:trHeight w:val="171"/>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88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21—INCOME TAXES: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Beginning with 2023, the Company no longer qualifies as a RIC and instead will file a consolidated U.S. federal income tax return. Financial holding companies are subject to federal and state income taxes in essentially the same manner as other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of the Company’s wholly owned subsidiaries is undergoing a federal income tax audit for the fiscal year ended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Tax Rate and Net Operating Losses</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effective tax rate was 25.97% for the year ended December 31, 2024. The effective tax rate differs from the federal tax rate of 21% for the year ended December 31, 2024, due primarily to the addition of estimated state tax.</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income tax expense for the years ended December 31, 2024 and 2023, were as follows:</w:t>
            </w: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1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20" w:type="dxa"/>
            <w:vAlign w:val="bottom"/>
            <w:vMerge w:val="restart"/>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1"/>
        </w:trPr>
        <w:tc>
          <w:tcPr>
            <w:tcW w:w="7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income tax expense/(benefit):</w:t>
            </w:r>
          </w:p>
        </w:tc>
        <w:tc>
          <w:tcPr>
            <w:tcW w:w="1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22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80" w:type="dxa"/>
            <w:vAlign w:val="bottom"/>
          </w:tcPr>
          <w:p>
            <w:pPr>
              <w:spacing w:after="0"/>
              <w:rPr>
                <w:sz w:val="15"/>
                <w:szCs w:val="15"/>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171"/>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current expense/(benefit)</w:t>
            </w: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expense/(benefit):</w:t>
            </w:r>
          </w:p>
        </w:tc>
        <w:tc>
          <w:tcPr>
            <w:tcW w:w="1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deferred expense/(benefit)</w:t>
            </w:r>
          </w:p>
        </w:tc>
        <w:tc>
          <w:tcPr>
            <w:tcW w:w="1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income tax expense/(benefit)</w:t>
            </w: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and 2023, income taxes for financial reporting purposes differ from the amount computed by applying the statutory federal income tax rate of 21% as shown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7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60" w:type="dxa"/>
            <w:vAlign w:val="bottom"/>
            <w:vMerge w:val="restart"/>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on income computed at statutory federal income tax rate</w:t>
            </w:r>
          </w:p>
        </w:tc>
        <w:tc>
          <w:tcPr>
            <w:tcW w:w="25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14,425</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9,528</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taxes resulting from:</w:t>
            </w: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income tax, net of federal tax effect</w:t>
            </w:r>
          </w:p>
        </w:tc>
        <w:tc>
          <w:tcPr>
            <w:tcW w:w="2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3,538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911</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Non-deductible expenses</w:t>
            </w: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Realization of net operating loss carryforwards</w:t>
            </w:r>
          </w:p>
        </w:tc>
        <w:tc>
          <w:tcPr>
            <w:tcW w:w="2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(7,430)</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DTA realization due to change in taxpayer status</w:t>
            </w: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(5,550)</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25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252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17,839</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25.97 %</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859"/>
        </w:trPr>
        <w:tc>
          <w:tcPr>
            <w:tcW w:w="4480" w:type="dxa"/>
            <w:vAlign w:val="bottom"/>
          </w:tcPr>
          <w:p>
            <w:pPr>
              <w:spacing w:after="0"/>
              <w:rPr>
                <w:sz w:val="24"/>
                <w:szCs w:val="24"/>
                <w:color w:val="auto"/>
              </w:rPr>
            </w:pPr>
          </w:p>
        </w:tc>
        <w:tc>
          <w:tcPr>
            <w:tcW w:w="3780" w:type="dxa"/>
            <w:vAlign w:val="bottom"/>
            <w:gridSpan w:val="2"/>
          </w:tcPr>
          <w:p>
            <w:pPr>
              <w:jc w:val="right"/>
              <w:ind w:right="2409"/>
              <w:spacing w:after="0"/>
              <w:rPr>
                <w:sz w:val="20"/>
                <w:szCs w:val="20"/>
                <w:color w:val="auto"/>
              </w:rPr>
            </w:pPr>
            <w:r>
              <w:rPr>
                <w:rFonts w:ascii="Times New Roman" w:cs="Times New Roman" w:eastAsia="Times New Roman" w:hAnsi="Times New Roman"/>
                <w:sz w:val="14"/>
                <w:szCs w:val="14"/>
                <w:color w:val="auto"/>
              </w:rPr>
              <w:t>F-66</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8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61"/>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616"/>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Significant components of the Company’s net deferred tax asset at December 31, 2024 and 2023 are listed below:</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3"/>
        </w:trPr>
        <w:tc>
          <w:tcPr>
            <w:tcW w:w="10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7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7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7,914</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Accounting, net</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Stock Compensation</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w:t>
            </w: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 and state net operating losses, net of federal tax effect</w:t>
            </w: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r>
      <w:tr>
        <w:trPr>
          <w:trHeight w:val="171"/>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12,646</w:t>
            </w:r>
          </w:p>
        </w:tc>
      </w:tr>
      <w:tr>
        <w:trPr>
          <w:trHeight w:val="18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Rights</w:t>
            </w: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and Intangible Assets</w:t>
            </w:r>
          </w:p>
        </w:tc>
        <w:tc>
          <w:tcPr>
            <w:tcW w:w="26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w:t>
            </w:r>
          </w:p>
        </w:tc>
      </w:tr>
      <w:tr>
        <w:trPr>
          <w:trHeight w:val="180"/>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71"/>
        </w:trPr>
        <w:tc>
          <w:tcPr>
            <w:tcW w:w="71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w:t>
            </w:r>
          </w:p>
        </w:tc>
      </w:tr>
      <w:tr>
        <w:trPr>
          <w:trHeight w:val="196"/>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 (liability)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At December 31, 2024, the Company has $4.1 million of state net operating loss carryforwards. Of the $4.1 million, $4.0 million is expected to expire at various dates through 2043 with the remainder of the net operating losses having indefinite lives. If substantial changes in the Company’s ownership occur, there would be an annual limitation on the amount of carryforward(s) that can be utilized.</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continually evaluates expiring statutes of limitations, audits, proposed settlements, changes in tax law and new authoritative rulings. The Company files tax returns in federal and certain state and local jurisdictions. The periods subject to examination are generally for tax years ended in 2020 and beyond, including the following major jurisdictions: U.S. Federal, New York, and Florida. However, the Company’s net operating losses continue to be subject to review by tax authorities in the period utilized notwithstanding origination in closed periods.</w:t>
      </w:r>
    </w:p>
    <w:p>
      <w:pPr>
        <w:spacing w:after="0" w:line="14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no uncertain tax positions. The Company has elected to recognize interest and penalties related to income tax matters as a component of income tax expense, of which no interest or penalties were recorded for the years ended December 31, 2024 and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22—SEGMENTS:</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the Corporate &amp; Other segment.</w:t>
      </w:r>
    </w:p>
    <w:p>
      <w:pPr>
        <w:spacing w:after="0" w:line="15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3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The Company operates five reportable segments for management reporting purposes with their operating and financials results reviewed by the chief operating decision maker (“CODM”), which is the Chief Executive Officer of the Company. The CODM assesses overall segment performance based on pre-tax income and uses this metric to allocate resources for each segment, focusing on budgeting and forecasting. The Company has five segments, as discussed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19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Alternative Lending includes NALH and its subsidiaries as well as NH6. The Company has originated loans under its alternative lending program since 2019. Prior to July 1, 2024, the Company originated ALP loans with the intent to sell to a JV. While the Company continues to source JV partners to participate in this program, the Company could also originate ALP loans designated as HFI. The Company does not expect any significant changes to the underwriting or terms of loans in its ALP.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19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4"/>
          <w:szCs w:val="14"/>
          <w:color w:val="auto"/>
        </w:rPr>
        <w:t>NSBF relates to NSBF’s legacy portfolio of SBA 7(a) loans held outside Newtek Bank; no new loan origination activity takes place. A material portion of NSBF’s legacy portfolio of SBA 7(a) loans reside in securitization trusts.</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includes NMS, POS and Mobil Money. NMS markets credit and debit card processing services, check approval services, processing equipment, and software and:</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spacing w:after="0" w:line="7" w:lineRule="exact"/>
        <w:rPr>
          <w:sz w:val="20"/>
          <w:szCs w:val="20"/>
          <w:color w:val="auto"/>
        </w:rPr>
      </w:pPr>
    </w:p>
    <w:p>
      <w:pPr>
        <w:ind w:left="520" w:right="120" w:hanging="255"/>
        <w:spacing w:after="0" w:line="243"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NTS provides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in connection with the Acquisition, the Company has divested of NTS on January 2, 2025. As a result of the Company’s entry into the NTS Sale Agreement and the Company’s completion of the NTS Sale, the Company has reported NTS as Held for Sale as of December 31, 2024 and will not be reported as a segment in future filings given the sale of NTS. See NOTE 9—ASSETS AND LIABILITIES DIRECTLY ASSOCIATED WITH ASSETS HELD FOR SALE. See NOTE 25—SUBSEQUENT EVENTS: Sale of 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financial information for the Company's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Banking</w:t>
            </w:r>
          </w:p>
        </w:tc>
        <w:tc>
          <w:tcPr>
            <w:tcW w:w="8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shd w:val="clear" w:color="auto" w:fill="CCEEFF"/>
          </w:tcPr>
          <w:p>
            <w:pPr>
              <w:spacing w:after="0"/>
              <w:rPr>
                <w:sz w:val="15"/>
                <w:szCs w:val="15"/>
                <w:color w:val="auto"/>
              </w:rPr>
            </w:pPr>
          </w:p>
        </w:tc>
        <w:tc>
          <w:tcPr>
            <w:tcW w:w="13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Technology</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14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121,418</w:t>
            </w:r>
          </w:p>
        </w:tc>
        <w:tc>
          <w:tcPr>
            <w:tcW w:w="0" w:type="dxa"/>
            <w:vAlign w:val="bottom"/>
          </w:tcPr>
          <w:p>
            <w:pPr>
              <w:spacing w:after="0"/>
              <w:rPr>
                <w:sz w:val="1"/>
                <w:szCs w:val="1"/>
                <w:color w:val="auto"/>
              </w:rPr>
            </w:pPr>
          </w:p>
        </w:tc>
      </w:tr>
      <w:tr>
        <w:trPr>
          <w:trHeight w:val="180"/>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29,855</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21,097</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28,256</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81,113</w:t>
            </w:r>
          </w:p>
        </w:tc>
        <w:tc>
          <w:tcPr>
            <w:tcW w:w="0" w:type="dxa"/>
            <w:vAlign w:val="bottom"/>
          </w:tcPr>
          <w:p>
            <w:pPr>
              <w:spacing w:after="0"/>
              <w:rPr>
                <w:sz w:val="1"/>
                <w:szCs w:val="1"/>
                <w:color w:val="auto"/>
              </w:rPr>
            </w:pPr>
          </w:p>
        </w:tc>
      </w:tr>
      <w:tr>
        <w:trPr>
          <w:trHeight w:val="124"/>
        </w:trPr>
        <w:tc>
          <w:tcPr>
            <w:tcW w:w="148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4"/>
                <w:szCs w:val="14"/>
                <w:color w:val="auto"/>
              </w:rPr>
              <w:t>Net interest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income/(loss)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39,721</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Provision for loan credit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26,216</w:t>
            </w:r>
          </w:p>
        </w:tc>
        <w:tc>
          <w:tcPr>
            <w:tcW w:w="0" w:type="dxa"/>
            <w:vAlign w:val="bottom"/>
          </w:tcPr>
          <w:p>
            <w:pPr>
              <w:spacing w:after="0"/>
              <w:rPr>
                <w:sz w:val="1"/>
                <w:szCs w:val="1"/>
                <w:color w:val="auto"/>
              </w:rPr>
            </w:pPr>
          </w:p>
        </w:tc>
      </w:tr>
      <w:tr>
        <w:trPr>
          <w:trHeight w:val="125"/>
        </w:trPr>
        <w:tc>
          <w:tcPr>
            <w:tcW w:w="148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Net interest income after</w:t>
            </w: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provision for loan credit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2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14,089</w:t>
            </w: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136,080</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55,824</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48,852</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65,242</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217,312</w:t>
            </w:r>
          </w:p>
        </w:tc>
        <w:tc>
          <w:tcPr>
            <w:tcW w:w="0" w:type="dxa"/>
            <w:vAlign w:val="bottom"/>
          </w:tcPr>
          <w:p>
            <w:pPr>
              <w:spacing w:after="0"/>
              <w:rPr>
                <w:sz w:val="1"/>
                <w:szCs w:val="1"/>
                <w:color w:val="auto"/>
              </w:rPr>
            </w:pPr>
          </w:p>
        </w:tc>
      </w:tr>
      <w:tr>
        <w:trPr>
          <w:trHeight w:val="144"/>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Technology services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12,575</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Electronic payment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expense</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19,878</w:t>
            </w: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Salaries and employee</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15,285</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77,931</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Professional services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4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loan origination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maintenance expense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20,385</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(11,020)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13,770</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Depreciation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4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general and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costs</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12,426</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2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67,305</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68,692</w:t>
            </w:r>
          </w:p>
        </w:tc>
        <w:tc>
          <w:tcPr>
            <w:tcW w:w="0" w:type="dxa"/>
            <w:vAlign w:val="bottom"/>
          </w:tcPr>
          <w:p>
            <w:pPr>
              <w:spacing w:after="0"/>
              <w:rPr>
                <w:sz w:val="1"/>
                <w:szCs w:val="1"/>
                <w:color w:val="auto"/>
              </w:rPr>
            </w:pPr>
          </w:p>
        </w:tc>
      </w:tr>
      <w:tr>
        <w:trPr>
          <w:trHeight w:val="144"/>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15,411</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(72,735)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Segment Disclosures: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1,238,899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479,896</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(55,488)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644,867</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(605,643)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2,059,912</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Goodwill &amp; intangible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Amortization of</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870"/>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F-69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8"/>
        </w:trPr>
        <w:tc>
          <w:tcPr>
            <w:tcW w:w="29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2023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Banking</w:t>
            </w:r>
          </w:p>
        </w:tc>
        <w:tc>
          <w:tcPr>
            <w:tcW w:w="8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shd w:val="clear" w:color="auto" w:fill="CCEEFF"/>
          </w:tcPr>
          <w:p>
            <w:pPr>
              <w:spacing w:after="0"/>
              <w:rPr>
                <w:sz w:val="15"/>
                <w:szCs w:val="15"/>
                <w:color w:val="auto"/>
              </w:rPr>
            </w:pPr>
          </w:p>
        </w:tc>
        <w:tc>
          <w:tcPr>
            <w:tcW w:w="13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Technology</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shd w:val="clear" w:color="auto" w:fill="CCEEFF"/>
          </w:tcPr>
          <w:p>
            <w:pPr>
              <w:spacing w:after="0"/>
              <w:rPr>
                <w:sz w:val="15"/>
                <w:szCs w:val="15"/>
                <w:color w:val="auto"/>
              </w:rPr>
            </w:pPr>
          </w:p>
        </w:tc>
        <w:tc>
          <w:tcPr>
            <w:tcW w:w="14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Consolidated</w:t>
            </w:r>
          </w:p>
        </w:tc>
        <w:tc>
          <w:tcPr>
            <w:tcW w:w="40" w:type="dxa"/>
            <w:vAlign w:val="bottom"/>
          </w:tcPr>
          <w:p>
            <w:pPr>
              <w:spacing w:after="0"/>
              <w:rPr>
                <w:sz w:val="15"/>
                <w:szCs w:val="15"/>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Segment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50,823</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94,373</w:t>
            </w:r>
          </w:p>
        </w:tc>
        <w:tc>
          <w:tcPr>
            <w:tcW w:w="40" w:type="dxa"/>
            <w:vAlign w:val="bottom"/>
          </w:tcPr>
          <w:p>
            <w:pPr>
              <w:spacing w:after="0"/>
              <w:rPr>
                <w:sz w:val="14"/>
                <w:szCs w:val="14"/>
                <w:color w:val="auto"/>
              </w:rPr>
            </w:pPr>
          </w:p>
        </w:tc>
      </w:tr>
      <w:tr>
        <w:trPr>
          <w:trHeight w:val="18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16,625</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26,796</w:t>
            </w:r>
          </w:p>
        </w:tc>
        <w:tc>
          <w:tcPr>
            <w:tcW w:w="2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20,971</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67,739</w:t>
            </w:r>
          </w:p>
        </w:tc>
        <w:tc>
          <w:tcPr>
            <w:tcW w:w="40" w:type="dxa"/>
            <w:vAlign w:val="bottom"/>
          </w:tcPr>
          <w:p>
            <w:pPr>
              <w:spacing w:after="0"/>
              <w:rPr>
                <w:sz w:val="15"/>
                <w:szCs w:val="15"/>
                <w:color w:val="auto"/>
              </w:rPr>
            </w:pPr>
          </w:p>
        </w:tc>
      </w:tr>
      <w:tr>
        <w:trPr>
          <w:trHeight w:val="118"/>
        </w:trPr>
        <w:tc>
          <w:tcPr>
            <w:tcW w:w="1500" w:type="dxa"/>
            <w:vAlign w:val="bottom"/>
            <w:tcBorders>
              <w:top w:val="single" w:sz="8" w:color="CCEEFF"/>
            </w:tcBorders>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Net interest</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91"/>
        </w:trPr>
        <w:tc>
          <w:tcPr>
            <w:tcW w:w="1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income/(loss)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17,724</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8"/>
              </w:rPr>
              <w:t>(246)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26,634</w:t>
            </w:r>
          </w:p>
        </w:tc>
        <w:tc>
          <w:tcPr>
            <w:tcW w:w="40" w:type="dxa"/>
            <w:vAlign w:val="bottom"/>
          </w:tcPr>
          <w:p>
            <w:pPr>
              <w:spacing w:after="0"/>
              <w:rPr>
                <w:sz w:val="16"/>
                <w:szCs w:val="16"/>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Provision for loan credit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40" w:type="dxa"/>
            <w:vAlign w:val="bottom"/>
          </w:tcPr>
          <w:p>
            <w:pPr>
              <w:spacing w:after="0"/>
              <w:rPr>
                <w:sz w:val="16"/>
                <w:szCs w:val="16"/>
                <w:color w:val="auto"/>
              </w:rPr>
            </w:pPr>
          </w:p>
        </w:tc>
      </w:tr>
      <w:tr>
        <w:trPr>
          <w:trHeight w:val="118"/>
        </w:trPr>
        <w:tc>
          <w:tcPr>
            <w:tcW w:w="1500" w:type="dxa"/>
            <w:vAlign w:val="bottom"/>
            <w:tcBorders>
              <w:top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15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provision for loan credit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w w:val="98"/>
              </w:rPr>
              <w:t>(246)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24,027</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14,930</w:t>
            </w:r>
          </w:p>
        </w:tc>
        <w:tc>
          <w:tcPr>
            <w:tcW w:w="40" w:type="dxa"/>
            <w:vAlign w:val="bottom"/>
          </w:tcPr>
          <w:p>
            <w:pPr>
              <w:spacing w:after="0"/>
              <w:rPr>
                <w:sz w:val="16"/>
                <w:szCs w:val="16"/>
                <w:color w:val="auto"/>
              </w:rPr>
            </w:pPr>
          </w:p>
        </w:tc>
      </w:tr>
      <w:tr>
        <w:trPr>
          <w:trHeight w:val="18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92,129</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w:t>
            </w: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31,692</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25,142</w:t>
            </w:r>
          </w:p>
        </w:tc>
        <w:tc>
          <w:tcPr>
            <w:tcW w:w="2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46,422</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79,781</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176,772</w:t>
            </w:r>
          </w:p>
        </w:tc>
        <w:tc>
          <w:tcPr>
            <w:tcW w:w="40" w:type="dxa"/>
            <w:vAlign w:val="bottom"/>
          </w:tcPr>
          <w:p>
            <w:pPr>
              <w:spacing w:after="0"/>
              <w:rPr>
                <w:sz w:val="15"/>
                <w:szCs w:val="15"/>
                <w:color w:val="auto"/>
              </w:rPr>
            </w:pPr>
          </w:p>
        </w:tc>
      </w:tr>
      <w:tr>
        <w:trPr>
          <w:trHeight w:val="138"/>
        </w:trPr>
        <w:tc>
          <w:tcPr>
            <w:tcW w:w="15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Technology services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14,272</w:t>
            </w:r>
          </w:p>
        </w:tc>
        <w:tc>
          <w:tcPr>
            <w:tcW w:w="40" w:type="dxa"/>
            <w:vAlign w:val="bottom"/>
          </w:tcPr>
          <w:p>
            <w:pPr>
              <w:spacing w:after="0"/>
              <w:rPr>
                <w:sz w:val="16"/>
                <w:szCs w:val="16"/>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Electronic payment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processing expense</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18,327</w:t>
            </w:r>
          </w:p>
        </w:tc>
        <w:tc>
          <w:tcPr>
            <w:tcW w:w="40" w:type="dxa"/>
            <w:vAlign w:val="bottom"/>
          </w:tcPr>
          <w:p>
            <w:pPr>
              <w:spacing w:after="0"/>
              <w:rPr>
                <w:sz w:val="16"/>
                <w:szCs w:val="16"/>
                <w:color w:val="auto"/>
              </w:rPr>
            </w:pPr>
          </w:p>
        </w:tc>
      </w:tr>
      <w:tr>
        <w:trPr>
          <w:trHeight w:val="138"/>
        </w:trPr>
        <w:tc>
          <w:tcPr>
            <w:tcW w:w="15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Salaries and employee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35,385</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65,708</w:t>
            </w:r>
          </w:p>
        </w:tc>
        <w:tc>
          <w:tcPr>
            <w:tcW w:w="40" w:type="dxa"/>
            <w:vAlign w:val="bottom"/>
          </w:tcPr>
          <w:p>
            <w:pPr>
              <w:spacing w:after="0"/>
              <w:rPr>
                <w:sz w:val="16"/>
                <w:szCs w:val="16"/>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Professional services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7,244</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40" w:type="dxa"/>
            <w:vAlign w:val="bottom"/>
          </w:tcPr>
          <w:p>
            <w:pPr>
              <w:spacing w:after="0"/>
              <w:rPr>
                <w:sz w:val="16"/>
                <w:szCs w:val="16"/>
                <w:color w:val="auto"/>
              </w:rPr>
            </w:pPr>
          </w:p>
        </w:tc>
      </w:tr>
      <w:tr>
        <w:trPr>
          <w:trHeight w:val="138"/>
        </w:trPr>
        <w:tc>
          <w:tcPr>
            <w:tcW w:w="15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maintenance expense</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40" w:type="dxa"/>
            <w:vAlign w:val="bottom"/>
          </w:tcPr>
          <w:p>
            <w:pPr>
              <w:spacing w:after="0"/>
              <w:rPr>
                <w:sz w:val="16"/>
                <w:szCs w:val="16"/>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Loss on extinguishment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 debt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40" w:type="dxa"/>
            <w:vAlign w:val="bottom"/>
          </w:tcPr>
          <w:p>
            <w:pPr>
              <w:spacing w:after="0"/>
              <w:rPr>
                <w:sz w:val="16"/>
                <w:szCs w:val="16"/>
                <w:color w:val="auto"/>
              </w:rPr>
            </w:pPr>
          </w:p>
        </w:tc>
      </w:tr>
      <w:tr>
        <w:trPr>
          <w:trHeight w:val="138"/>
        </w:trPr>
        <w:tc>
          <w:tcPr>
            <w:tcW w:w="15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Depreciation and</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40" w:type="dxa"/>
            <w:vAlign w:val="bottom"/>
          </w:tcPr>
          <w:p>
            <w:pPr>
              <w:spacing w:after="0"/>
              <w:rPr>
                <w:sz w:val="16"/>
                <w:szCs w:val="16"/>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general and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administrative costs</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22,357</w:t>
            </w:r>
          </w:p>
        </w:tc>
        <w:tc>
          <w:tcPr>
            <w:tcW w:w="40" w:type="dxa"/>
            <w:vAlign w:val="bottom"/>
          </w:tcPr>
          <w:p>
            <w:pPr>
              <w:spacing w:after="0"/>
              <w:rPr>
                <w:sz w:val="16"/>
                <w:szCs w:val="16"/>
                <w:color w:val="auto"/>
              </w:rPr>
            </w:pPr>
          </w:p>
        </w:tc>
      </w:tr>
      <w:tr>
        <w:trPr>
          <w:trHeight w:val="171"/>
        </w:trPr>
        <w:tc>
          <w:tcPr>
            <w:tcW w:w="1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39,774</w:t>
            </w: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13,808</w:t>
            </w: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2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13,332</w:t>
            </w: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35,605</w:t>
            </w: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(71,518)</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w:t>
            </w:r>
          </w:p>
        </w:tc>
        <w:tc>
          <w:tcPr>
            <w:tcW w:w="40" w:type="dxa"/>
            <w:vAlign w:val="bottom"/>
          </w:tcPr>
          <w:p>
            <w:pPr>
              <w:spacing w:after="0"/>
              <w:rPr>
                <w:sz w:val="14"/>
                <w:szCs w:val="14"/>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11,647</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(14,860)</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40" w:type="dxa"/>
            <w:vAlign w:val="bottom"/>
          </w:tcPr>
          <w:p>
            <w:pPr>
              <w:spacing w:after="0"/>
              <w:rPr>
                <w:sz w:val="16"/>
                <w:szCs w:val="16"/>
                <w:color w:val="auto"/>
              </w:rPr>
            </w:pPr>
          </w:p>
        </w:tc>
      </w:tr>
      <w:tr>
        <w:trPr>
          <w:trHeight w:val="196"/>
        </w:trPr>
        <w:tc>
          <w:tcPr>
            <w:tcW w:w="1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40" w:type="dxa"/>
            <w:vAlign w:val="bottom"/>
          </w:tcPr>
          <w:p>
            <w:pPr>
              <w:spacing w:after="0"/>
              <w:rPr>
                <w:sz w:val="16"/>
                <w:szCs w:val="16"/>
                <w:color w:val="auto"/>
              </w:rPr>
            </w:pPr>
          </w:p>
        </w:tc>
      </w:tr>
      <w:tr>
        <w:trPr>
          <w:trHeight w:val="20"/>
        </w:trPr>
        <w:tc>
          <w:tcPr>
            <w:tcW w:w="216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2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Disclosures:</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683,202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(29,136)</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196,062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633,206</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(97,683)</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(27,154)</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529,941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(481,443)</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40" w:type="dxa"/>
            <w:vAlign w:val="bottom"/>
          </w:tcPr>
          <w:p>
            <w:pPr>
              <w:spacing w:after="0"/>
              <w:rPr>
                <w:sz w:val="15"/>
                <w:szCs w:val="15"/>
                <w:color w:val="auto"/>
              </w:rPr>
            </w:pPr>
          </w:p>
        </w:tc>
      </w:tr>
      <w:tr>
        <w:trPr>
          <w:trHeight w:val="138"/>
        </w:trPr>
        <w:tc>
          <w:tcPr>
            <w:tcW w:w="15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Goodwill &amp; intangible</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40" w:type="dxa"/>
            <w:vAlign w:val="bottom"/>
          </w:tcPr>
          <w:p>
            <w:pPr>
              <w:spacing w:after="0"/>
              <w:rPr>
                <w:sz w:val="16"/>
                <w:szCs w:val="16"/>
                <w:color w:val="auto"/>
              </w:rPr>
            </w:pPr>
          </w:p>
        </w:tc>
      </w:tr>
      <w:tr>
        <w:trPr>
          <w:trHeight w:val="138"/>
        </w:trPr>
        <w:tc>
          <w:tcPr>
            <w:tcW w:w="15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40" w:type="dxa"/>
            <w:vAlign w:val="bottom"/>
          </w:tcPr>
          <w:p>
            <w:pPr>
              <w:spacing w:after="0"/>
              <w:rPr>
                <w:sz w:val="16"/>
                <w:szCs w:val="16"/>
                <w:color w:val="auto"/>
              </w:rPr>
            </w:pPr>
          </w:p>
        </w:tc>
      </w:tr>
      <w:tr>
        <w:trPr>
          <w:trHeight w:val="870"/>
        </w:trPr>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F-70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0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23—SUPPLEMENTAL FINANCIAL DATA:</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2022 when we operated as a BDC, in accordance with the SEC’s Regulation S-X and GAAP, we were not permitted to consolidate any subsidiary or other entity that is not an investment company, including those in which we have a controlling interest.</w:t>
      </w:r>
    </w:p>
    <w:p>
      <w:pPr>
        <w:spacing w:after="0" w:line="14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4"/>
          <w:szCs w:val="14"/>
          <w:color w:val="auto"/>
        </w:rPr>
        <w:t>We had two unconsolidated subsidiaries that met at least one of the significance conditions under Rule 1-02(w) of Regulation S-X during certain periods presented for which we were previously required, pursuant to Rule 3-09 of Regulation S-X, to attach separate financial statements as exhibits to the Form 10-K for the year ended December 31, 2022. Refer to our 2022 Form 10-K filed March 15, 2023 and exhibits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24—NEWTEKONE, INC. - PARENT COMPANY ONLY:</w:t>
      </w:r>
    </w:p>
    <w:p>
      <w:pPr>
        <w:spacing w:after="0" w:line="19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The following statement of financial condition, statement of income and statement of cash flows are for NewtekOne, Inc. and should be read in conjunction with the consolidated financial statements and the notes thereto.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9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 financing receivable</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and receivables due from subsidiaries and associated companies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699,059</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392,519</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fixed assets (including capitalized leases)</w:t>
            </w:r>
          </w:p>
        </w:tc>
        <w:tc>
          <w:tcPr>
            <w:tcW w:w="14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20,159</w:t>
            </w:r>
          </w:p>
        </w:tc>
        <w:tc>
          <w:tcPr>
            <w:tcW w:w="0" w:type="dxa"/>
            <w:vAlign w:val="bottom"/>
          </w:tcPr>
          <w:p>
            <w:pPr>
              <w:spacing w:after="0"/>
              <w:rPr>
                <w:sz w:val="1"/>
                <w:szCs w:val="1"/>
                <w:color w:val="auto"/>
              </w:rPr>
            </w:pPr>
          </w:p>
        </w:tc>
      </w:tr>
      <w:tr>
        <w:trPr>
          <w:trHeight w:val="171"/>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733,514</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431,399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9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with a remaining maturity of one year or less: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79,856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borrowed money with a remaining maturity of more than one year</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325,418</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253,888</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13,163</w:t>
            </w:r>
          </w:p>
        </w:tc>
        <w:tc>
          <w:tcPr>
            <w:tcW w:w="0" w:type="dxa"/>
            <w:vAlign w:val="bottom"/>
          </w:tcPr>
          <w:p>
            <w:pPr>
              <w:spacing w:after="0"/>
              <w:rPr>
                <w:sz w:val="1"/>
                <w:szCs w:val="1"/>
                <w:color w:val="auto"/>
              </w:rPr>
            </w:pPr>
          </w:p>
        </w:tc>
      </w:tr>
      <w:tr>
        <w:trPr>
          <w:trHeight w:val="18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Balances due to subsidiaries and related institutions</w:t>
            </w: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46,332</w:t>
            </w: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437,233</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351,507</w:t>
            </w:r>
          </w:p>
        </w:tc>
        <w:tc>
          <w:tcPr>
            <w:tcW w:w="0" w:type="dxa"/>
            <w:vAlign w:val="bottom"/>
          </w:tcPr>
          <w:p>
            <w:pPr>
              <w:spacing w:after="0"/>
              <w:rPr>
                <w:sz w:val="1"/>
                <w:szCs w:val="1"/>
                <w:color w:val="auto"/>
              </w:rPr>
            </w:pPr>
          </w:p>
        </w:tc>
      </w:tr>
      <w:tr>
        <w:trPr>
          <w:trHeight w:val="182"/>
        </w:trPr>
        <w:tc>
          <w:tcPr>
            <w:tcW w:w="6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314,187</w:t>
            </w:r>
          </w:p>
        </w:tc>
        <w:tc>
          <w:tcPr>
            <w:tcW w:w="0" w:type="dxa"/>
            <w:vAlign w:val="bottom"/>
          </w:tcPr>
          <w:p>
            <w:pPr>
              <w:spacing w:after="0"/>
              <w:rPr>
                <w:sz w:val="1"/>
                <w:szCs w:val="1"/>
                <w:color w:val="auto"/>
              </w:rPr>
            </w:pPr>
          </w:p>
        </w:tc>
      </w:tr>
      <w:tr>
        <w:trPr>
          <w:trHeight w:val="18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(254,130)</w:t>
            </w:r>
          </w:p>
        </w:tc>
        <w:tc>
          <w:tcPr>
            <w:tcW w:w="0" w:type="dxa"/>
            <w:vAlign w:val="bottom"/>
          </w:tcPr>
          <w:p>
            <w:pPr>
              <w:spacing w:after="0"/>
              <w:rPr>
                <w:sz w:val="1"/>
                <w:szCs w:val="1"/>
                <w:color w:val="auto"/>
              </w:rPr>
            </w:pPr>
          </w:p>
        </w:tc>
      </w:tr>
      <w:tr>
        <w:trPr>
          <w:trHeight w:val="171"/>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296,281</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79,892</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733,514</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431,399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800" w:type="dxa"/>
            <w:vAlign w:val="bottom"/>
            <w:gridSpan w:val="2"/>
          </w:tcPr>
          <w:p>
            <w:pPr>
              <w:jc w:val="right"/>
              <w:ind w:right="2069"/>
              <w:spacing w:after="0"/>
              <w:rPr>
                <w:sz w:val="20"/>
                <w:szCs w:val="20"/>
                <w:color w:val="auto"/>
              </w:rPr>
            </w:pPr>
            <w:r>
              <w:rPr>
                <w:rFonts w:ascii="Times New Roman" w:cs="Times New Roman" w:eastAsia="Times New Roman" w:hAnsi="Times New Roman"/>
                <w:sz w:val="14"/>
                <w:szCs w:val="14"/>
                <w:b w:val="1"/>
                <w:bCs w:val="1"/>
                <w:color w:val="auto"/>
              </w:rPr>
              <w:t>Statement of Income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2"/>
        </w:trPr>
        <w:tc>
          <w:tcPr>
            <w:tcW w:w="46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58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7"/>
                <w:szCs w:val="17"/>
                <w:color w:val="auto"/>
              </w:rPr>
            </w:pPr>
          </w:p>
        </w:tc>
      </w:tr>
      <w:tr>
        <w:trPr>
          <w:trHeight w:val="171"/>
        </w:trPr>
        <w:tc>
          <w:tcPr>
            <w:tcW w:w="460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26,647</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18,797</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loss</w:t>
            </w:r>
          </w:p>
        </w:tc>
        <w:tc>
          <w:tcPr>
            <w:tcW w:w="2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(24,796)</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(16,478)</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2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42,107</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60,317</w:t>
            </w: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 other operating income (loss)</w:t>
            </w:r>
          </w:p>
        </w:tc>
        <w:tc>
          <w:tcPr>
            <w:tcW w:w="2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45,077</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57,972</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9,365</w:t>
            </w: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10,962</w:t>
            </w: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24,103</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20,327</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before equity in undistributed income of subsidiaries</w:t>
            </w:r>
          </w:p>
        </w:tc>
        <w:tc>
          <w:tcPr>
            <w:tcW w:w="2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21,167</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undistributed income of subsidiaries</w:t>
            </w:r>
          </w:p>
        </w:tc>
        <w:tc>
          <w:tcPr>
            <w:tcW w:w="2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36,004</w:t>
            </w:r>
          </w:p>
        </w:tc>
      </w:tr>
      <w:tr>
        <w:trPr>
          <w:trHeight w:val="18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undistributed income of subsidiaries and associated companies:</w:t>
            </w:r>
          </w:p>
        </w:tc>
        <w:tc>
          <w:tcPr>
            <w:tcW w:w="240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57,103</w:t>
            </w:r>
          </w:p>
        </w:tc>
        <w:tc>
          <w:tcPr>
            <w:tcW w:w="8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26,813</w:t>
            </w:r>
          </w:p>
        </w:tc>
      </w:tr>
      <w:tr>
        <w:trPr>
          <w:trHeight w:val="17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0" w:type="dxa"/>
            <w:vAlign w:val="bottom"/>
          </w:tcPr>
          <w:p>
            <w:pPr>
              <w:spacing w:after="0"/>
              <w:rPr>
                <w:sz w:val="14"/>
                <w:szCs w:val="14"/>
                <w:color w:val="auto"/>
              </w:rPr>
            </w:pPr>
          </w:p>
        </w:tc>
        <w:tc>
          <w:tcPr>
            <w:tcW w:w="1400" w:type="dxa"/>
            <w:vAlign w:val="bottom"/>
            <w:tcBorders>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tcPr>
          <w:p>
            <w:pPr>
              <w:spacing w:after="0"/>
              <w:rPr>
                <w:sz w:val="14"/>
                <w:szCs w:val="14"/>
                <w:color w:val="auto"/>
              </w:rPr>
            </w:pPr>
          </w:p>
        </w:tc>
        <w:tc>
          <w:tcPr>
            <w:tcW w:w="1400" w:type="dxa"/>
            <w:vAlign w:val="bottom"/>
            <w:tcBorders>
              <w:bottom w:val="single" w:sz="8" w:color="auto"/>
            </w:tcBorders>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62,817</w:t>
            </w:r>
          </w:p>
        </w:tc>
      </w:tr>
      <w:tr>
        <w:trPr>
          <w:trHeight w:val="860"/>
        </w:trPr>
        <w:tc>
          <w:tcPr>
            <w:tcW w:w="4600" w:type="dxa"/>
            <w:vAlign w:val="bottom"/>
          </w:tcPr>
          <w:p>
            <w:pPr>
              <w:spacing w:after="0"/>
              <w:rPr>
                <w:sz w:val="24"/>
                <w:szCs w:val="24"/>
                <w:color w:val="auto"/>
              </w:rPr>
            </w:pPr>
          </w:p>
        </w:tc>
        <w:tc>
          <w:tcPr>
            <w:tcW w:w="3800" w:type="dxa"/>
            <w:vAlign w:val="bottom"/>
            <w:gridSpan w:val="2"/>
          </w:tcPr>
          <w:p>
            <w:pPr>
              <w:jc w:val="right"/>
              <w:ind w:right="2549"/>
              <w:spacing w:after="0"/>
              <w:rPr>
                <w:sz w:val="20"/>
                <w:szCs w:val="20"/>
                <w:color w:val="auto"/>
              </w:rPr>
            </w:pPr>
            <w:r>
              <w:rPr>
                <w:rFonts w:ascii="Times New Roman" w:cs="Times New Roman" w:eastAsia="Times New Roman" w:hAnsi="Times New Roman"/>
                <w:sz w:val="14"/>
                <w:szCs w:val="14"/>
                <w:color w:val="auto"/>
              </w:rPr>
              <w:t>F-72</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7"/>
        </w:trPr>
        <w:tc>
          <w:tcPr>
            <w:tcW w:w="460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740" w:type="dxa"/>
            <w:vAlign w:val="bottom"/>
            <w:gridSpan w:val="2"/>
          </w:tcPr>
          <w:p>
            <w:pPr>
              <w:jc w:val="right"/>
              <w:ind w:right="1769"/>
              <w:spacing w:after="0"/>
              <w:rPr>
                <w:sz w:val="20"/>
                <w:szCs w:val="20"/>
                <w:color w:val="auto"/>
              </w:rPr>
            </w:pPr>
            <w:r>
              <w:rPr>
                <w:rFonts w:ascii="Times New Roman" w:cs="Times New Roman" w:eastAsia="Times New Roman" w:hAnsi="Times New Roman"/>
                <w:sz w:val="14"/>
                <w:szCs w:val="14"/>
                <w:b w:val="1"/>
                <w:bCs w:val="1"/>
                <w:color w:val="auto"/>
              </w:rPr>
              <w:t>Statement of Cash Flows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70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320" w:type="dxa"/>
            <w:vAlign w:val="bottom"/>
          </w:tcPr>
          <w:p>
            <w:pPr>
              <w:spacing w:after="0"/>
              <w:rPr>
                <w:sz w:val="14"/>
                <w:szCs w:val="14"/>
                <w:color w:val="auto"/>
              </w:rPr>
            </w:pPr>
          </w:p>
        </w:tc>
        <w:tc>
          <w:tcPr>
            <w:tcW w:w="14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0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740" w:type="dxa"/>
            <w:vAlign w:val="bottom"/>
            <w:gridSpan w:val="2"/>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62,817</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for deferred income taxes</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Undistributed (earnings) losses of subs</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(57,103)</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(26,813)</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liabilities</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(35,489)</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(40,414)</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other asset</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32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Purchases of held-to-maturity and available-for-sale securities</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maturities of held-to-maturity and available-for-sale securities</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investments in and advances to subsidiaries</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(96,265)</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or repayment of investments in and advances to subsidiaries</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95,543</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Outlays for business acquisitions</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3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3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(117,573)</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154,050</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14,036</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to repurchase common stock</w:t>
            </w:r>
          </w:p>
        </w:tc>
        <w:tc>
          <w:tcPr>
            <w:tcW w:w="2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(14,147)</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3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3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103,817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92,520</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restricted cash</w:t>
            </w:r>
          </w:p>
        </w:tc>
        <w:tc>
          <w:tcPr>
            <w:tcW w:w="2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(37,927)</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period</w:t>
            </w:r>
          </w:p>
        </w:tc>
        <w:tc>
          <w:tcPr>
            <w:tcW w:w="23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51,798</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period</w:t>
            </w:r>
          </w:p>
        </w:tc>
        <w:tc>
          <w:tcPr>
            <w:tcW w:w="232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13,871</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Borrowings and Maturities</w:t>
      </w:r>
    </w:p>
    <w:p>
      <w:pPr>
        <w:spacing w:after="0" w:line="202"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4"/>
          <w:szCs w:val="14"/>
          <w:color w:val="auto"/>
        </w:rPr>
        <w:t>Refer to NOTE 13—BORROWINGS for a schedule of borrowings that includes the notes issued by the parent company. Refer to the Liquidity and Capital Resources section of the MD&amp;A under the Contractual Obligations section for a schedule of maturities.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 Capital One Facility. Maximum borrowings under the SPV I Facility are $60.0 million. The lender’s commitments terminate in May 2025, with all amounts due under the SPV I Facility maturing in November 2025. At December 31, 2024, total principal owed by SPV I was $21.3 million. At December 31, 2024, the Company determined that it is not probable that payments would be required to be made under the guarantee.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II Deutsche Bank Facility. Maximum borrowings under the SPV II Deutsche Bank Facility are $120.0 million. The Deutsche Bank Facility matures in December 2027. At December 31, 2024, total principal owed by SPV II was $54.8 million. At December 31, 2024, the Company determined that it is not probable that payments would be required to be made under the guarantee.</w:t>
      </w:r>
    </w:p>
    <w:p>
      <w:pPr>
        <w:spacing w:after="0" w:line="15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SPV III One Florida Bank Facility. Maximum borrowings under the SPV III One Florida Bank Facility are $30.0 million. The One Florida Bank Facility matures in May 2025. At December 31, 2024, total principal owed by SPV III was $23.1 million. At December 31, 2024, the Company determined that it is not probable that payments would be required to be made under the guarantee. On April 27, 2023, the SPV III One Florida Bank Facility was amended to increase maximum borrowings under the line to $30.0 million.</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is a guarantor on the Webster Facility, a term loan facility between NMS with Webster Bank with an aggregate principal amount up to $54.9 million. The Webster Facility matures in November 2027. At December 31, 2024, total principal outstanding was $32.7 million. At December 31, 2024, the Company determined that it is not probable that payments would be required to be made under the guarantee.</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is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NTS</w:t>
      </w:r>
    </w:p>
    <w:p>
      <w:pPr>
        <w:spacing w:after="0" w:line="191"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4"/>
          <w:szCs w:val="14"/>
          <w:color w:val="auto"/>
        </w:rPr>
        <w:t>On January 2, 2025, the Company completed the previously announced sale of its wholly owned subsidiary Newtek Technology Solutions, Inc. (“NTS”) to Paltalk, Inc. (“Paltalk,” subsequently renamed Intelligent Protection Management Corp, (Nasdaq: IPM) (the “NTS Sale”), pursuant to the Agreement and Plan of Merger (the “Agreement”), dated as of August 11, 2024, by and among Paltalk, PALT Merger Sub 1, Inc., PALT Merger Sub 2, LLC, NTS and the Company. As previously disclosed, in connection with the Company’s acquisition of Newtek Bank and transition to a financial holding company, the Company made a commitment to the Board of Governors of the Federal Reserve System to divest or terminate the activities of NTS.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Under the terms of the Agreement, at the closing of the NTS Sale, Paltalk acquired NTS for a combination of $4.0 million in cash, subject to certain purchase price adjustments (the “Cash Consideration”), and 4.0 million shares of a newly created series of Paltalk non-voting preferred stock, the Series A Non-Voting Common Equivalent Stock (the “Preferred Stock”) (the “Stock Consideration” and together with the Cash Consideration, the “Closing Consideration”). Upon the occurrence of certain specified transfers of the Preferred Stock, each share of Preferred Stock will automatically convert into one share of common stock of Paltalk, subject to certain anti-dilution adjustments. In addition to the Closing Consideration, the Company may be entitled to receive an earn-out amount of up to $5.0 million, payable in cash, Preferred Stock, or a combination thereof (as determined in Paltalk’s discretion), based on Paltalk's achievement of certain cumulative average Adjusted EBITDA thresholds for the 2025 and 2026 fiscal years. Pursuant to the Agreement, the Company is entitled to appoint one representative to the Paltalk board of directors. The Company will account for our investment in Paltalk under ASC 321 beginning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F-74</w:t>
      </w:r>
    </w:p>
    <w:p>
      <w:pPr>
        <w:sectPr>
          <w:pgSz w:w="11900" w:h="16838" w:orient="portrait"/>
          <w:cols w:equalWidth="0" w:num="1">
            <w:col w:w="11280"/>
          </w:cols>
          <w:pgMar w:left="300" w:top="127"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234" w:lineRule="exact"/>
        <w:rPr>
          <w:sz w:val="20"/>
          <w:szCs w:val="20"/>
          <w:color w:val="auto"/>
        </w:rPr>
      </w:pPr>
    </w:p>
    <w:p>
      <w:pPr>
        <w:ind w:right="380"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2024, NewtekOne, Inc. (the “Company,” “we,” “our,” or “us”) had two classes of securities registered under Section 12 of the Securities Exchange Act of 1934, as amended: (1) our common stock and (2) our debt securities.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Capitalized terms used but not defined herein shall have the meaning ascribed to them in the Annual Report on Form 10-K to which this Description of Securities is attached as an exhibit.</w:t>
      </w:r>
    </w:p>
    <w:p>
      <w:pPr>
        <w:spacing w:after="0" w:line="230"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w:t>
        <w:tab/>
        <w:t>Common Stock, $0.02 par value per share</w:t>
      </w:r>
    </w:p>
    <w:p>
      <w:pPr>
        <w:spacing w:after="0" w:line="234" w:lineRule="exact"/>
        <w:rPr>
          <w:sz w:val="20"/>
          <w:szCs w:val="20"/>
          <w:color w:val="auto"/>
        </w:rPr>
      </w:pPr>
    </w:p>
    <w:p>
      <w:pPr>
        <w:ind w:right="300"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2024, the authorized capital stock of the Company consisted of 200,000,000 shares of stock, par value $0.02 per share, of which all are designated as common stock except for the 20,000 shares which are designated as Series A Convertible Preferred Stock. Our common stock is traded on the Nasdaq Global Market under the ticker symbol “NEWT.”</w:t>
      </w:r>
    </w:p>
    <w:p>
      <w:pPr>
        <w:spacing w:after="0" w:line="40" w:lineRule="exact"/>
        <w:rPr>
          <w:sz w:val="20"/>
          <w:szCs w:val="20"/>
          <w:color w:val="auto"/>
        </w:rPr>
      </w:pPr>
    </w:p>
    <w:p>
      <w:pPr>
        <w:ind w:right="40" w:firstLine="509"/>
        <w:spacing w:after="0" w:line="309"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46" w:lineRule="exact"/>
        <w:rPr>
          <w:sz w:val="20"/>
          <w:szCs w:val="20"/>
          <w:color w:val="auto"/>
        </w:rPr>
      </w:pPr>
    </w:p>
    <w:p>
      <w:pPr>
        <w:ind w:right="40" w:firstLine="509"/>
        <w:spacing w:after="0" w:line="317" w:lineRule="auto"/>
        <w:rPr>
          <w:sz w:val="20"/>
          <w:szCs w:val="20"/>
          <w:color w:val="auto"/>
        </w:rPr>
      </w:pPr>
      <w:r>
        <w:rPr>
          <w:rFonts w:ascii="Times New Roman" w:cs="Times New Roman" w:eastAsia="Times New Roman" w:hAnsi="Times New Roman"/>
          <w:sz w:val="14"/>
          <w:szCs w:val="14"/>
          <w:color w:val="auto"/>
        </w:rPr>
        <w:t>Under our charter, our Board is authorized to classify and reclassify any unissued shares of stock into other classes or series of stock without obtaining stockholder approval. Our charter also provides that the Board, without any action by our stockholders, may amend the charter from time to time to increase or decrease the aggregate number of shares of stock or the number of shares of stock of any class or series that we have authority to issue.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Options and Restricted Stock</w:t>
      </w:r>
    </w:p>
    <w:p>
      <w:pPr>
        <w:spacing w:after="0" w:line="138"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stockholders on June 14, 2023.</w:t>
      </w:r>
    </w:p>
    <w:p>
      <w:pPr>
        <w:spacing w:after="0" w:line="125" w:lineRule="exact"/>
        <w:rPr>
          <w:sz w:val="20"/>
          <w:szCs w:val="20"/>
          <w:color w:val="auto"/>
        </w:rPr>
      </w:pPr>
    </w:p>
    <w:p>
      <w:pPr>
        <w:ind w:right="80" w:firstLine="509"/>
        <w:spacing w:after="0" w:line="317" w:lineRule="auto"/>
        <w:rPr>
          <w:sz w:val="20"/>
          <w:szCs w:val="20"/>
          <w:color w:val="auto"/>
        </w:rPr>
      </w:pPr>
      <w:r>
        <w:rPr>
          <w:rFonts w:ascii="Times New Roman" w:cs="Times New Roman" w:eastAsia="Times New Roman" w:hAnsi="Times New Roman"/>
          <w:sz w:val="14"/>
          <w:szCs w:val="14"/>
          <w:color w:val="auto"/>
        </w:rPr>
        <w:t>The 2023 Stock Plan permits us to issue awards of stock options and restricted shares of common stock in an aggregate amount of up to 3,000,000 issued and outstanding shares of common stock as of the effective date of the 2023 Plan. The Compensation, Corporate Governance and Nominating Committee believes that restricted shares of common stock is the best method of encouraging stock ownership in the Company by eligible participants by giving them a proprietary interest in the Company’s performance, which more closely aligns compensation with the</w:t>
      </w:r>
    </w:p>
    <w:p>
      <w:pPr>
        <w:sectPr>
          <w:pgSz w:w="11900" w:h="16838" w:orient="portrait"/>
          <w:cols w:equalWidth="0" w:num="1">
            <w:col w:w="11280"/>
          </w:cols>
          <w:pgMar w:left="300" w:top="125"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color w:val="auto"/>
        </w:rPr>
        <w:t>Company’s performance and provides a means to attract and retain persons of outstanding ability in key positions with the Company.</w:t>
      </w:r>
    </w:p>
    <w:p>
      <w:pPr>
        <w:spacing w:after="0" w:line="232" w:lineRule="exact"/>
        <w:rPr>
          <w:sz w:val="20"/>
          <w:szCs w:val="20"/>
          <w:color w:val="auto"/>
        </w:rPr>
      </w:pPr>
    </w:p>
    <w:p>
      <w:pPr>
        <w:ind w:right="40" w:firstLine="509"/>
        <w:spacing w:after="0" w:line="325"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308" w:lineRule="exact"/>
        <w:rPr>
          <w:sz w:val="20"/>
          <w:szCs w:val="20"/>
          <w:color w:val="auto"/>
        </w:rPr>
      </w:pPr>
    </w:p>
    <w:p>
      <w:pPr>
        <w:ind w:right="40" w:firstLine="509"/>
        <w:spacing w:after="0" w:line="306"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w:t>
      </w:r>
    </w:p>
    <w:p>
      <w:pPr>
        <w:spacing w:after="0" w:line="147" w:lineRule="exact"/>
        <w:rPr>
          <w:sz w:val="20"/>
          <w:szCs w:val="20"/>
          <w:color w:val="auto"/>
        </w:rPr>
      </w:pPr>
    </w:p>
    <w:p>
      <w:pPr>
        <w:ind w:firstLine="509"/>
        <w:spacing w:after="0" w:line="307"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ectPr>
          <w:pgSz w:w="11900" w:h="16838" w:orient="portrait"/>
          <w:cols w:equalWidth="0" w:num="1">
            <w:col w:w="11260"/>
          </w:cols>
          <w:pgMar w:left="300" w:top="116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color w:val="auto"/>
        </w:rPr>
        <w:t>Certain Provisions of the Maryland General Corporation Law and Our Charter and Bylaws</w:t>
      </w:r>
    </w:p>
    <w:p>
      <w:pPr>
        <w:spacing w:after="0" w:line="127" w:lineRule="exact"/>
        <w:rPr>
          <w:sz w:val="20"/>
          <w:szCs w:val="20"/>
          <w:color w:val="auto"/>
        </w:rPr>
      </w:pPr>
    </w:p>
    <w:p>
      <w:pPr>
        <w:ind w:right="100" w:firstLine="509"/>
        <w:spacing w:after="0" w:line="317"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We believe that the benefits of these provisions outweigh the potential disadvantages of discouraging any such acquisition proposals because, among other things, the negotiation of such proposals may improve their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27" w:lineRule="exact"/>
        <w:rPr>
          <w:sz w:val="20"/>
          <w:szCs w:val="20"/>
          <w:color w:val="auto"/>
        </w:rPr>
      </w:pPr>
    </w:p>
    <w:p>
      <w:pPr>
        <w:ind w:firstLine="509"/>
        <w:spacing w:after="0" w:line="317" w:lineRule="auto"/>
        <w:rPr>
          <w:sz w:val="20"/>
          <w:szCs w:val="20"/>
          <w:color w:val="auto"/>
        </w:rPr>
      </w:pPr>
      <w:r>
        <w:rPr>
          <w:rFonts w:ascii="Times New Roman" w:cs="Times New Roman" w:eastAsia="Times New Roman" w:hAnsi="Times New Roman"/>
          <w:sz w:val="14"/>
          <w:szCs w:val="14"/>
          <w:color w:val="auto"/>
        </w:rPr>
        <w:t>Our Board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27" w:lineRule="exact"/>
        <w:rPr>
          <w:sz w:val="20"/>
          <w:szCs w:val="20"/>
          <w:color w:val="auto"/>
        </w:rPr>
      </w:pPr>
    </w:p>
    <w:p>
      <w:pPr>
        <w:ind w:right="320" w:firstLine="509"/>
        <w:spacing w:after="0" w:line="334" w:lineRule="auto"/>
        <w:rPr>
          <w:sz w:val="20"/>
          <w:szCs w:val="20"/>
          <w:color w:val="auto"/>
        </w:rPr>
      </w:pPr>
      <w:r>
        <w:rPr>
          <w:rFonts w:ascii="Times New Roman" w:cs="Times New Roman" w:eastAsia="Times New Roman" w:hAnsi="Times New Roman"/>
          <w:sz w:val="14"/>
          <w:szCs w:val="14"/>
          <w:color w:val="auto"/>
        </w:rPr>
        <w:t>Our charter and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138" w:lineRule="exact"/>
        <w:rPr>
          <w:sz w:val="20"/>
          <w:szCs w:val="20"/>
          <w:color w:val="auto"/>
        </w:rPr>
      </w:pPr>
    </w:p>
    <w:p>
      <w:pPr>
        <w:ind w:firstLine="509"/>
        <w:spacing w:after="0" w:line="307"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twelve.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Our charter provides that a director may be removed only for cause, as defined in our charter, and then only by the affirmative vote of at least two-thirds of the votes entitled to be cast in the election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127" w:lineRule="exact"/>
        <w:rPr>
          <w:sz w:val="20"/>
          <w:szCs w:val="20"/>
          <w:color w:val="auto"/>
        </w:rPr>
      </w:pPr>
    </w:p>
    <w:p>
      <w:pPr>
        <w:ind w:right="100" w:firstLine="509"/>
        <w:spacing w:after="0" w:line="325"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w:t>
      </w:r>
    </w:p>
    <w:p>
      <w:pPr>
        <w:sectPr>
          <w:pgSz w:w="11900" w:h="16838" w:orient="portrait"/>
          <w:cols w:equalWidth="0" w:num="1">
            <w:col w:w="11280"/>
          </w:cols>
          <w:pgMar w:left="300" w:top="1162"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color w:val="auto"/>
        </w:rPr>
        <w:t>discussed below, may have the effect of delaying consideration of a stockholder proposal until the next annual meeting.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and Stockholder Proposals</w:t>
      </w:r>
    </w:p>
    <w:p>
      <w:pPr>
        <w:spacing w:after="0" w:line="127" w:lineRule="exact"/>
        <w:rPr>
          <w:sz w:val="20"/>
          <w:szCs w:val="20"/>
          <w:color w:val="auto"/>
        </w:rPr>
      </w:pPr>
    </w:p>
    <w:p>
      <w:pPr>
        <w:ind w:right="20" w:firstLine="509"/>
        <w:spacing w:after="0" w:line="303"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stockholders, nominations of persons for election to the Board and the proposal of business to be considered by stockholders may be made only (a) pursuant to our notice of the meeting, (b) by the Board or (c)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spacing w:after="0" w:line="2"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138" w:lineRule="exact"/>
        <w:rPr>
          <w:sz w:val="20"/>
          <w:szCs w:val="20"/>
          <w:color w:val="auto"/>
        </w:rPr>
      </w:pPr>
    </w:p>
    <w:p>
      <w:pPr>
        <w:jc w:val="both"/>
        <w:ind w:right="100" w:firstLine="509"/>
        <w:spacing w:after="0" w:line="317"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Corporate Action; Amendment of Charter and Bylaws</w:t>
      </w:r>
    </w:p>
    <w:p>
      <w:pPr>
        <w:spacing w:after="0" w:line="127" w:lineRule="exact"/>
        <w:rPr>
          <w:sz w:val="20"/>
          <w:szCs w:val="20"/>
          <w:color w:val="auto"/>
        </w:rPr>
      </w:pPr>
    </w:p>
    <w:p>
      <w:pPr>
        <w:ind w:firstLine="509"/>
        <w:spacing w:after="0" w:line="309"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and any proposal for our liquidation or dissolution requires the approval of the stockholders entitled to cast at least a majority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w:t>
      </w:r>
    </w:p>
    <w:p>
      <w:pPr>
        <w:sectPr>
          <w:pgSz w:w="11900" w:h="16838" w:orient="portrait"/>
          <w:cols w:equalWidth="0" w:num="1">
            <w:col w:w="11280"/>
          </w:cols>
          <w:pgMar w:left="300" w:top="1165" w:right="319" w:bottom="1440" w:gutter="0" w:footer="0" w:header="0"/>
        </w:sectPr>
      </w:pPr>
    </w:p>
    <w:bookmarkStart w:id="183" w:name="page184"/>
    <w:bookmarkEnd w:id="183"/>
    <w:p>
      <w:pPr>
        <w:ind w:right="160"/>
        <w:spacing w:after="0" w:line="334" w:lineRule="auto"/>
        <w:rPr>
          <w:sz w:val="20"/>
          <w:szCs w:val="20"/>
          <w:color w:val="auto"/>
        </w:rPr>
      </w:pPr>
      <w:r>
        <w:rPr>
          <w:rFonts w:ascii="Times New Roman" w:cs="Times New Roman" w:eastAsia="Times New Roman" w:hAnsi="Times New Roman"/>
          <w:sz w:val="14"/>
          <w:szCs w:val="14"/>
          <w:color w:val="auto"/>
        </w:rPr>
        <w:t>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spacing w:after="0" w:line="125" w:lineRule="exact"/>
        <w:rPr>
          <w:sz w:val="20"/>
          <w:szCs w:val="20"/>
          <w:color w:val="auto"/>
        </w:rPr>
      </w:pPr>
    </w:p>
    <w:p>
      <w:pPr>
        <w:ind w:firstLine="509"/>
        <w:spacing w:after="0" w:line="325" w:lineRule="auto"/>
        <w:rPr>
          <w:sz w:val="20"/>
          <w:szCs w:val="20"/>
          <w:color w:val="auto"/>
        </w:rPr>
      </w:pPr>
      <w:r>
        <w:rPr>
          <w:rFonts w:ascii="Times New Roman" w:cs="Times New Roman" w:eastAsia="Times New Roman" w:hAnsi="Times New Roman"/>
          <w:sz w:val="14"/>
          <w:szCs w:val="14"/>
          <w:color w:val="auto"/>
        </w:rPr>
        <w:t>At a meeting of our stockholders held on June 14, 2024, the Company’s stockholders followed our Board’s recommendation and approved an amendment to the Company’s Articles of Amendment and Restatement (the “Charter Amendment”). The Charter Amendment provides that the Company’s bylaws may be amended by either our Board or by the Company stockholders by the affirmative vote of the holders of a majority of all votes entitled to be cast.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27" w:lineRule="exact"/>
        <w:rPr>
          <w:sz w:val="20"/>
          <w:szCs w:val="20"/>
          <w:color w:val="auto"/>
        </w:rPr>
      </w:pPr>
    </w:p>
    <w:p>
      <w:pPr>
        <w:ind w:right="180" w:firstLine="509"/>
        <w:spacing w:after="0" w:line="334"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shall determine such rights apply.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27" w:lineRule="exact"/>
        <w:rPr>
          <w:sz w:val="20"/>
          <w:szCs w:val="20"/>
          <w:color w:val="auto"/>
        </w:rPr>
      </w:pPr>
    </w:p>
    <w:p>
      <w:pPr>
        <w:ind w:right="40" w:firstLine="509"/>
        <w:spacing w:after="0" w:line="309" w:lineRule="auto"/>
        <w:rPr>
          <w:sz w:val="20"/>
          <w:szCs w:val="20"/>
          <w:color w:val="auto"/>
        </w:rPr>
      </w:pPr>
      <w:r>
        <w:rPr>
          <w:rFonts w:ascii="Times New Roman" w:cs="Times New Roman" w:eastAsia="Times New Roman" w:hAnsi="Times New Roman"/>
          <w:sz w:val="14"/>
          <w:szCs w:val="14"/>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7" w:lineRule="exact"/>
        <w:rPr>
          <w:sz w:val="20"/>
          <w:szCs w:val="20"/>
          <w:color w:val="auto"/>
        </w:rPr>
      </w:pPr>
    </w:p>
    <w:p>
      <w:pPr>
        <w:ind w:left="720" w:hanging="270"/>
        <w:spacing w:after="0"/>
        <w:tabs>
          <w:tab w:leader="none" w:pos="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40" w:lineRule="exact"/>
        <w:rPr>
          <w:rFonts w:ascii="Times New Roman" w:cs="Times New Roman" w:eastAsia="Times New Roman" w:hAnsi="Times New Roman"/>
          <w:sz w:val="14"/>
          <w:szCs w:val="14"/>
          <w:color w:val="auto"/>
        </w:rPr>
      </w:pPr>
    </w:p>
    <w:p>
      <w:pPr>
        <w:ind w:left="740" w:hanging="290"/>
        <w:spacing w:after="0"/>
        <w:tabs>
          <w:tab w:leader="none" w:pos="7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40" w:lineRule="exact"/>
        <w:rPr>
          <w:rFonts w:ascii="Times New Roman" w:cs="Times New Roman" w:eastAsia="Times New Roman" w:hAnsi="Times New Roman"/>
          <w:sz w:val="14"/>
          <w:szCs w:val="14"/>
          <w:color w:val="auto"/>
        </w:rPr>
      </w:pPr>
    </w:p>
    <w:p>
      <w:pPr>
        <w:ind w:left="720" w:hanging="270"/>
        <w:spacing w:after="0"/>
        <w:tabs>
          <w:tab w:leader="none" w:pos="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41" w:lineRule="exact"/>
        <w:rPr>
          <w:sz w:val="20"/>
          <w:szCs w:val="20"/>
          <w:color w:val="auto"/>
        </w:rPr>
      </w:pPr>
    </w:p>
    <w:p>
      <w:pPr>
        <w:ind w:right="160" w:firstLine="509"/>
        <w:spacing w:after="0" w:line="334"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3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37" w:lineRule="exact"/>
        <w:rPr>
          <w:sz w:val="20"/>
          <w:szCs w:val="20"/>
          <w:color w:val="auto"/>
        </w:rPr>
      </w:pPr>
    </w:p>
    <w:p>
      <w:pPr>
        <w:ind w:right="120" w:firstLine="509"/>
        <w:spacing w:after="0" w:line="325"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acquirer or of any</w:t>
      </w:r>
    </w:p>
    <w:p>
      <w:pPr>
        <w:sectPr>
          <w:pgSz w:w="11900" w:h="16838" w:orient="portrait"/>
          <w:cols w:equalWidth="0" w:num="1">
            <w:col w:w="11260"/>
          </w:cols>
          <w:pgMar w:left="300" w:top="1165" w:right="339" w:bottom="1440" w:gutter="0" w:footer="0" w:header="0"/>
        </w:sectPr>
      </w:pPr>
    </w:p>
    <w:bookmarkStart w:id="184" w:name="page185"/>
    <w:bookmarkEnd w:id="184"/>
    <w:p>
      <w:pPr>
        <w:ind w:right="60"/>
        <w:spacing w:after="0" w:line="317" w:lineRule="auto"/>
        <w:rPr>
          <w:sz w:val="20"/>
          <w:szCs w:val="20"/>
          <w:color w:val="auto"/>
        </w:rPr>
      </w:pPr>
      <w:r>
        <w:rPr>
          <w:rFonts w:ascii="Times New Roman" w:cs="Times New Roman" w:eastAsia="Times New Roman" w:hAnsi="Times New Roman"/>
          <w:sz w:val="14"/>
          <w:szCs w:val="14"/>
          <w:color w:val="auto"/>
        </w:rPr>
        <w:t>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47" w:lineRule="exact"/>
        <w:rPr>
          <w:sz w:val="20"/>
          <w:szCs w:val="20"/>
          <w:color w:val="auto"/>
        </w:rPr>
      </w:pPr>
    </w:p>
    <w:p>
      <w:pPr>
        <w:ind w:right="140" w:firstLine="509"/>
        <w:spacing w:after="0" w:line="311" w:lineRule="auto"/>
        <w:rPr>
          <w:sz w:val="20"/>
          <w:szCs w:val="20"/>
          <w:color w:val="auto"/>
        </w:rPr>
      </w:pPr>
      <w:r>
        <w:rPr>
          <w:rFonts w:ascii="Times New Roman" w:cs="Times New Roman" w:eastAsia="Times New Roman" w:hAnsi="Times New Roman"/>
          <w:sz w:val="14"/>
          <w:szCs w:val="14"/>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As a result, we will amend our bylaws to be subject to the Control Share Act only if the Board determines that it would be in our best interests and, after notification.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38" w:lineRule="exact"/>
        <w:rPr>
          <w:sz w:val="20"/>
          <w:szCs w:val="20"/>
          <w:color w:val="auto"/>
        </w:rPr>
      </w:pPr>
    </w:p>
    <w:p>
      <w:pPr>
        <w:ind w:right="40" w:firstLine="509"/>
        <w:spacing w:after="0" w:line="300"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 w:lineRule="exact"/>
        <w:rPr>
          <w:sz w:val="20"/>
          <w:szCs w:val="20"/>
          <w:color w:val="auto"/>
        </w:rPr>
      </w:pPr>
    </w:p>
    <w:p>
      <w:pPr>
        <w:ind w:left="720" w:hanging="270"/>
        <w:spacing w:after="0"/>
        <w:tabs>
          <w:tab w:leader="none" w:pos="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 or more of the voting power of the corporation’s outstanding voting stock; or</w:t>
      </w:r>
    </w:p>
    <w:p>
      <w:pPr>
        <w:spacing w:after="0" w:line="40" w:lineRule="exact"/>
        <w:rPr>
          <w:rFonts w:ascii="Times New Roman" w:cs="Times New Roman" w:eastAsia="Times New Roman" w:hAnsi="Times New Roman"/>
          <w:sz w:val="14"/>
          <w:szCs w:val="14"/>
          <w:color w:val="auto"/>
        </w:rPr>
      </w:pPr>
    </w:p>
    <w:p>
      <w:pPr>
        <w:ind w:left="740" w:right="160" w:hanging="290"/>
        <w:spacing w:after="0" w:line="308" w:lineRule="auto"/>
        <w:tabs>
          <w:tab w:leader="none" w:pos="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 w:lineRule="exact"/>
        <w:rPr>
          <w:sz w:val="20"/>
          <w:szCs w:val="20"/>
          <w:color w:val="auto"/>
        </w:rPr>
      </w:pPr>
    </w:p>
    <w:p>
      <w:pPr>
        <w:ind w:right="40" w:firstLine="509"/>
        <w:spacing w:after="0" w:line="300"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 w:lineRule="exact"/>
        <w:rPr>
          <w:sz w:val="20"/>
          <w:szCs w:val="20"/>
          <w:color w:val="auto"/>
        </w:rPr>
      </w:pPr>
    </w:p>
    <w:p>
      <w:pPr>
        <w:ind w:left="720" w:hanging="270"/>
        <w:spacing w:after="0"/>
        <w:tabs>
          <w:tab w:leader="none" w:pos="7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40" w:lineRule="exact"/>
        <w:rPr>
          <w:rFonts w:ascii="Times New Roman" w:cs="Times New Roman" w:eastAsia="Times New Roman" w:hAnsi="Times New Roman"/>
          <w:sz w:val="14"/>
          <w:szCs w:val="14"/>
          <w:color w:val="auto"/>
        </w:rPr>
      </w:pPr>
    </w:p>
    <w:p>
      <w:pPr>
        <w:ind w:left="740" w:right="40" w:hanging="290"/>
        <w:spacing w:after="0" w:line="300" w:lineRule="auto"/>
        <w:tabs>
          <w:tab w:leader="none" w:pos="7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 w:lineRule="exact"/>
        <w:rPr>
          <w:sz w:val="20"/>
          <w:szCs w:val="20"/>
          <w:color w:val="auto"/>
        </w:rPr>
      </w:pPr>
    </w:p>
    <w:p>
      <w:pPr>
        <w:ind w:right="80" w:firstLine="509"/>
        <w:spacing w:after="0" w:line="308" w:lineRule="auto"/>
        <w:rPr>
          <w:sz w:val="20"/>
          <w:szCs w:val="20"/>
          <w:color w:val="auto"/>
        </w:rPr>
      </w:pPr>
      <w:r>
        <w:rPr>
          <w:rFonts w:ascii="Times New Roman" w:cs="Times New Roman" w:eastAsia="Times New Roman" w:hAnsi="Times New Roman"/>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 w:lineRule="exact"/>
        <w:rPr>
          <w:sz w:val="20"/>
          <w:szCs w:val="20"/>
          <w:color w:val="auto"/>
        </w:rPr>
      </w:pPr>
    </w:p>
    <w:p>
      <w:pPr>
        <w:ind w:right="100" w:firstLine="509"/>
        <w:spacing w:after="0" w:line="311"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Board. This resolution may be altered or repealed in whole or in part at any time; however, our Board will adopt resolutions so as to make us subject to the provisions of the Business Combination Act only if the Board determines</w:t>
      </w:r>
    </w:p>
    <w:p>
      <w:pPr>
        <w:sectPr>
          <w:pgSz w:w="11900" w:h="16838" w:orient="portrait"/>
          <w:cols w:equalWidth="0" w:num="1">
            <w:col w:w="11280"/>
          </w:cols>
          <w:pgMar w:left="300" w:top="1164" w:right="319" w:bottom="1440" w:gutter="0" w:footer="0" w:header="0"/>
        </w:sectPr>
      </w:pPr>
    </w:p>
    <w:bookmarkStart w:id="185" w:name="page186"/>
    <w:bookmarkEnd w:id="185"/>
    <w:p>
      <w:pPr>
        <w:spacing w:after="0" w:line="334" w:lineRule="auto"/>
        <w:rPr>
          <w:sz w:val="20"/>
          <w:szCs w:val="20"/>
          <w:color w:val="auto"/>
        </w:rPr>
      </w:pPr>
      <w:r>
        <w:rPr>
          <w:rFonts w:ascii="Times New Roman" w:cs="Times New Roman" w:eastAsia="Times New Roman" w:hAnsi="Times New Roman"/>
          <w:sz w:val="14"/>
          <w:szCs w:val="14"/>
          <w:color w:val="auto"/>
        </w:rPr>
        <w:t>that it would be in our best interests If this resolution is repealed, or the Board does not otherwise approve a business combination, the statute may discourage others from trying to acquire control of us and increase the difficulty of consummating any offer.</w:t>
      </w:r>
    </w:p>
    <w:p>
      <w:pPr>
        <w:sectPr>
          <w:pgSz w:w="11900" w:h="16838" w:orient="portrait"/>
          <w:cols w:equalWidth="0" w:num="1">
            <w:col w:w="11180"/>
          </w:cols>
          <w:pgMar w:left="300" w:top="1164" w:right="419" w:bottom="1440" w:gutter="0" w:footer="0" w:header="0"/>
        </w:sectPr>
      </w:pPr>
    </w:p>
    <w:bookmarkStart w:id="186" w:name="page187"/>
    <w:bookmarkEnd w:id="186"/>
    <w:p>
      <w:pPr>
        <w:ind w:left="500" w:hanging="240"/>
        <w:spacing w:after="0"/>
        <w:tabs>
          <w:tab w:leader="none" w:pos="500" w:val="left"/>
        </w:tabs>
        <w:numPr>
          <w:ilvl w:val="0"/>
          <w:numId w:val="9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color w:val="auto"/>
        </w:rPr>
        <w:t>Debt Securities</w:t>
      </w:r>
    </w:p>
    <w:p>
      <w:pPr>
        <w:spacing w:after="0" w:line="297" w:lineRule="exact"/>
        <w:rPr>
          <w:rFonts w:ascii="Times New Roman" w:cs="Times New Roman" w:eastAsia="Times New Roman" w:hAnsi="Times New Roman"/>
          <w:sz w:val="14"/>
          <w:szCs w:val="14"/>
          <w:b w:val="1"/>
          <w:bCs w:val="1"/>
          <w:i w:val="1"/>
          <w:iCs w:val="1"/>
          <w:color w:val="auto"/>
        </w:rPr>
      </w:pPr>
    </w:p>
    <w:p>
      <w:pPr>
        <w:ind w:left="1280" w:hanging="257"/>
        <w:spacing w:after="0"/>
        <w:tabs>
          <w:tab w:leader="none" w:pos="12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5.50% Notes due 2026 (the “2026 Notes”);</w:t>
      </w:r>
    </w:p>
    <w:p>
      <w:pPr>
        <w:spacing w:after="0" w:line="23"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 Notes due 2028 (the “2028 Notes”);</w:t>
      </w:r>
    </w:p>
    <w:p>
      <w:pPr>
        <w:spacing w:after="0" w:line="8"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8.50% Notes due 2029 (the “8.50% 2029 Notes”); and</w:t>
      </w:r>
    </w:p>
    <w:p>
      <w:pPr>
        <w:spacing w:after="0" w:line="8"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8.625% Notes due 2029 (the “8.625% 2029 Notes” and collectively with the 8.50% 2029 Notes, the “2029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2026 Notes</w:t>
      </w:r>
    </w:p>
    <w:p>
      <w:pPr>
        <w:spacing w:after="0" w:line="1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 January 2021, the Company completed a registered offering of $115.0 million aggregate principal amount of the 2026 Notes. 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and trade on the Nasdaq Global Market under the trading symbol “NEWTZ.”</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2028 Notes</w:t>
      </w:r>
    </w:p>
    <w:p>
      <w:pPr>
        <w:spacing w:after="0" w:line="17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the 2028 Notes. The Notes will mature on September 1, 2028, and may be redeem at the Company’s option, in whole or in part at any time or from time to time on or after September 1, 2025 at a redemption price of 100% of the outstanding principal amount of the Notes to be redeemed plus accrued and unpaid interest payments otherwise payable thereon for the then-current quarterly interest period accrued to, but excluding, the date fixed for redemption The 2028 Notes bear interest at a rate of 8.00% per year payable quarterly on March 1, June 1, September 1 and December 1 of each year and trade on the Nasdaq Global Market under the trading symbol “NEWTI.”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2029 Notes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8.50% 2029 Notes, The 8.50% 2029 Notes will mature on June 1, 2029, and may be redeemed at the Company’s option, in whole or in part at any time or from time to time on or after June 1, 2027 at a redemption price of 100% of the outstanding principal amount of the 8.50% 2029 Notes to be redeemed plus accrued and unpaid interest payments otherwise payable thereon for the then-current quarterly interest period accrued to, but excluding, the date fixed for redemption. The 8.50% 2029 Notes bear interest at a rate of 8.50% per year payable quarterly on March 1, June 1, September 1 and December 1 of each year and trade on the Nasdaq Global Market under the trading symbol “NEWTG.”</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September 16, 2024, the Company completed a registered offering of $75.0 million aggregate principal amount of 8.625% 2029 Notes. These Notes will mature on October 15, 2029, and may be redeemed at the Company’s option, in whole or in part at any time or from time to time on or after October 15, 2026 at a redemption price of 100% of the outstanding principal amount of the 8.625% 2029 Notes to be redeemed plus accrued and unpaid interest payments otherwise payable thereon for the then-current quarterly interest period accrued to, but excluding, the date fixed for redemption. The 8.625% 2029 Notes bear interest at a rate of 8.625% per year, payable quarterly on January 15, April 15, July 15, and October 15 each year and trade on the Nasdaq Global Market under the trading symbol “NEWTH.”</w:t>
      </w:r>
    </w:p>
    <w:p>
      <w:pPr>
        <w:spacing w:after="0" w:line="16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Set forth below is a summary of the material terms of the 2026 Notes, 2028 Notes and 2029 Notes. All references to the “Notes” refer to the 2026 Notes, 2028 Notes and 2029 Notes and to the “Indenture” refer to the 2026 Notes Indenture, the 2028 Notes and the 2029 Notes Indentures collectively, unless otherwise indicated.</w:t>
      </w:r>
    </w:p>
    <w:p>
      <w:pPr>
        <w:sectPr>
          <w:pgSz w:w="11900" w:h="16838" w:orient="portrait"/>
          <w:cols w:equalWidth="0" w:num="1">
            <w:col w:w="11260"/>
          </w:cols>
          <w:pgMar w:left="300" w:top="1162"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Indenture provides that any debt securities proposed to be sold may be issued under the Indenture in one or more series.</w:t>
      </w:r>
    </w:p>
    <w:p>
      <w:pPr>
        <w:spacing w:after="0" w:line="115"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from time to time. Debt securities issued under the Indenture, when a single trustee is acting for all debt securities issued under the Indentures,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will extend only to the one or more series of indenture securities for which it is acting as trustee. If two or more trustees are acting under the Indenture, then the indenture securities for which each trustee is acting would be treated as if issued under separate indenture.</w:t>
      </w:r>
    </w:p>
    <w:p>
      <w:pPr>
        <w:spacing w:after="0" w:line="93"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We refer you to the applicable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71" w:lineRule="exact"/>
        <w:rPr>
          <w:sz w:val="20"/>
          <w:szCs w:val="20"/>
          <w:color w:val="auto"/>
        </w:rPr>
      </w:pPr>
    </w:p>
    <w:p>
      <w:pPr>
        <w:ind w:right="240" w:firstLine="350"/>
        <w:spacing w:after="0" w:line="287"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117"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Notes of each series may be redeemed in whole or in part at any time or from time to time at our option, as set forth above. If we redeem only some of the Notes of any series, the trustee or, with respect to global securities, DTC will determine the method for selection of the particular Notes to be redeemed, in accordance with the Indenture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7"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Each Note was issued in book-entry form and represented by a global security that we deposited with and registered in the name of The Depository Trust Company, New York, New York, known as DTC, or its nominee. A global security may not be transferred to or registered in the name of anyone other than the depositary or its nominee, unless special termination situations arise. As a result of these arrangements, the depositary, or its nominee, is the sole registered owner and holder of all the Notes represented by a global security, and investors are permitted to own only beneficial interests in a global security. For more information about these arrangements, see “Description of Notes — Book-Entry Procedures”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7" w:lineRule="exact"/>
        <w:rPr>
          <w:sz w:val="20"/>
          <w:szCs w:val="20"/>
          <w:color w:val="auto"/>
        </w:rPr>
      </w:pPr>
    </w:p>
    <w:p>
      <w:pPr>
        <w:ind w:right="400" w:firstLine="350"/>
        <w:spacing w:after="0" w:line="287" w:lineRule="auto"/>
        <w:rPr>
          <w:sz w:val="20"/>
          <w:szCs w:val="20"/>
          <w:color w:val="auto"/>
        </w:rPr>
      </w:pPr>
      <w:r>
        <w:rPr>
          <w:rFonts w:ascii="Times New Roman" w:cs="Times New Roman" w:eastAsia="Times New Roman" w:hAnsi="Times New Roman"/>
          <w:sz w:val="14"/>
          <w:szCs w:val="14"/>
          <w:color w:val="auto"/>
        </w:rPr>
        <w:t>Holders will have rights if an Event of Default occurs in respect of the Notes, as described later in this subsection. The term “Event of Default” in respect of the Notes includes any of the following:</w:t>
      </w:r>
    </w:p>
    <w:p>
      <w:pPr>
        <w:spacing w:after="0" w:line="50" w:lineRule="exact"/>
        <w:rPr>
          <w:sz w:val="20"/>
          <w:szCs w:val="20"/>
          <w:color w:val="auto"/>
        </w:rPr>
      </w:pPr>
    </w:p>
    <w:p>
      <w:pPr>
        <w:ind w:left="840" w:hanging="439"/>
        <w:spacing w:after="0"/>
        <w:tabs>
          <w:tab w:leader="none" w:pos="8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premium, if any, on) any Note on its due date and such default is not cured within 5 days of its due date.</w:t>
      </w:r>
    </w:p>
    <w:p>
      <w:pPr>
        <w:spacing w:after="0" w:line="189"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any Note when due, and such default is not cured within 30 days of its due date.</w:t>
      </w:r>
    </w:p>
    <w:p>
      <w:pPr>
        <w:spacing w:after="0" w:line="104" w:lineRule="exact"/>
        <w:rPr>
          <w:rFonts w:ascii="Times New Roman" w:cs="Times New Roman" w:eastAsia="Times New Roman" w:hAnsi="Times New Roman"/>
          <w:sz w:val="14"/>
          <w:szCs w:val="14"/>
          <w:color w:val="auto"/>
        </w:rPr>
      </w:pPr>
    </w:p>
    <w:p>
      <w:pPr>
        <w:ind w:left="840" w:right="140" w:hanging="439"/>
        <w:spacing w:after="0" w:line="255" w:lineRule="auto"/>
        <w:tabs>
          <w:tab w:leader="none" w:pos="8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any other covenant with respect to the Notes for 60 days after we receive a written notice of default stating we are in breach. The notice must be sent by either the trustee or holders of at least 25.0% of the principal amount of the Notes.</w:t>
      </w:r>
    </w:p>
    <w:p>
      <w:pPr>
        <w:sectPr>
          <w:pgSz w:w="11900" w:h="16838" w:orient="portrait"/>
          <w:cols w:equalWidth="0" w:num="1">
            <w:col w:w="11280"/>
          </w:cols>
          <w:pgMar w:left="300" w:top="1141" w:right="319" w:bottom="1440" w:gutter="0" w:footer="0" w:header="0"/>
        </w:sectPr>
      </w:pPr>
    </w:p>
    <w:bookmarkStart w:id="188" w:name="page189"/>
    <w:bookmarkEnd w:id="188"/>
    <w:p>
      <w:pPr>
        <w:ind w:left="840" w:right="140" w:hanging="439"/>
        <w:spacing w:after="0" w:line="239" w:lineRule="auto"/>
        <w:tabs>
          <w:tab w:leader="none" w:pos="8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 in the case of certain orders or decrees entered against us under any bankruptcy law, such order or decree remains undischarged or unstayed for a period of 90 days.</w:t>
      </w:r>
    </w:p>
    <w:p>
      <w:pPr>
        <w:spacing w:after="0" w:line="93" w:lineRule="exact"/>
        <w:rPr>
          <w:rFonts w:ascii="Times New Roman" w:cs="Times New Roman" w:eastAsia="Times New Roman" w:hAnsi="Times New Roman"/>
          <w:sz w:val="14"/>
          <w:szCs w:val="14"/>
          <w:color w:val="auto"/>
        </w:rPr>
      </w:pPr>
    </w:p>
    <w:p>
      <w:pPr>
        <w:ind w:left="840" w:right="80" w:hanging="439"/>
        <w:spacing w:after="0" w:line="255" w:lineRule="auto"/>
        <w:tabs>
          <w:tab w:leader="none" w:pos="8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2026 Notes only, on the last business day of each of twenty-four consecutive calendar months, the Notes have an asset coverage, as defined in the 1940 Act, of less than 100% after giving effect to any exemptive relief granted to us by the SEC.</w:t>
      </w:r>
    </w:p>
    <w:p>
      <w:pPr>
        <w:spacing w:after="0" w:line="167"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An Event of Default for one series of the Notes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Remedies if an Event of Default Occurs</w:t>
      </w:r>
    </w:p>
    <w:p>
      <w:pPr>
        <w:spacing w:after="0" w:line="117"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If an Event of Default has occurred and is continuing, the trustee or the holders of not less than 25% in principal amount of any series of the Notes may declare the entire principal amount of all the Notes to be due and immediately payable. This is called a declaration of acceleration of maturity. In certain circumstances, a declaration of acceleration of maturity may be canceled by the holders of a majority in principal amount of the Notes of any series if (1) we have deposited with the trustee all amounts due and owing with respect to such Notes (other than principal that has become due solely by reason of such acceleration) and certain other amounts, (2) any other Events of Default have been cured or waived, and (3) we have deposited with the trustee a sum sufficient to pay all sums paid or advanced by the trustee and the reasonable compensation, expenses, disbursements, and advances of the trustee, its agents, and counsel as required under the Indenture in connection with the rescinded Event of Default.</w:t>
      </w:r>
    </w:p>
    <w:p>
      <w:pPr>
        <w:spacing w:after="0" w:line="9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trustee is not required to take any action under an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Notes of such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Before a holder is allowed to bypass the trustee and bring its own lawsuit or other formal legal action or take other steps to enforce its rights or protect its interests relating to any series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the following must occur:</w:t>
      </w:r>
    </w:p>
    <w:p>
      <w:pPr>
        <w:spacing w:after="0" w:line="90" w:lineRule="exact"/>
        <w:rPr>
          <w:sz w:val="20"/>
          <w:szCs w:val="20"/>
          <w:color w:val="auto"/>
        </w:rPr>
      </w:pPr>
    </w:p>
    <w:p>
      <w:pPr>
        <w:ind w:left="840" w:hanging="439"/>
        <w:spacing w:after="0"/>
        <w:tabs>
          <w:tab w:leader="none" w:pos="8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holder must give the trustee written notice that an Event of Default has occurred and remains uncured;</w:t>
      </w:r>
    </w:p>
    <w:p>
      <w:pPr>
        <w:spacing w:after="0" w:line="189" w:lineRule="exact"/>
        <w:rPr>
          <w:rFonts w:ascii="Times New Roman" w:cs="Times New Roman" w:eastAsia="Times New Roman" w:hAnsi="Times New Roman"/>
          <w:sz w:val="14"/>
          <w:szCs w:val="14"/>
          <w:color w:val="auto"/>
        </w:rPr>
      </w:pPr>
    </w:p>
    <w:p>
      <w:pPr>
        <w:ind w:left="840" w:right="260" w:hanging="439"/>
        <w:spacing w:after="0" w:line="239" w:lineRule="auto"/>
        <w:tabs>
          <w:tab w:leader="none" w:pos="8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such Notes must make a written request that the trustee take action because of the default and must offer the trustee indemnity, security or both reasonably satisfactory to it against the cost and other liabilities of taking that action;</w:t>
      </w:r>
    </w:p>
    <w:p>
      <w:pPr>
        <w:spacing w:after="0" w:line="93"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 and/or security; and</w:t>
      </w:r>
    </w:p>
    <w:p>
      <w:pPr>
        <w:spacing w:after="0" w:line="189"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such Notes must not have given the trustee a direction inconsistent with the above notice during that 60-day period.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Waiver of Default</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holders of a majority in principal amount of the Notes of any series may waive any past defaults other than a default:</w:t>
      </w:r>
    </w:p>
    <w:p>
      <w:pPr>
        <w:spacing w:after="0" w:line="115" w:lineRule="exact"/>
        <w:rPr>
          <w:sz w:val="20"/>
          <w:szCs w:val="20"/>
          <w:color w:val="auto"/>
        </w:rPr>
      </w:pPr>
    </w:p>
    <w:p>
      <w:pPr>
        <w:ind w:left="840" w:hanging="439"/>
        <w:spacing w:after="0"/>
        <w:tabs>
          <w:tab w:leader="none" w:pos="8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principal (or premium, if any) or interest; or</w:t>
      </w:r>
    </w:p>
    <w:p>
      <w:pPr>
        <w:sectPr>
          <w:pgSz w:w="11900" w:h="16838" w:orient="portrait"/>
          <w:cols w:equalWidth="0" w:num="1">
            <w:col w:w="11260"/>
          </w:cols>
          <w:pgMar w:left="300" w:top="1249" w:right="339" w:bottom="1440" w:gutter="0" w:footer="0" w:header="0"/>
        </w:sectPr>
      </w:pPr>
    </w:p>
    <w:bookmarkStart w:id="189" w:name="page190"/>
    <w:bookmarkEnd w:id="189"/>
    <w:p>
      <w:pPr>
        <w:ind w:left="840" w:hanging="439"/>
        <w:spacing w:after="0"/>
        <w:tabs>
          <w:tab w:leader="none" w:pos="8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that cannot be modified or amended without the consent of each holder of the affected series.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we may not take any of these actions unless all the following conditions are met:</w:t>
      </w:r>
    </w:p>
    <w:p>
      <w:pPr>
        <w:spacing w:after="0" w:line="101" w:lineRule="exact"/>
        <w:rPr>
          <w:sz w:val="20"/>
          <w:szCs w:val="20"/>
          <w:color w:val="auto"/>
        </w:rPr>
      </w:pPr>
    </w:p>
    <w:p>
      <w:pPr>
        <w:ind w:left="840" w:right="80" w:hanging="439"/>
        <w:spacing w:after="0" w:line="239" w:lineRule="auto"/>
        <w:tabs>
          <w:tab w:leader="none" w:pos="8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convey or transfer our assets substantially as an entirety, the resulting entity must agree, in a supplemental indenture, to be legally responsible for our obligations under the Notes and the Indenture;</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p>
      <w:pPr>
        <w:spacing w:after="0" w:line="21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certain certificates and documents and an opinion of counsel.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Notes issued thereunder.</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Changes Requiring Holders’ Approval</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First, there are changes that we cannot make to the Notes without holders’ specific approval. The following is a list of those types of changes:</w:t>
      </w:r>
    </w:p>
    <w:p>
      <w:pPr>
        <w:spacing w:after="0" w:line="104" w:lineRule="exact"/>
        <w:rPr>
          <w:sz w:val="20"/>
          <w:szCs w:val="20"/>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interest on the Notes;</w:t>
      </w:r>
    </w:p>
    <w:p>
      <w:pPr>
        <w:spacing w:after="0" w:line="189" w:lineRule="exact"/>
        <w:rPr>
          <w:rFonts w:ascii="Times New Roman" w:cs="Times New Roman" w:eastAsia="Times New Roman" w:hAnsi="Times New Roman"/>
          <w:sz w:val="14"/>
          <w:szCs w:val="14"/>
          <w:color w:val="auto"/>
        </w:rPr>
      </w:pPr>
    </w:p>
    <w:p>
      <w:pPr>
        <w:ind w:left="1060" w:hanging="436"/>
        <w:spacing w:after="0"/>
        <w:tabs>
          <w:tab w:leader="none" w:pos="106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the Notes;</w:t>
      </w:r>
    </w:p>
    <w:p>
      <w:pPr>
        <w:spacing w:after="0" w:line="178" w:lineRule="exact"/>
        <w:rPr>
          <w:rFonts w:ascii="Times New Roman" w:cs="Times New Roman" w:eastAsia="Times New Roman" w:hAnsi="Times New Roman"/>
          <w:sz w:val="14"/>
          <w:szCs w:val="14"/>
          <w:color w:val="auto"/>
        </w:rPr>
      </w:pPr>
    </w:p>
    <w:p>
      <w:pPr>
        <w:ind w:left="1060" w:hanging="436"/>
        <w:spacing w:after="0"/>
        <w:tabs>
          <w:tab w:leader="none" w:pos="1060"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Note following a default;</w:t>
      </w:r>
    </w:p>
    <w:p>
      <w:pPr>
        <w:spacing w:after="0" w:line="11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Note;</w:t>
      </w:r>
    </w:p>
    <w:p>
      <w:pPr>
        <w:spacing w:after="0" w:line="178"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 holders right to sue for payment;</w:t>
      </w:r>
    </w:p>
    <w:p>
      <w:pPr>
        <w:spacing w:after="0" w:line="104"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modify or amend the Indenture; and</w:t>
      </w:r>
    </w:p>
    <w:p>
      <w:pPr>
        <w:spacing w:after="0" w:line="189"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Notes whose consent is needed to waive compliance with certain provisions of the Indenture or to waive certain defaults.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Changes Not Requiring Approval</w:t>
      </w:r>
    </w:p>
    <w:p>
      <w:pPr>
        <w:spacing w:after="0" w:line="127"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Notes. This type is limited to clarifications and certain other changes that would not adversely affect holders of the Notes in any material respect.</w:t>
      </w:r>
    </w:p>
    <w:p>
      <w:pPr>
        <w:spacing w:after="0" w:line="1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Any other change to the Indenture and the Notes would require the following approval:</w:t>
      </w:r>
    </w:p>
    <w:p>
      <w:pPr>
        <w:spacing w:after="0" w:line="115" w:lineRule="exact"/>
        <w:rPr>
          <w:sz w:val="20"/>
          <w:szCs w:val="20"/>
          <w:color w:val="auto"/>
        </w:rPr>
      </w:pPr>
    </w:p>
    <w:p>
      <w:pPr>
        <w:ind w:left="840" w:hanging="439"/>
        <w:spacing w:after="0"/>
        <w:tabs>
          <w:tab w:leader="none" w:pos="8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Notes, it must be approved by the holders of a majority in principal amount of the Notes; and</w:t>
      </w:r>
    </w:p>
    <w:p>
      <w:pPr>
        <w:sectPr>
          <w:pgSz w:w="11900" w:h="16838" w:orient="portrait"/>
          <w:cols w:equalWidth="0" w:num="1">
            <w:col w:w="11180"/>
          </w:cols>
          <w:pgMar w:left="300" w:top="1249" w:right="419" w:bottom="1440" w:gutter="0" w:footer="0" w:header="0"/>
        </w:sectPr>
      </w:pPr>
    </w:p>
    <w:bookmarkStart w:id="190" w:name="page191"/>
    <w:bookmarkEnd w:id="190"/>
    <w:p>
      <w:pPr>
        <w:ind w:left="1180" w:hanging="429"/>
        <w:spacing w:after="0" w:line="239" w:lineRule="auto"/>
        <w:tabs>
          <w:tab w:leader="none" w:pos="11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25" w:lineRule="exact"/>
        <w:rPr>
          <w:sz w:val="20"/>
          <w:szCs w:val="20"/>
          <w:color w:val="auto"/>
        </w:rPr>
      </w:pPr>
    </w:p>
    <w:p>
      <w:pPr>
        <w:ind w:right="260" w:firstLine="350"/>
        <w:spacing w:after="0" w:line="270" w:lineRule="auto"/>
        <w:rPr>
          <w:sz w:val="20"/>
          <w:szCs w:val="20"/>
          <w:color w:val="auto"/>
        </w:rPr>
      </w:pPr>
      <w:r>
        <w:rPr>
          <w:rFonts w:ascii="Times New Roman" w:cs="Times New Roman" w:eastAsia="Times New Roman" w:hAnsi="Times New Roman"/>
          <w:sz w:val="14"/>
          <w:szCs w:val="14"/>
          <w:color w:val="auto"/>
        </w:rPr>
        <w:t>The holders of a majority in principal amount of any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Notes — Modification or Waiver — Changes Requiring Holders’ Approval.”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17" w:lineRule="exact"/>
        <w:rPr>
          <w:sz w:val="20"/>
          <w:szCs w:val="20"/>
          <w:color w:val="auto"/>
        </w:rPr>
      </w:pPr>
    </w:p>
    <w:p>
      <w:pPr>
        <w:ind w:right="160" w:firstLine="350"/>
        <w:spacing w:after="0" w:line="261" w:lineRule="auto"/>
        <w:rPr>
          <w:sz w:val="20"/>
          <w:szCs w:val="20"/>
          <w:color w:val="auto"/>
        </w:rPr>
      </w:pPr>
      <w:r>
        <w:rPr>
          <w:rFonts w:ascii="Times New Roman" w:cs="Times New Roman" w:eastAsia="Times New Roman" w:hAnsi="Times New Roman"/>
          <w:sz w:val="14"/>
          <w:szCs w:val="14"/>
          <w:color w:val="auto"/>
        </w:rPr>
        <w:t>The following defeasance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Notes nonetheless would be guaranteed to receive the principal and interest owed to them.</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Covenant Defeasance</w:t>
      </w:r>
    </w:p>
    <w:p>
      <w:pPr>
        <w:spacing w:after="0" w:line="127"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auto"/>
        </w:rPr>
        <w:t>Under current U.S. federal income tax law and the Indenture, we can make the deposit described below and be released from some of the restrictive covenants in the Indenture under which the Notes were issued. This is called “covenant defeasance.” In that event, holders would lose the protection of those restrictive covenants but would gain the protection of having money and government securities set aside in trust to repay Notes. In order to achieve covenant defeasance, the following must occur:</w:t>
      </w:r>
    </w:p>
    <w:p>
      <w:pPr>
        <w:spacing w:after="0" w:line="72" w:lineRule="exact"/>
        <w:rPr>
          <w:sz w:val="20"/>
          <w:szCs w:val="20"/>
          <w:color w:val="auto"/>
        </w:rPr>
      </w:pPr>
    </w:p>
    <w:p>
      <w:pPr>
        <w:ind w:left="840" w:right="100" w:hanging="439"/>
        <w:spacing w:after="0" w:line="228" w:lineRule="auto"/>
        <w:tabs>
          <w:tab w:leader="none" w:pos="8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cash and U.S. government or U.S. government agency notes or bonds that will, in the written opinion of a nationally recognized accounting firm, generate enough cash to make interest, principal and any other payments on the Notes on their various due dates;</w:t>
      </w:r>
    </w:p>
    <w:p>
      <w:pPr>
        <w:spacing w:after="0" w:line="167" w:lineRule="exact"/>
        <w:rPr>
          <w:rFonts w:ascii="Times New Roman" w:cs="Times New Roman" w:eastAsia="Times New Roman" w:hAnsi="Times New Roman"/>
          <w:sz w:val="14"/>
          <w:szCs w:val="14"/>
          <w:color w:val="auto"/>
        </w:rPr>
      </w:pPr>
    </w:p>
    <w:p>
      <w:pPr>
        <w:ind w:left="1180" w:right="20" w:hanging="429"/>
        <w:spacing w:after="0" w:line="239" w:lineRule="auto"/>
        <w:tabs>
          <w:tab w:leader="none" w:pos="118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the holder be taxed on the Notes any differently than if we did not make the deposit;</w:t>
      </w:r>
    </w:p>
    <w:p>
      <w:pPr>
        <w:spacing w:after="0" w:line="103" w:lineRule="exact"/>
        <w:rPr>
          <w:rFonts w:ascii="Times New Roman" w:cs="Times New Roman" w:eastAsia="Times New Roman" w:hAnsi="Times New Roman"/>
          <w:sz w:val="14"/>
          <w:szCs w:val="14"/>
          <w:color w:val="auto"/>
        </w:rPr>
      </w:pPr>
    </w:p>
    <w:p>
      <w:pPr>
        <w:ind w:left="840" w:right="460" w:hanging="439"/>
        <w:spacing w:after="0" w:line="239" w:lineRule="auto"/>
        <w:tabs>
          <w:tab w:leader="none" w:pos="8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67"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the Indenture or any of our other material agreements or instruments;</w:t>
      </w:r>
    </w:p>
    <w:p>
      <w:pPr>
        <w:spacing w:after="0" w:line="114" w:lineRule="exact"/>
        <w:rPr>
          <w:rFonts w:ascii="Times New Roman" w:cs="Times New Roman" w:eastAsia="Times New Roman" w:hAnsi="Times New Roman"/>
          <w:sz w:val="14"/>
          <w:szCs w:val="14"/>
          <w:color w:val="auto"/>
        </w:rPr>
      </w:pPr>
    </w:p>
    <w:p>
      <w:pPr>
        <w:ind w:left="840" w:right="280" w:hanging="439"/>
        <w:spacing w:after="0" w:line="239" w:lineRule="auto"/>
        <w:tabs>
          <w:tab w:leader="none" w:pos="8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78" w:lineRule="exact"/>
        <w:rPr>
          <w:sz w:val="20"/>
          <w:szCs w:val="20"/>
          <w:color w:val="auto"/>
        </w:rPr>
      </w:pPr>
    </w:p>
    <w:p>
      <w:pPr>
        <w:ind w:right="220" w:firstLine="350"/>
        <w:spacing w:after="0" w:line="270" w:lineRule="auto"/>
        <w:rPr>
          <w:sz w:val="20"/>
          <w:szCs w:val="20"/>
          <w:color w:val="auto"/>
        </w:rPr>
      </w:pPr>
      <w:r>
        <w:rPr>
          <w:rFonts w:ascii="Times New Roman" w:cs="Times New Roman" w:eastAsia="Times New Roman" w:hAnsi="Times New Roman"/>
          <w:sz w:val="14"/>
          <w:szCs w:val="14"/>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holders may not be able to obtain payment of the shortfall.</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Full Defeasance</w:t>
      </w:r>
    </w:p>
    <w:p>
      <w:pPr>
        <w:sectPr>
          <w:pgSz w:w="11900" w:h="16838" w:orient="portrait"/>
          <w:cols w:equalWidth="0" w:num="1">
            <w:col w:w="11360"/>
          </w:cols>
          <w:pgMar w:left="300" w:top="1249" w:right="239" w:bottom="1440" w:gutter="0" w:footer="0" w:header="0"/>
        </w:sectPr>
      </w:pPr>
    </w:p>
    <w:bookmarkStart w:id="191" w:name="page192"/>
    <w:bookmarkEnd w:id="191"/>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If there is a change in U.S. federal income tax law, as described below, we can legally release ourselves from all payment and other obligations on the Notes (called “full defeasance”) if we put in place the following other arrangements for holders to be repaid:</w:t>
      </w:r>
    </w:p>
    <w:p>
      <w:pPr>
        <w:spacing w:after="0" w:line="50" w:lineRule="exact"/>
        <w:rPr>
          <w:sz w:val="20"/>
          <w:szCs w:val="20"/>
          <w:color w:val="auto"/>
        </w:rPr>
      </w:pPr>
    </w:p>
    <w:p>
      <w:pPr>
        <w:ind w:left="840" w:right="100" w:hanging="439"/>
        <w:spacing w:after="0" w:line="233" w:lineRule="auto"/>
        <w:tabs>
          <w:tab w:leader="none" w:pos="8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Notes are denominated in U.S. dollars, we must deposit in trust for the benefit of all holders of the Notes a combination of money and U.S. government or U.S. government agency notes or bonds that will, in the written opinion of a nationally recognized accounting firm, generate enough cash to make interest, principal and any other payments on the Notes on their various due dates;</w:t>
      </w:r>
    </w:p>
    <w:p>
      <w:pPr>
        <w:spacing w:after="0" w:line="167" w:lineRule="exact"/>
        <w:rPr>
          <w:rFonts w:ascii="Times New Roman" w:cs="Times New Roman" w:eastAsia="Times New Roman" w:hAnsi="Times New Roman"/>
          <w:sz w:val="14"/>
          <w:szCs w:val="14"/>
          <w:color w:val="auto"/>
        </w:rPr>
      </w:pPr>
    </w:p>
    <w:p>
      <w:pPr>
        <w:ind w:left="1180" w:hanging="429"/>
        <w:spacing w:after="0" w:line="226" w:lineRule="auto"/>
        <w:tabs>
          <w:tab w:leader="none" w:pos="118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confirming that there has been a change in current U.S. federal income tax law or an IRS ruling that allows us to make the above depo without causing the holders to be taxed on the Notes any differently than if we did not make the deposit. Under current U.S. federal income tax law the deposit and our legal release from the Notes would be treated as though we paid a holder its share of the cash and notes or bonds at the time the cash and notes or bonds were deposited in trust in exchange for Notes and holders would recognize gain or loss on the Notes at the time of the deposit;</w:t>
      </w:r>
    </w:p>
    <w:p>
      <w:pPr>
        <w:spacing w:after="0" w:line="83" w:lineRule="exact"/>
        <w:rPr>
          <w:rFonts w:ascii="Times New Roman" w:cs="Times New Roman" w:eastAsia="Times New Roman" w:hAnsi="Times New Roman"/>
          <w:sz w:val="14"/>
          <w:szCs w:val="14"/>
          <w:color w:val="auto"/>
        </w:rPr>
      </w:pPr>
    </w:p>
    <w:p>
      <w:pPr>
        <w:ind w:left="840" w:right="460" w:hanging="439"/>
        <w:spacing w:after="0" w:line="255" w:lineRule="auto"/>
        <w:tabs>
          <w:tab w:leader="none" w:pos="8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56" w:lineRule="exact"/>
        <w:rPr>
          <w:rFonts w:ascii="Times New Roman" w:cs="Times New Roman" w:eastAsia="Times New Roman" w:hAnsi="Times New Roman"/>
          <w:sz w:val="14"/>
          <w:szCs w:val="14"/>
          <w:color w:val="auto"/>
        </w:rPr>
      </w:pPr>
    </w:p>
    <w:p>
      <w:pPr>
        <w:ind w:left="840" w:hanging="439"/>
        <w:spacing w:after="0"/>
        <w:tabs>
          <w:tab w:leader="none" w:pos="8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constitute a default under, the Indenture or any of our other material agreements or instruments; and</w:t>
      </w:r>
    </w:p>
    <w:p>
      <w:pPr>
        <w:spacing w:after="0" w:line="104" w:lineRule="exact"/>
        <w:rPr>
          <w:rFonts w:ascii="Times New Roman" w:cs="Times New Roman" w:eastAsia="Times New Roman" w:hAnsi="Times New Roman"/>
          <w:sz w:val="14"/>
          <w:szCs w:val="14"/>
          <w:color w:val="auto"/>
        </w:rPr>
      </w:pPr>
    </w:p>
    <w:p>
      <w:pPr>
        <w:ind w:left="840" w:right="280" w:hanging="439"/>
        <w:spacing w:after="0" w:line="255" w:lineRule="auto"/>
        <w:tabs>
          <w:tab w:leader="none" w:pos="8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Notes shall have occurred and be continuing and no defaults or events of default related to bankruptcy, insolvency, or reorganization shall occur during the next 90 days.</w:t>
      </w:r>
    </w:p>
    <w:p>
      <w:pPr>
        <w:spacing w:after="0" w:line="167"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 If the Notes were subordinated as described later under “Description of Notes — Indenture Provisions — Ranking,” such subordination would not prevent the trustee under the Indenture from applying the funds available to it from the deposit referred to in the first bullet of the preceding paragraph to the payment of amounts due in respect of such Notes for the benefit of the subordinated debtholders.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Covenants Applicable to the 2026 Notes</w:t>
      </w:r>
    </w:p>
    <w:p>
      <w:pPr>
        <w:spacing w:after="0" w:line="106" w:lineRule="exact"/>
        <w:rPr>
          <w:sz w:val="20"/>
          <w:szCs w:val="20"/>
          <w:color w:val="auto"/>
        </w:rPr>
      </w:pPr>
    </w:p>
    <w:p>
      <w:pPr>
        <w:ind w:left="840" w:right="180" w:hanging="439"/>
        <w:spacing w:after="0" w:line="226" w:lineRule="auto"/>
        <w:tabs>
          <w:tab w:leader="none" w:pos="8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2026 Notes, we agree that for the period of time during which the 2026 Notes are outstanding, we will not violate Section 18(a)(1)(A) as modified by Section 61(a) of the 1940 Act or any successor provisions, but giving effect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 See “Risk Factors — We are subject to 150% asset coverage requirements due to covenants contained in certain of our outstanding debt” in this Form 10-K.</w:t>
      </w:r>
    </w:p>
    <w:p>
      <w:pPr>
        <w:sectPr>
          <w:pgSz w:w="11900" w:h="16838" w:orient="portrait"/>
          <w:cols w:equalWidth="0" w:num="1">
            <w:col w:w="11360"/>
          </w:cols>
          <w:pgMar w:left="300" w:top="1260" w:right="239" w:bottom="1440" w:gutter="0" w:footer="0" w:header="0"/>
        </w:sectPr>
      </w:pPr>
    </w:p>
    <w:bookmarkStart w:id="192" w:name="page193"/>
    <w:bookmarkEnd w:id="192"/>
    <w:p>
      <w:pPr>
        <w:ind w:left="840" w:right="40" w:hanging="439"/>
        <w:spacing w:after="0" w:line="215" w:lineRule="auto"/>
        <w:tabs>
          <w:tab w:leader="none" w:pos="8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agree that for the period of time during which the 2026 Notes are outstanding, pursuant to Section 18(a)(1)(B) as modified by Section 61(a) of the Investment Company Act or any successor provisions thereto of the Investment Company Act, the Company will not declare any dividend (except a dividend payable in stock of the issuer), or declare any other distribution, upon a class of the capital stock of the Company, or purchase any such capital stock, unless, in every such case, at the time of the declaration of any such dividend or distribution, or at the time of any such purchase, the Company has an asset coverage (as defined in the Investment Company Act) of at least the threshold specified in Section 18(a)(1)</w:t>
      </w:r>
    </w:p>
    <w:p>
      <w:pPr>
        <w:spacing w:after="0" w:line="1" w:lineRule="exact"/>
        <w:rPr>
          <w:rFonts w:ascii="Times New Roman" w:cs="Times New Roman" w:eastAsia="Times New Roman" w:hAnsi="Times New Roman"/>
          <w:sz w:val="14"/>
          <w:szCs w:val="14"/>
          <w:color w:val="auto"/>
        </w:rPr>
      </w:pPr>
    </w:p>
    <w:p>
      <w:pPr>
        <w:ind w:left="840"/>
        <w:spacing w:after="0" w:line="2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as modified by Section 61(a) of the Investment Company Act or any successor provisions thereto of the Investment Company Act, as such obligation may be amended or superseded, after deducting the amount of such dividend, distribution or purchase price, as the case may be, and in each case giving effect to (i) any exemptive relief granted to the Company by the Commission, and (ii) any SEC no-action relief granted by the Commission to another business development company (or to the Company if it determines to seek such similar no-action or other relief) permitting the business development company to declare any cash dividend or distribution notwithstanding the prohibition contained in Section 18(a)</w:t>
      </w:r>
    </w:p>
    <w:p>
      <w:pPr>
        <w:spacing w:after="0" w:line="1" w:lineRule="exact"/>
        <w:rPr>
          <w:rFonts w:ascii="Times New Roman" w:cs="Times New Roman" w:eastAsia="Times New Roman" w:hAnsi="Times New Roman"/>
          <w:sz w:val="14"/>
          <w:szCs w:val="14"/>
          <w:color w:val="auto"/>
        </w:rPr>
      </w:pPr>
    </w:p>
    <w:p>
      <w:pPr>
        <w:ind w:left="840" w:right="2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(1)(B) as modified by Section 61(a) of the Investment Company Act, as such obligation may be amended or superseded, in order to maintain such business development company’s status as a regulated investment company under Subchapter M of the Code.</w:t>
      </w:r>
    </w:p>
    <w:p>
      <w:pPr>
        <w:spacing w:after="0" w:line="1" w:lineRule="exact"/>
        <w:rPr>
          <w:rFonts w:ascii="Times New Roman" w:cs="Times New Roman" w:eastAsia="Times New Roman" w:hAnsi="Times New Roman"/>
          <w:sz w:val="14"/>
          <w:szCs w:val="14"/>
          <w:color w:val="auto"/>
        </w:rPr>
      </w:pPr>
    </w:p>
    <w:p>
      <w:pPr>
        <w:ind w:left="840" w:right="20" w:hanging="439"/>
        <w:spacing w:after="0" w:line="225" w:lineRule="auto"/>
        <w:tabs>
          <w:tab w:leader="none" w:pos="8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Covenants Applicable to the 2028 Notes and the 2029 Notes</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Sale or Issuance of Voting Stock of the Bank</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Indenture provides that the Company may not effect a “Sale of the Bank.” For purposes of the Indenture:</w:t>
      </w:r>
    </w:p>
    <w:p>
      <w:pPr>
        <w:spacing w:after="0" w:line="136" w:lineRule="exact"/>
        <w:rPr>
          <w:sz w:val="20"/>
          <w:szCs w:val="20"/>
          <w:color w:val="auto"/>
        </w:rPr>
      </w:pPr>
    </w:p>
    <w:p>
      <w:pPr>
        <w:ind w:right="120" w:firstLine="350"/>
        <w:spacing w:after="0" w:line="259" w:lineRule="auto"/>
        <w:rPr>
          <w:sz w:val="20"/>
          <w:szCs w:val="20"/>
          <w:color w:val="auto"/>
        </w:rPr>
      </w:pPr>
      <w:r>
        <w:rPr>
          <w:rFonts w:ascii="Times New Roman" w:cs="Times New Roman" w:eastAsia="Times New Roman" w:hAnsi="Times New Roman"/>
          <w:sz w:val="14"/>
          <w:szCs w:val="14"/>
          <w:color w:val="auto"/>
        </w:rPr>
        <w:t>“Sale of the Bank” means (i) the sale, transfer, lease or conveyance by the Company, or an issuance of stock by the Material Bank Subsidiary, in either case resulting in ownership by the Company of securities that provides it with less than 80% of the Material Bank Subsidiary’s outstanding voting equity securities, calculated on the basis of voting power; provided, that, a merger of the Company or the conveyance, transfer or lease of all or substantially all of the Company’s properties and assets will not constitute a Sale of the Bank so long as the Company satisfies the conditions described under the heading “—Consolidation, Merger and Sale of Assets” or (ii) the lease, sale, assignment or transfer of all or substantially all of the Material Bank Subsidiary’ properties and assets to any person (other than the Company) in a single transaction or series of related transactions, unless, upon such lease, sale, assignment or transfer, the Company will own, directly or indirectly, at least 80% of the issued and outstanding Voting Stock of that person.</w:t>
      </w:r>
    </w:p>
    <w:p>
      <w:pPr>
        <w:spacing w:after="0" w:line="93" w:lineRule="exact"/>
        <w:rPr>
          <w:sz w:val="20"/>
          <w:szCs w:val="20"/>
          <w:color w:val="auto"/>
        </w:rPr>
      </w:pPr>
    </w:p>
    <w:p>
      <w:pPr>
        <w:ind w:right="320" w:firstLine="350"/>
        <w:spacing w:after="0" w:line="287" w:lineRule="auto"/>
        <w:rPr>
          <w:sz w:val="20"/>
          <w:szCs w:val="20"/>
          <w:color w:val="auto"/>
        </w:rPr>
      </w:pPr>
      <w:r>
        <w:rPr>
          <w:rFonts w:ascii="Times New Roman" w:cs="Times New Roman" w:eastAsia="Times New Roman" w:hAnsi="Times New Roman"/>
          <w:sz w:val="14"/>
          <w:szCs w:val="14"/>
          <w:color w:val="auto"/>
        </w:rPr>
        <w:t>“Voting Stock” means stock which ordinarily has voting power for the election of directors, managers, trustees or equivalent of such corporation, whether at all times or only so long as no senior class of stock has such voting power by reason of any contingency.</w:t>
      </w:r>
    </w:p>
    <w:p>
      <w:pPr>
        <w:spacing w:after="0" w:line="61"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“Material Bank Subsidiary” for purposes of the Indenture means Newtek Bank, National Association or any successor thereof and any other subsidiary of the Company that (x) is a “bank” as defined in Section 3 of the Federal Deposit Insurance Act and (y) that has consolidated assets equal to 30% or more of the Company’s consolidated assets.</w:t>
      </w:r>
    </w:p>
    <w:p>
      <w:pPr>
        <w:spacing w:after="0" w:line="1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Limitation Upon Liens on Certain Capital Stock</w:t>
      </w:r>
    </w:p>
    <w:p>
      <w:pPr>
        <w:spacing w:after="0" w:line="127"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The applicable Indenture provides that the Company will not create, assume, incur or suffer to be created, assumed or incurred or to exist, any pledge, encumbrance or lien, as security for indebtedness for borrowed money upon any shares of Voting Stock of a Material Bank Subsidiary (or securities convertible into, or options, warrants or rights to subscribe for or purchase shares of such Voting Stock), directly or indirectly (except for directors’ qualifying shares), without making effective provision whereby the Notes will be equally and ratably secured with</w:t>
      </w:r>
    </w:p>
    <w:p>
      <w:pPr>
        <w:sectPr>
          <w:pgSz w:w="11900" w:h="16838" w:orient="portrait"/>
          <w:cols w:equalWidth="0" w:num="1">
            <w:col w:w="11240"/>
          </w:cols>
          <w:pgMar w:left="300" w:top="1250" w:right="359" w:bottom="1440" w:gutter="0" w:footer="0" w:header="0"/>
        </w:sectPr>
      </w:pPr>
    </w:p>
    <w:bookmarkStart w:id="193" w:name="page194"/>
    <w:bookmarkEnd w:id="193"/>
    <w:p>
      <w:pPr>
        <w:spacing w:after="0" w:line="271" w:lineRule="auto"/>
        <w:rPr>
          <w:sz w:val="20"/>
          <w:szCs w:val="20"/>
          <w:color w:val="auto"/>
        </w:rPr>
      </w:pPr>
      <w:r>
        <w:rPr>
          <w:rFonts w:ascii="Times New Roman" w:cs="Times New Roman" w:eastAsia="Times New Roman" w:hAnsi="Times New Roman"/>
          <w:sz w:val="14"/>
          <w:szCs w:val="14"/>
          <w:color w:val="auto"/>
        </w:rPr>
        <w:t xml:space="preserve">any and all such indebtedness if, treating such pledge, encumbrance or lien as a transfer of the shares of, or securities convertible into or options, warrants or rights to subscribe for or purchase shares of, Voting Stock of a Material Bank Subsidiary subject thereto to the secured party and after giving effect to the issuance of the maximum number of shares of Voting Stock of a Material Bank Subsidiary issuable upon the exercise of all such convertible securities, options, warrants or rights, the Company would not continue to own at least 80% of the issued and outstanding Voting Stock of a Material Bank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4"/>
          <w:szCs w:val="14"/>
          <w:color w:val="auto"/>
        </w:rPr>
        <w:t>, that, notwithstanding the foregoing, the Company may incur or suffer to be incurred or to exist upon such capital stock:</w:t>
      </w:r>
    </w:p>
    <w:p>
      <w:pPr>
        <w:spacing w:after="0" w:line="138" w:lineRule="exact"/>
        <w:rPr>
          <w:sz w:val="20"/>
          <w:szCs w:val="20"/>
          <w:color w:val="auto"/>
        </w:rPr>
      </w:pPr>
    </w:p>
    <w:p>
      <w:pPr>
        <w:ind w:right="40" w:firstLine="514"/>
        <w:spacing w:after="0" w:line="271" w:lineRule="auto"/>
        <w:tabs>
          <w:tab w:leader="none" w:pos="709"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upon any such shares of Voting Stock to secure indebtedness of the Company or a Material Bank Subsidiary as part of the purchase price of such shares of Voting Stock, or incurred prior to, at the time of or within 120 days after acquisition thereof for the purpose of financing all or any part of the purchase price thereof;</w:t>
      </w:r>
    </w:p>
    <w:p>
      <w:pPr>
        <w:spacing w:after="0" w:line="145" w:lineRule="exact"/>
        <w:rPr>
          <w:rFonts w:ascii="Times New Roman" w:cs="Times New Roman" w:eastAsia="Times New Roman" w:hAnsi="Times New Roman"/>
          <w:sz w:val="14"/>
          <w:szCs w:val="14"/>
          <w:color w:val="auto"/>
        </w:rPr>
      </w:pPr>
    </w:p>
    <w:p>
      <w:pPr>
        <w:ind w:firstLine="514"/>
        <w:spacing w:after="0" w:line="254" w:lineRule="auto"/>
        <w:tabs>
          <w:tab w:leader="none" w:pos="709"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 charges or levies (A) which are not yet due or payable without penalty, (B) which the Company is contesting in good faith by appropriate proceedings so long as the Company has set aside on its books such reserves as shall be required in respect thereof in accordance with generally accepted accounting principles or (C) which secure obligations of less than $1,000,000 in amount;</w:t>
      </w:r>
    </w:p>
    <w:p>
      <w:pPr>
        <w:spacing w:after="0" w:line="146" w:lineRule="exact"/>
        <w:rPr>
          <w:rFonts w:ascii="Times New Roman" w:cs="Times New Roman" w:eastAsia="Times New Roman" w:hAnsi="Times New Roman"/>
          <w:sz w:val="14"/>
          <w:szCs w:val="14"/>
          <w:color w:val="auto"/>
        </w:rPr>
      </w:pPr>
    </w:p>
    <w:p>
      <w:pPr>
        <w:jc w:val="both"/>
        <w:ind w:right="240" w:firstLine="514"/>
        <w:spacing w:after="0" w:line="254" w:lineRule="auto"/>
        <w:tabs>
          <w:tab w:leader="none" w:pos="709"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 of any judgment, if that judgment (A) is discharged, or stayed on appeal or otherwise, within 60 days, (B) is currently being contested in good faith by appropriate proceedings so long as the Company has set aside on its books such reserves as shall be required in respect thereof in conformity with generally accepted accounting principles or (C) involves claims of less than $1,000,000; or</w:t>
      </w:r>
    </w:p>
    <w:p>
      <w:pPr>
        <w:spacing w:after="0" w:line="157"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pledge or lien on the Voting Stock of a Material Bank Subsidiary to secure a loan or other extension of credit by a Material Bank Subsidiary.</w:t>
      </w:r>
    </w:p>
    <w:p>
      <w:pPr>
        <w:spacing w:after="0" w:line="125"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In case the Company proposes to create, assume, incur or suffer to be created, assumed or incurred or to exist, any pledge, encumbrance or lien, as security for indebtedness for borrowed money, upon any shares of Voting Stock of a Material Bank Subsidiary (or securities convertible into, or options, warrants or rights to subscribe or purchase shares of such Voting Stock), directly or indirectly, other than as permitted by the Indenture, the Company will give prior written notice to the Trustee, and will prior to or simultaneously with such pledge, encumbrance or lien, by a future supplemental indenture delivered to the Trustee, in form satisfactory to it, effectively secure all the Notes equally and ratably with such indebtedness, by pledge, encumbrance or lien of such Voting Stock. Such supplemental indenture must contain the provisions, concerning the possession, control, release and substitution of encumbered and pledge property and securities and other appropriate matters which are required or permitted by the Trust Indenture Act (as in effect at the date of execution of such supplemental indenture) to be included in a secured indenture qualified under the Trust Indenture Act and may also contain such additional and mandatory provisions permitted by the Trust Indenture Act as the Company will deem advisable or appropriate.</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Waiver of Covenants</w:t>
      </w:r>
    </w:p>
    <w:p>
      <w:pPr>
        <w:spacing w:after="0" w:line="117" w:lineRule="exact"/>
        <w:rPr>
          <w:sz w:val="20"/>
          <w:szCs w:val="20"/>
          <w:color w:val="auto"/>
        </w:rPr>
      </w:pPr>
    </w:p>
    <w:p>
      <w:pPr>
        <w:ind w:right="120" w:firstLine="350"/>
        <w:spacing w:after="0" w:line="261" w:lineRule="auto"/>
        <w:rPr>
          <w:sz w:val="20"/>
          <w:szCs w:val="20"/>
          <w:color w:val="auto"/>
        </w:rPr>
      </w:pPr>
      <w:r>
        <w:rPr>
          <w:rFonts w:ascii="Times New Roman" w:cs="Times New Roman" w:eastAsia="Times New Roman" w:hAnsi="Times New Roman"/>
          <w:sz w:val="14"/>
          <w:szCs w:val="14"/>
          <w:color w:val="auto"/>
        </w:rPr>
        <w:t>The Company may omit in any particular instance to comply with any term, provision or condition described under headings “—Sale or Issuance of Voting Stock of the Bank” and “— Limitation Upon Liens on Certain Capital Stock” with respect to the Notes if before the time for such compliance, the Holders of at least a majority in principal amount of the Notes outstanding, by act of such Holders, either waive such compliance in such instance or generally waive compliance with such term, provision or condition, but no such waiver will extend to or affect such term, provision or condition except to the extent so expressly waived, and, until such waiver becomes effective, the obligations of the Company and the rights and protections of the Trustee in respect of any such term, provision or condition will remain in full force and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127"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sectPr>
          <w:pgSz w:w="11900" w:h="16838" w:orient="portrait"/>
          <w:cols w:equalWidth="0" w:num="1">
            <w:col w:w="11260"/>
          </w:cols>
          <w:pgMar w:left="300" w:top="1260"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color w:val="auto"/>
        </w:rPr>
        <w:t>Ranking of the Notes</w:t>
      </w:r>
    </w:p>
    <w:p>
      <w:pPr>
        <w:spacing w:after="0" w:line="127" w:lineRule="exact"/>
        <w:rPr>
          <w:sz w:val="20"/>
          <w:szCs w:val="20"/>
          <w:color w:val="auto"/>
        </w:rPr>
      </w:pPr>
    </w:p>
    <w:p>
      <w:pPr>
        <w:ind w:right="100" w:firstLine="350"/>
        <w:spacing w:after="0" w:line="276" w:lineRule="auto"/>
        <w:rPr>
          <w:sz w:val="20"/>
          <w:szCs w:val="20"/>
          <w:color w:val="auto"/>
        </w:rPr>
      </w:pPr>
      <w:r>
        <w:rPr>
          <w:rFonts w:ascii="Times New Roman" w:cs="Times New Roman" w:eastAsia="Times New Roman" w:hAnsi="Times New Roman"/>
          <w:sz w:val="14"/>
          <w:szCs w:val="14"/>
          <w:color w:val="auto"/>
        </w:rPr>
        <w:t>The Notes are the senior unsecured obligations of the Company and rank equally in right of payment with any other existing or future senior unsecured obligations (including the 2026 Notes, the 2028 Notes and the 2029 Notes). The Notes are effectively subordinated to all of the Company’s future secured indebtedness to the extent of the value of the Company’s assets securing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indebtedness. The Notes are senior in right of payment to any unsecured and subordinated indebtedness of the Company that is subordinated in right of payment to the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1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Notices to holders of Notes will be given by first-class mail to the addresses of such holders as they appear in the note register. Where notices are to be provided to a holder of a global security, the notice will be deemed sufficiently given if provided to the depositary for such security pursuant to its applicable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Notes and the Indenture are governed by and construed in accordance with the laws of the State of New York.</w:t>
      </w:r>
    </w:p>
    <w:p>
      <w:pPr>
        <w:sectPr>
          <w:pgSz w:w="11900" w:h="16838" w:orient="portrait"/>
          <w:cols w:equalWidth="0" w:num="1">
            <w:col w:w="11220"/>
          </w:cols>
          <w:pgMar w:left="300" w:top="1332" w:right="379" w:bottom="1440"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ind w:left="1160"/>
        <w:spacing w:after="0"/>
        <w:rPr>
          <w:sz w:val="20"/>
          <w:szCs w:val="20"/>
          <w:color w:val="auto"/>
        </w:rPr>
      </w:pPr>
      <w:r>
        <w:rPr>
          <w:rFonts w:ascii="Times New Roman" w:cs="Times New Roman" w:eastAsia="Times New Roman" w:hAnsi="Times New Roman"/>
          <w:sz w:val="14"/>
          <w:szCs w:val="14"/>
          <w:color w:val="auto"/>
        </w:rPr>
        <w:t>NEWTEKONE, INC.</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SUBSIDIARIES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Company</w:t>
            </w:r>
          </w:p>
        </w:tc>
        <w:tc>
          <w:tcPr>
            <w:tcW w:w="360" w:type="dxa"/>
            <w:vAlign w:val="bottom"/>
          </w:tcPr>
          <w:p>
            <w:pPr>
              <w:spacing w:after="0"/>
              <w:rPr>
                <w:sz w:val="16"/>
                <w:szCs w:val="16"/>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State of Incorporation/Organization</w:t>
            </w:r>
          </w:p>
        </w:tc>
      </w:tr>
      <w:tr>
        <w:trPr>
          <w:trHeight w:val="39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CCC Real Estate Holdings,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CDS Business Services, Inc. dba Newtek Business Credit</w:t>
            </w:r>
          </w:p>
        </w:tc>
        <w:tc>
          <w:tcPr>
            <w:tcW w:w="2740" w:type="dxa"/>
            <w:vAlign w:val="bottom"/>
          </w:tcPr>
          <w:p>
            <w:pPr>
              <w:spacing w:after="0"/>
              <w:rPr>
                <w:sz w:val="12"/>
                <w:szCs w:val="12"/>
                <w:color w:val="auto"/>
              </w:rPr>
            </w:pPr>
          </w:p>
        </w:tc>
      </w:tr>
      <w:tr>
        <w:trPr>
          <w:trHeight w:val="19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Mobil Money,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Florida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NBL SPV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NBSH Holdings,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Asset Backed Securities,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Insurance Agency,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District of Columbia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19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PMTWorks Payroll, LLC dba Newtek Payroll and Benefits</w:t>
            </w:r>
          </w:p>
        </w:tc>
        <w:tc>
          <w:tcPr>
            <w:tcW w:w="2740" w:type="dxa"/>
            <w:vAlign w:val="bottom"/>
          </w:tcPr>
          <w:p>
            <w:pPr>
              <w:spacing w:after="0"/>
              <w:rPr>
                <w:sz w:val="12"/>
                <w:szCs w:val="12"/>
                <w:color w:val="auto"/>
              </w:rPr>
            </w:pPr>
          </w:p>
        </w:tc>
      </w:tr>
      <w:tr>
        <w:trPr>
          <w:trHeight w:val="19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Kentucky</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Small Business Lending,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DC Partners,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District of Columbia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BIDCO,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Partners 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Louisiana Partners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Louisiana</w:t>
            </w: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Wilshire New York Partners III, LLC</w:t>
            </w:r>
          </w:p>
        </w:tc>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New York</w:t>
            </w:r>
          </w:p>
        </w:tc>
      </w:tr>
    </w:tbl>
    <w:p>
      <w:pPr>
        <w:sectPr>
          <w:pgSz w:w="11900" w:h="16838" w:orient="portrait"/>
          <w:cols w:equalWidth="0" w:num="1">
            <w:col w:w="9019"/>
          </w:cols>
          <w:pgMar w:left="1440" w:top="857" w:right="1440" w:bottom="1440"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 Scott Price, certify that:</w:t>
      </w:r>
    </w:p>
    <w:p>
      <w:pPr>
        <w:spacing w:after="0" w:line="179" w:lineRule="exact"/>
        <w:rPr>
          <w:sz w:val="20"/>
          <w:szCs w:val="20"/>
          <w:color w:val="auto"/>
        </w:rPr>
      </w:pPr>
    </w:p>
    <w:p>
      <w:pPr>
        <w:ind w:left="500" w:hanging="145"/>
        <w:spacing w:after="0"/>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660" w:val="left"/>
          <w:tab w:leader="none" w:pos="796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727" w:right="3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Frank DeMaria, certify that:</w:t>
      </w:r>
    </w:p>
    <w:p>
      <w:pPr>
        <w:spacing w:after="0" w:line="179" w:lineRule="exact"/>
        <w:rPr>
          <w:sz w:val="20"/>
          <w:szCs w:val="20"/>
          <w:color w:val="auto"/>
        </w:rPr>
      </w:pPr>
    </w:p>
    <w:p>
      <w:pPr>
        <w:ind w:left="500" w:hanging="145"/>
        <w:spacing w:after="0"/>
        <w:tabs>
          <w:tab w:leader="none" w:pos="5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7660" w:val="left"/>
          <w:tab w:leader="none" w:pos="798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/S/</w:t>
        <w:tab/>
        <w:t>FRANK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Accounting Officer</w:t>
      </w:r>
    </w:p>
    <w:p>
      <w:pPr>
        <w:sectPr>
          <w:pgSz w:w="11900" w:h="16838" w:orient="portrait"/>
          <w:cols w:equalWidth="0" w:num="1">
            <w:col w:w="11280"/>
          </w:cols>
          <w:pgMar w:left="300" w:top="1141" w:right="31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2024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2024 (the “Report”) of NewtekOne, Inc. (the “Company”), as filed with the Securities and Exchange Commission on the date hereof, I, M. Scott Price,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700" w:val="left"/>
          <w:tab w:leader="none" w:pos="800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14605</wp:posOffset>
            </wp:positionV>
            <wp:extent cx="355727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5"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728" w:right="3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for the year ended December 31, 2024 (the “Report”) of NewtekOne, Inc. (the “Company”), as filed with the Securities and Exchange Commission on the date hereof, I, Frank DeMaria, as Principal Accounting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285" w:lineRule="exact"/>
        <w:rPr>
          <w:sz w:val="20"/>
          <w:szCs w:val="20"/>
          <w:color w:val="auto"/>
        </w:rPr>
      </w:pPr>
    </w:p>
    <w:p>
      <w:pPr>
        <w:ind w:left="20"/>
        <w:spacing w:after="0"/>
        <w:tabs>
          <w:tab w:leader="none" w:pos="7720" w:val="left"/>
          <w:tab w:leader="none" w:pos="8020" w:val="left"/>
        </w:tabs>
        <w:rPr>
          <w:sz w:val="20"/>
          <w:szCs w:val="20"/>
          <w:color w:val="auto"/>
        </w:rPr>
      </w:pPr>
      <w:r>
        <w:rPr>
          <w:rFonts w:ascii="Times New Roman" w:cs="Times New Roman" w:eastAsia="Times New Roman" w:hAnsi="Times New Roman"/>
          <w:sz w:val="14"/>
          <w:szCs w:val="14"/>
          <w:color w:val="auto"/>
        </w:rPr>
        <w:t>Date: March 17, 2025</w:t>
      </w:r>
      <w:r>
        <w:rPr>
          <w:sz w:val="20"/>
          <w:szCs w:val="20"/>
          <w:color w:val="auto"/>
        </w:rPr>
        <w:tab/>
      </w:r>
      <w:r>
        <w:rPr>
          <w:rFonts w:ascii="Times New Roman" w:cs="Times New Roman" w:eastAsia="Times New Roman" w:hAnsi="Times New Roman"/>
          <w:sz w:val="14"/>
          <w:szCs w:val="14"/>
          <w:color w:val="auto"/>
        </w:rPr>
        <w:t>/S/</w:t>
        <w:tab/>
        <w:t>FRANK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Accounting Officer</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lvl w:ilvl="1">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endash "/>
      <w:numFmt w:val="bullet"/>
      <w:start w:val="1"/>
    </w:lvl>
  </w:abstractNum>
  <w:abstractNum w:abstractNumId="33">
    <w:nsid w:val="613EFDC5"/>
    <w:multiLevelType w:val="hybridMultilevel"/>
    <w:lvl w:ilvl="0">
      <w:lvlJc w:val="left"/>
      <w:lvlText w:val="(%1)"/>
      <w:numFmt w:val="lowerRoman"/>
      <w:start w:val="2"/>
    </w:lvl>
  </w:abstractNum>
  <w:abstractNum w:abstractNumId="34">
    <w:nsid w:val="BF72B14"/>
    <w:multiLevelType w:val="hybridMultilevel"/>
    <w:lvl w:ilvl="0">
      <w:lvlJc w:val="left"/>
      <w:lvlText w:val="1"/>
      <w:numFmt w:val="bullet"/>
      <w:start w:val="1"/>
    </w:lvl>
  </w:abstractNum>
  <w:abstractNum w:abstractNumId="35">
    <w:nsid w:val="11447B73"/>
    <w:multiLevelType w:val="hybridMultilevel"/>
    <w:lvl w:ilvl="0">
      <w:lvlJc w:val="left"/>
      <w:lvlText w:val="1"/>
      <w:numFmt w:val="bullet"/>
      <w:start w:val="1"/>
    </w:lvl>
  </w:abstractNum>
  <w:abstractNum w:abstractNumId="36">
    <w:nsid w:val="42963E5A"/>
    <w:multiLevelType w:val="hybridMultilevel"/>
    <w:lvl w:ilvl="0">
      <w:lvlJc w:val="left"/>
      <w:lvlText w:val="1"/>
      <w:numFmt w:val="bullet"/>
      <w:start w:val="1"/>
    </w:lvl>
  </w:abstractNum>
  <w:abstractNum w:abstractNumId="37">
    <w:nsid w:val="A0382C5"/>
    <w:multiLevelType w:val="hybridMultilevel"/>
    <w:lvl w:ilvl="0">
      <w:lvlJc w:val="left"/>
      <w:lvlText w:val="2"/>
      <w:numFmt w:val="bullet"/>
      <w:start w:val="1"/>
    </w:lvl>
  </w:abstractNum>
  <w:abstractNum w:abstractNumId="38">
    <w:nsid w:val="8F2B15E"/>
    <w:multiLevelType w:val="hybridMultilevel"/>
    <w:lvl w:ilvl="0">
      <w:lvlJc w:val="left"/>
      <w:lvlText w:val="1"/>
      <w:numFmt w:val="bullet"/>
      <w:start w:val="1"/>
    </w:lvl>
  </w:abstractNum>
  <w:abstractNum w:abstractNumId="39">
    <w:nsid w:val="1A32234B"/>
    <w:multiLevelType w:val="hybridMultilevel"/>
    <w:lvl w:ilvl="0">
      <w:lvlJc w:val="left"/>
      <w:lvlText w:val="1"/>
      <w:numFmt w:val="bullet"/>
      <w:start w:val="1"/>
    </w:lvl>
  </w:abstractNum>
  <w:abstractNum w:abstractNumId="40">
    <w:nsid w:val="3B0FD379"/>
    <w:multiLevelType w:val="hybridMultilevel"/>
    <w:lvl w:ilvl="0">
      <w:lvlJc w:val="left"/>
      <w:lvlText w:val="1"/>
      <w:numFmt w:val="bullet"/>
      <w:start w:val="1"/>
    </w:lvl>
  </w:abstractNum>
  <w:abstractNum w:abstractNumId="41">
    <w:nsid w:val="68EB2F63"/>
    <w:multiLevelType w:val="hybridMultilevel"/>
    <w:lvl w:ilvl="0">
      <w:lvlJc w:val="left"/>
      <w:lvlText w:val="1"/>
      <w:numFmt w:val="bullet"/>
      <w:start w:val="1"/>
    </w:lvl>
  </w:abstractNum>
  <w:abstractNum w:abstractNumId="42">
    <w:nsid w:val="4962813B"/>
    <w:multiLevelType w:val="hybridMultilevel"/>
    <w:lvl w:ilvl="0">
      <w:lvlJc w:val="left"/>
      <w:lvlText w:val="2"/>
      <w:numFmt w:val="bullet"/>
      <w:start w:val="1"/>
    </w:lvl>
  </w:abstractNum>
  <w:abstractNum w:abstractNumId="43">
    <w:nsid w:val="60B6DF70"/>
    <w:multiLevelType w:val="hybridMultilevel"/>
    <w:lvl w:ilvl="0">
      <w:lvlJc w:val="left"/>
      <w:lvlText w:val="%1."/>
      <w:numFmt w:val="decimal"/>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1"/>
      <w:numFmt w:val="bullet"/>
      <w:start w:val="1"/>
    </w:lvl>
  </w:abstractNum>
  <w:abstractNum w:abstractNumId="51">
    <w:nsid w:val="6EB5BD4"/>
    <w:multiLevelType w:val="hybridMultilevel"/>
    <w:lvl w:ilvl="0">
      <w:lvlJc w:val="left"/>
      <w:lvlText w:val="(%1)"/>
      <w:numFmt w:val="lowerRoman"/>
      <w:start w:val="3"/>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1)"/>
      <w:numFmt w:val="decimal"/>
      <w:start w:val="326"/>
    </w:lvl>
  </w:abstractNum>
  <w:abstractNum w:abstractNumId="54">
    <w:nsid w:val="885E1B"/>
    <w:multiLevelType w:val="hybridMultilevel"/>
    <w:lvl w:ilvl="0">
      <w:lvlJc w:val="left"/>
      <w:lvlText w:val="1"/>
      <w:numFmt w:val="bullet"/>
      <w:start w:val="1"/>
    </w:lvl>
  </w:abstractNum>
  <w:abstractNum w:abstractNumId="55">
    <w:nsid w:val="76272110"/>
    <w:multiLevelType w:val="hybridMultilevel"/>
    <w:lvl w:ilvl="0">
      <w:lvlJc w:val="left"/>
      <w:lvlText w:val="2"/>
      <w:numFmt w:val="bullet"/>
      <w:start w:val="1"/>
    </w:lvl>
  </w:abstractNum>
  <w:abstractNum w:abstractNumId="56">
    <w:nsid w:val="4C04A8AF"/>
    <w:multiLevelType w:val="hybridMultilevel"/>
    <w:lvl w:ilvl="0">
      <w:lvlJc w:val="left"/>
      <w:lvlText w:val="1"/>
      <w:numFmt w:val="bullet"/>
      <w:start w:val="1"/>
    </w:lvl>
  </w:abstractNum>
  <w:abstractNum w:abstractNumId="57">
    <w:nsid w:val="1716703B"/>
    <w:multiLevelType w:val="hybridMultilevel"/>
    <w:lvl w:ilvl="0">
      <w:lvlJc w:val="left"/>
      <w:lvlText w:val="2"/>
      <w:numFmt w:val="bullet"/>
      <w:start w:val="1"/>
    </w:lvl>
  </w:abstractNum>
  <w:abstractNum w:abstractNumId="58">
    <w:nsid w:val="14E17E33"/>
    <w:multiLevelType w:val="hybridMultilevel"/>
    <w:lvl w:ilvl="0">
      <w:lvlJc w:val="left"/>
      <w:lvlText w:val="1"/>
      <w:numFmt w:val="bullet"/>
      <w:start w:val="1"/>
    </w:lvl>
  </w:abstractNum>
  <w:abstractNum w:abstractNumId="59">
    <w:nsid w:val="3222E7CD"/>
    <w:multiLevelType w:val="hybridMultilevel"/>
    <w:lvl w:ilvl="0">
      <w:lvlJc w:val="left"/>
      <w:lvlText w:val="1"/>
      <w:numFmt w:val="bullet"/>
      <w:start w:val="1"/>
    </w:lvl>
  </w:abstractNum>
  <w:abstractNum w:abstractNumId="60">
    <w:nsid w:val="74DE0EE3"/>
    <w:multiLevelType w:val="hybridMultilevel"/>
    <w:lvl w:ilvl="0">
      <w:lvlJc w:val="left"/>
      <w:lvlText w:val="1"/>
      <w:numFmt w:val="bullet"/>
      <w:start w:val="1"/>
    </w:lvl>
  </w:abstractNum>
  <w:abstractNum w:abstractNumId="61">
    <w:nsid w:val="68EBC550"/>
    <w:multiLevelType w:val="hybridMultilevel"/>
    <w:lvl w:ilvl="0">
      <w:lvlJc w:val="left"/>
      <w:lvlText w:val="1"/>
      <w:numFmt w:val="bullet"/>
      <w:start w:val="1"/>
    </w:lvl>
  </w:abstractNum>
  <w:abstractNum w:abstractNumId="62">
    <w:nsid w:val="2DF6D648"/>
    <w:multiLevelType w:val="hybridMultilevel"/>
    <w:lvl w:ilvl="0">
      <w:lvlJc w:val="left"/>
      <w:lvlText w:val="1"/>
      <w:numFmt w:val="bullet"/>
      <w:start w:val="1"/>
    </w:lvl>
  </w:abstractNum>
  <w:abstractNum w:abstractNumId="63">
    <w:nsid w:val="46B7D447"/>
    <w:multiLevelType w:val="hybridMultilevel"/>
    <w:lvl w:ilvl="0">
      <w:lvlJc w:val="left"/>
      <w:lvlText w:val="1"/>
      <w:numFmt w:val="bullet"/>
      <w:start w:val="1"/>
    </w:lvl>
  </w:abstractNum>
  <w:abstractNum w:abstractNumId="64">
    <w:nsid w:val="4A2AC315"/>
    <w:multiLevelType w:val="hybridMultilevel"/>
    <w:lvl w:ilvl="0">
      <w:lvlJc w:val="left"/>
      <w:lvlText w:val="1"/>
      <w:numFmt w:val="bullet"/>
      <w:start w:val="1"/>
    </w:lvl>
  </w:abstractNum>
  <w:abstractNum w:abstractNumId="65">
    <w:nsid w:val="39EE015C"/>
    <w:multiLevelType w:val="hybridMultilevel"/>
    <w:lvl w:ilvl="0">
      <w:lvlJc w:val="left"/>
      <w:lvlText w:val="2"/>
      <w:numFmt w:val="bullet"/>
      <w:start w:val="1"/>
    </w:lvl>
  </w:abstractNum>
  <w:abstractNum w:abstractNumId="66">
    <w:nsid w:val="57FC4FBB"/>
    <w:multiLevelType w:val="hybridMultilevel"/>
    <w:lvl w:ilvl="0">
      <w:lvlJc w:val="left"/>
      <w:lvlText w:val="1"/>
      <w:numFmt w:val="bullet"/>
      <w:start w:val="1"/>
    </w:lvl>
  </w:abstractNum>
  <w:abstractNum w:abstractNumId="67">
    <w:nsid w:val="CC1016F"/>
    <w:multiLevelType w:val="hybridMultilevel"/>
    <w:lvl w:ilvl="0">
      <w:lvlJc w:val="left"/>
      <w:lvlText w:val="2"/>
      <w:numFmt w:val="bullet"/>
      <w:start w:val="1"/>
    </w:lvl>
  </w:abstractNum>
  <w:abstractNum w:abstractNumId="68">
    <w:nsid w:val="43F18422"/>
    <w:multiLevelType w:val="hybridMultilevel"/>
    <w:lvl w:ilvl="0">
      <w:lvlJc w:val="left"/>
      <w:lvlText w:val="1"/>
      <w:numFmt w:val="bullet"/>
      <w:start w:val="1"/>
    </w:lvl>
  </w:abstractNum>
  <w:abstractNum w:abstractNumId="69">
    <w:nsid w:val="60EF0119"/>
    <w:multiLevelType w:val="hybridMultilevel"/>
    <w:lvl w:ilvl="0">
      <w:lvlJc w:val="left"/>
      <w:lvlText w:val="1"/>
      <w:numFmt w:val="bullet"/>
      <w:start w:val="1"/>
    </w:lvl>
  </w:abstractNum>
  <w:abstractNum w:abstractNumId="70">
    <w:nsid w:val="26F324BA"/>
    <w:multiLevelType w:val="hybridMultilevel"/>
    <w:lvl w:ilvl="0">
      <w:lvlJc w:val="left"/>
      <w:lvlText w:val="1"/>
      <w:numFmt w:val="bullet"/>
      <w:start w:val="1"/>
    </w:lvl>
  </w:abstractNum>
  <w:abstractNum w:abstractNumId="71">
    <w:nsid w:val="7F01579B"/>
    <w:multiLevelType w:val="hybridMultilevel"/>
    <w:lvl w:ilvl="0">
      <w:lvlJc w:val="left"/>
      <w:lvlText w:val="1"/>
      <w:numFmt w:val="bullet"/>
      <w:start w:val="1"/>
    </w:lvl>
  </w:abstractNum>
  <w:abstractNum w:abstractNumId="72">
    <w:nsid w:val="49DA307D"/>
    <w:multiLevelType w:val="hybridMultilevel"/>
    <w:lvl w:ilvl="0">
      <w:lvlJc w:val="left"/>
      <w:lvlText w:val="1"/>
      <w:numFmt w:val="bullet"/>
      <w:start w:val="1"/>
    </w:lvl>
  </w:abstractNum>
  <w:abstractNum w:abstractNumId="73">
    <w:nsid w:val="7055A5F5"/>
    <w:multiLevelType w:val="hybridMultilevel"/>
    <w:lvl w:ilvl="0">
      <w:lvlJc w:val="left"/>
      <w:lvlText w:val="2"/>
      <w:numFmt w:val="bullet"/>
      <w:start w:val="1"/>
    </w:lvl>
  </w:abstractNum>
  <w:abstractNum w:abstractNumId="74">
    <w:nsid w:val="5FB8370B"/>
    <w:multiLevelType w:val="hybridMultilevel"/>
    <w:lvl w:ilvl="0">
      <w:lvlJc w:val="left"/>
      <w:lvlText w:val="3"/>
      <w:numFmt w:val="bullet"/>
      <w:start w:val="1"/>
    </w:lvl>
  </w:abstractNum>
  <w:abstractNum w:abstractNumId="75">
    <w:nsid w:val="50801EE1"/>
    <w:multiLevelType w:val="hybridMultilevel"/>
    <w:lvl w:ilvl="0">
      <w:lvlJc w:val="left"/>
      <w:lvlText w:val="1"/>
      <w:numFmt w:val="bullet"/>
      <w:start w:val="1"/>
    </w:lvl>
  </w:abstractNum>
  <w:abstractNum w:abstractNumId="76">
    <w:nsid w:val="488AC1A"/>
    <w:multiLevelType w:val="hybridMultilevel"/>
    <w:lvl w:ilvl="0">
      <w:lvlJc w:val="left"/>
      <w:lvlText w:val="1"/>
      <w:numFmt w:val="bullet"/>
      <w:start w:val="1"/>
    </w:lvl>
  </w:abstractNum>
  <w:abstractNum w:abstractNumId="77">
    <w:nsid w:val="5FB8011C"/>
    <w:multiLevelType w:val="hybridMultilevel"/>
    <w:lvl w:ilvl="0">
      <w:lvlJc w:val="left"/>
      <w:lvlText w:val="2"/>
      <w:numFmt w:val="bullet"/>
      <w:start w:val="1"/>
    </w:lvl>
  </w:abstractNum>
  <w:abstractNum w:abstractNumId="78">
    <w:nsid w:val="6AA78F7F"/>
    <w:multiLevelType w:val="hybridMultilevel"/>
    <w:lvl w:ilvl="0">
      <w:lvlJc w:val="left"/>
      <w:lvlText w:val="4"/>
      <w:numFmt w:val="bullet"/>
      <w:start w:val="1"/>
    </w:lvl>
  </w:abstractNum>
  <w:abstractNum w:abstractNumId="79">
    <w:nsid w:val="7672BD23"/>
    <w:multiLevelType w:val="hybridMultilevel"/>
    <w:lvl w:ilvl="0">
      <w:lvlJc w:val="left"/>
      <w:lvlText w:val="5"/>
      <w:numFmt w:val="bullet"/>
      <w:start w:val="1"/>
    </w:lvl>
  </w:abstractNum>
  <w:abstractNum w:abstractNumId="80">
    <w:nsid w:val="6FC75AF8"/>
    <w:multiLevelType w:val="hybridMultilevel"/>
    <w:lvl w:ilvl="0">
      <w:lvlJc w:val="left"/>
      <w:lvlText w:val="1"/>
      <w:numFmt w:val="bullet"/>
      <w:start w:val="1"/>
    </w:lvl>
  </w:abstractNum>
  <w:abstractNum w:abstractNumId="81">
    <w:nsid w:val="6A5F7029"/>
    <w:multiLevelType w:val="hybridMultilevel"/>
    <w:lvl w:ilvl="0">
      <w:lvlJc w:val="left"/>
      <w:lvlText w:val="2"/>
      <w:numFmt w:val="bullet"/>
      <w:start w:val="1"/>
    </w:lvl>
  </w:abstractNum>
  <w:abstractNum w:abstractNumId="82">
    <w:nsid w:val="7D5E18F8"/>
    <w:multiLevelType w:val="hybridMultilevel"/>
    <w:lvl w:ilvl="0">
      <w:lvlJc w:val="left"/>
      <w:lvlText w:val="1"/>
      <w:numFmt w:val="bullet"/>
      <w:start w:val="1"/>
    </w:lvl>
  </w:abstractNum>
  <w:abstractNum w:abstractNumId="83">
    <w:nsid w:val="5F3534A4"/>
    <w:multiLevelType w:val="hybridMultilevel"/>
    <w:lvl w:ilvl="0">
      <w:lvlJc w:val="left"/>
      <w:lvlText w:val="2"/>
      <w:numFmt w:val="bullet"/>
      <w:start w:val="1"/>
    </w:lvl>
  </w:abstractNum>
  <w:abstractNum w:abstractNumId="84">
    <w:nsid w:val="73A1821B"/>
    <w:multiLevelType w:val="hybridMultilevel"/>
    <w:lvl w:ilvl="0">
      <w:lvlJc w:val="left"/>
      <w:lvlText w:val="3"/>
      <w:numFmt w:val="bullet"/>
      <w:start w:val="1"/>
    </w:lvl>
  </w:abstractNum>
  <w:abstractNum w:abstractNumId="85">
    <w:nsid w:val="7DE67713"/>
    <w:multiLevelType w:val="hybridMultilevel"/>
    <w:lvl w:ilvl="0">
      <w:lvlJc w:val="left"/>
      <w:lvlText w:val="1"/>
      <w:numFmt w:val="bullet"/>
      <w:start w:val="1"/>
    </w:lvl>
  </w:abstractNum>
  <w:abstractNum w:abstractNumId="86">
    <w:nsid w:val="555C55B5"/>
    <w:multiLevelType w:val="hybridMultilevel"/>
    <w:lvl w:ilvl="0">
      <w:lvlJc w:val="left"/>
      <w:lvlText w:val="1"/>
      <w:numFmt w:val="bullet"/>
      <w:start w:val="1"/>
    </w:lvl>
  </w:abstractNum>
  <w:abstractNum w:abstractNumId="87">
    <w:nsid w:val="3FA62ACA"/>
    <w:multiLevelType w:val="hybridMultilevel"/>
    <w:lvl w:ilvl="0">
      <w:lvlJc w:val="left"/>
      <w:lvlText w:val="1"/>
      <w:numFmt w:val="bullet"/>
      <w:start w:val="1"/>
    </w:lvl>
  </w:abstractNum>
  <w:abstractNum w:abstractNumId="88">
    <w:nsid w:val="14FCE74E"/>
    <w:multiLevelType w:val="hybridMultilevel"/>
    <w:lvl w:ilvl="0">
      <w:lvlJc w:val="left"/>
      <w:lvlText w:val="1"/>
      <w:numFmt w:val="bullet"/>
      <w:start w:val="1"/>
    </w:lvl>
  </w:abstractNum>
  <w:abstractNum w:abstractNumId="89">
    <w:nsid w:val="6A3DD3E8"/>
    <w:multiLevelType w:val="hybridMultilevel"/>
    <w:lvl w:ilvl="0">
      <w:lvlJc w:val="left"/>
      <w:lvlText w:val="2"/>
      <w:numFmt w:val="bullet"/>
      <w:start w:val="1"/>
    </w:lvl>
  </w:abstractNum>
  <w:abstractNum w:abstractNumId="90">
    <w:nsid w:val="71C91298"/>
    <w:multiLevelType w:val="hybridMultilevel"/>
    <w:lvl w:ilvl="0">
      <w:lvlJc w:val="left"/>
      <w:lvlText w:val="3"/>
      <w:numFmt w:val="bullet"/>
      <w:start w:val="1"/>
    </w:lvl>
  </w:abstractNum>
  <w:abstractNum w:abstractNumId="91">
    <w:nsid w:val="9DAF632"/>
    <w:multiLevelType w:val="hybridMultilevel"/>
    <w:lvl w:ilvl="0">
      <w:lvlJc w:val="left"/>
      <w:lvlText w:val="1"/>
      <w:numFmt w:val="bullet"/>
      <w:start w:val="1"/>
    </w:lvl>
  </w:abstractNum>
  <w:abstractNum w:abstractNumId="92">
    <w:nsid w:val="53299938"/>
    <w:multiLevelType w:val="hybridMultilevel"/>
    <w:lvl w:ilvl="0">
      <w:lvlJc w:val="left"/>
      <w:lvlText w:val="2"/>
      <w:numFmt w:val="bullet"/>
      <w:start w:val="1"/>
    </w:lvl>
  </w:abstractNum>
  <w:abstractNum w:abstractNumId="93">
    <w:nsid w:val="1FBFE8E0"/>
    <w:multiLevelType w:val="hybridMultilevel"/>
    <w:lvl w:ilvl="0">
      <w:lvlJc w:val="left"/>
      <w:lvlText w:val="\endash "/>
      <w:numFmt w:val="bullet"/>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1"/>
    </w:lvl>
  </w:abstractNum>
  <w:abstractNum w:abstractNumId="97">
    <w:nsid w:val="288F1A34"/>
    <w:multiLevelType w:val="hybridMultilevel"/>
    <w:lvl w:ilvl="0">
      <w:lvlJc w:val="left"/>
      <w:lvlText w:val="%1."/>
      <w:numFmt w:val="upperLetter"/>
      <w:start w:val="2"/>
    </w:lvl>
    <w:lvl w:ilvl="1">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lvl w:ilvl="1">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lvl w:ilvl="1">
      <w:lvlJc w:val="left"/>
      <w:lvlText w:val="•"/>
      <w:numFmt w:val="bullet"/>
      <w:start w:val="1"/>
    </w:lvl>
  </w:abstractNum>
  <w:abstractNum w:abstractNumId="108">
    <w:nsid w:val="5C10FE21"/>
    <w:multiLevelType w:val="hybridMultilevel"/>
    <w:lvl w:ilvl="0">
      <w:lvlJc w:val="left"/>
      <w:lvlText w:val="•"/>
      <w:numFmt w:val="bullet"/>
      <w:start w:val="1"/>
    </w:lvl>
    <w:lvl w:ilvl="1">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117" Type="http://schemas.openxmlformats.org/officeDocument/2006/relationships/hyperlink" Target="https://www.sec.gov/Archives/edgar/data/1587987/000119312514394101/d804521dex99a.htm" TargetMode="External"/><Relationship Id="rId118" Type="http://schemas.openxmlformats.org/officeDocument/2006/relationships/hyperlink" Target="https://www.sec.gov/Archives/edgar/data/1587987/000158798723000021/bylaws-01132023.htm" TargetMode="External"/><Relationship Id="rId119" Type="http://schemas.openxmlformats.org/officeDocument/2006/relationships/hyperlink" Target="https://www.sec.gov/Archives/edgar/data/1587987/000158798721000063/newtekconventionallendin.htm" TargetMode="External"/><Relationship Id="rId120" Type="http://schemas.openxmlformats.org/officeDocument/2006/relationships/hyperlink" Target="https://www.sec.gov/Archives/edgar/data/1587987/000119312514350298/d714199dex995.htm" TargetMode="External"/><Relationship Id="rId121" Type="http://schemas.openxmlformats.org/officeDocument/2006/relationships/hyperlink" Target="https://www.sec.gov/Archives/edgar/data/1587987/000114420415056050/v420021_ex99-d2.htm" TargetMode="External"/><Relationship Id="rId122" Type="http://schemas.openxmlformats.org/officeDocument/2006/relationships/hyperlink" Target="https://www.sec.gov/Archives/edgar/data/1587987/000121390019013870/posex2019a7ex99d8_newtek.htm" TargetMode="External"/><Relationship Id="rId123" Type="http://schemas.openxmlformats.org/officeDocument/2006/relationships/hyperlink" Target="https://www.sec.gov/Archives/edgar/data/1587987/000158798720000071/newtek-fifthsupplemental.htm" TargetMode="External"/><Relationship Id="rId124" Type="http://schemas.openxmlformats.org/officeDocument/2006/relationships/hyperlink" Target="https://www.sec.gov/Archives/edgar/data/1587987/000158798721000003/newtek-sixthsupplemental.htm" TargetMode="External"/><Relationship Id="rId125" Type="http://schemas.openxmlformats.org/officeDocument/2006/relationships/hyperlink" Target="https://www.sec.gov/Archives/edgar/data/1587987/000158798721000011/exhibit41seventhsuppleme.htm" TargetMode="External"/><Relationship Id="rId126" Type="http://schemas.openxmlformats.org/officeDocument/2006/relationships/hyperlink" Target="https://www.sec.gov/Archives/edgar/data/1587987/000158798721000033/newtek-eighthsupplementa.htm" TargetMode="External"/><Relationship Id="rId127" Type="http://schemas.openxmlformats.org/officeDocument/2006/relationships/hyperlink" Target="https://www.sec.gov/Archives/edgar/data/1587987/000158798722000022/newtek-tenthsupplemental.htm" TargetMode="External"/><Relationship Id="rId128" Type="http://schemas.openxmlformats.org/officeDocument/2006/relationships/hyperlink" Target="https://www.sec.gov/Archives/edgar/data/1587987/000119312514394101/d804521dex99e.htm" TargetMode="External"/><Relationship Id="rId129" Type="http://schemas.openxmlformats.org/officeDocument/2006/relationships/hyperlink" Target="https://www.sec.gov/Archives/edgar/data/1587987/000158798721000099/stockpurchaseagreement-e.htm" TargetMode="External"/><Relationship Id="rId130" Type="http://schemas.openxmlformats.org/officeDocument/2006/relationships/hyperlink" Target="https://www.sec.gov/Archives/edgar/data/1587987/000158798721000144/nblspviiionefloridabank-.htm" TargetMode="External"/><Relationship Id="rId133" Type="http://schemas.openxmlformats.org/officeDocument/2006/relationships/hyperlink" Target="https://www.sec.gov/Archives/edgar/data/1587987/000158798721000144/db-newtekxmasterrepurcha.htm" TargetMode="External"/><Relationship Id="rId134" Type="http://schemas.openxmlformats.org/officeDocument/2006/relationships/hyperlink" Target="https://www.sec.gov/Archives/edgar/data/1587987/000114420416114417/v444876_ex4-4.htm" TargetMode="External"/><Relationship Id="rId135" Type="http://schemas.openxmlformats.org/officeDocument/2006/relationships/hyperlink" Target="https://www.sec.gov/Archives/edgar/data/1587987/000158798724000054/formofrestrictedstockawa.htm" TargetMode="External"/><Relationship Id="rId136" Type="http://schemas.openxmlformats.org/officeDocument/2006/relationships/hyperlink" Target="https://www.sec.gov/Archives/edgar/data/1587987/000158798723000171/newtekone-2023stockincen.htm" TargetMode="External"/><Relationship Id="rId137" Type="http://schemas.openxmlformats.org/officeDocument/2006/relationships/hyperlink" Target="https://www.sec.gov/Archives/edgar/data/1587987/000158798723000225/newtekonegrantagreement-.htm" TargetMode="External"/><Relationship Id="rId138" Type="http://schemas.openxmlformats.org/officeDocument/2006/relationships/hyperlink" Target="https://www.sec.gov/Archives/edgar/data/1587987/000158798723000171/newtekone-espp.htm" TargetMode="External"/><Relationship Id="rId139" Type="http://schemas.openxmlformats.org/officeDocument/2006/relationships/hyperlink" Target="https://www.sec.gov/Archives/edgar/data/1587987/000158798723000225/spriceemploymentagreemen.htm" TargetMode="External"/><Relationship Id="rId140" Type="http://schemas.openxmlformats.org/officeDocument/2006/relationships/hyperlink" Target="https://www.sec.gov/Archives/edgar/data/1587987/000158798723000225/scottprice-amendmenttoem.htm" TargetMode="External"/><Relationship Id="rId141" Type="http://schemas.openxmlformats.org/officeDocument/2006/relationships/hyperlink" Target="https://www.sec.gov/Archives/edgar/data/1587987/000158798724000054/formofchangeincontrolagr.htm" TargetMode="External"/><Relationship Id="rId142" Type="http://schemas.openxmlformats.org/officeDocument/2006/relationships/hyperlink" Target="https://www.sec.gov/Archives/edgar/data/1587987/000158798725000004/newt-20250103.htm" TargetMode="External"/><Relationship Id="rId143" Type="http://schemas.openxmlformats.org/officeDocument/2006/relationships/hyperlink" Target="https://www.sec.gov/Archives/edgar/data/1587987/000119312514394101/d804521dex991.htm" TargetMode="External"/><Relationship Id="rId144" Type="http://schemas.openxmlformats.org/officeDocument/2006/relationships/hyperlink" Target="https://www.sec.gov/Archives/edgar/data/1587987/000158798724000054/newtekone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2025-03-17T09:01:37Z</dcterms:created>
  <dcterms:modified xsi:type="dcterms:W3CDTF">2025-03-17T09:01:37Z</dcterms:modified>
</cp:coreProperties>
</file>