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October 21,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NEWTEKONE,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Company as Specified in its Charter)</w:t>
      </w:r>
    </w:p>
    <w:tbl>
      <w:tblPr>
        <w:tblW w:w="8925" w:type="dxa"/>
        <w:jc w:val="center"/>
        <w:tblInd w:w="0" w:type="dxa"/>
        <w:tblLayout w:type="fixed"/>
        <w:tblCellMar>
          <w:top w:w="28" w:type="dxa"/>
          <w:left w:w="28" w:type="dxa"/>
          <w:bottom w:w="28" w:type="dxa"/>
          <w:right w:w="28" w:type="dxa"/>
        </w:tblCellMar>
      </w:tblPr>
      <w:tblGrid>
        <w:gridCol w:w="1607"/>
        <w:gridCol w:w="1418"/>
        <w:gridCol w:w="1430"/>
        <w:gridCol w:w="583"/>
        <w:gridCol w:w="583"/>
        <w:gridCol w:w="589"/>
        <w:gridCol w:w="793"/>
        <w:gridCol w:w="793"/>
        <w:gridCol w:w="1129"/>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75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814-01035</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4800 T Rex Avenue, Suite 120, Boca Raton, Florida 33431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(212) 356-9500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(Company’s telephone number, including area code)</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from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1"/>
        <w:gridCol w:w="1763"/>
        <w:gridCol w:w="1783"/>
        <w:gridCol w:w="109"/>
        <w:gridCol w:w="109"/>
        <w:gridCol w:w="109"/>
        <w:gridCol w:w="400"/>
        <w:gridCol w:w="400"/>
        <w:gridCol w:w="402"/>
        <w:gridCol w:w="109"/>
        <w:gridCol w:w="109"/>
        <w:gridCol w:w="109"/>
        <w:gridCol w:w="660"/>
        <w:gridCol w:w="660"/>
        <w:gridCol w:w="942"/>
      </w:tblGrid>
      <w:tr>
        <w:trPr/>
        <w:tc>
          <w:tcPr>
            <w:tcW w:w="254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8.500% Fixed-Rate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Item 2.03 is contained in Item 8.01 of this Current Report on Form 8-K and is incorporated by reference herein.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Item 8.01.  </w:t>
      </w:r>
      <w:r>
        <w:rPr>
          <w:color w:val="000000"/>
        </w:rPr>
        <w:t>    </w:t>
      </w:r>
      <w:r>
        <w:rPr>
          <w:rFonts w:ascii="Times New Roman;serif" w:hAnsi="Times New Roman;serif"/>
          <w:b/>
          <w:color w:val="000000"/>
          <w:sz w:val="20"/>
        </w:rPr>
        <w:t>Other Events</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On October 19, 2026, NewtekOne, Inc. (the “Company”) entered into Note Exchange Agreements (the “Agreements”) with holders of $24.0 million of the Company's 8.125% Senior Notes due 2027 (the “Senior Notes”). Pursuant to the Agreements, the Company and holders of the Senior Notes agreed to exchange (the “Exchange”) the Senior Notes of each such holder for $24.0 million of the Company’s newly issued 8.125% Fixed Rate Senior Notes due February 1, 2029 (the “New Senior Notes”).</w:t>
      </w:r>
      <w:r>
        <w:rPr>
          <w:color w:val="000000"/>
        </w:rPr>
        <w:t xml:space="preserve"> </w:t>
      </w:r>
      <w:r>
        <w:rPr>
          <w:rFonts w:ascii="Times New Roman;serif" w:hAnsi="Times New Roman;serif"/>
          <w:b w:val="false"/>
          <w:color w:val="000000"/>
          <w:sz w:val="20"/>
        </w:rPr>
        <w:t>The New Senior Notes will pay interest at the rate of 8.125% per annum, payable quarterly in arrears on February 1, May 1, August 1 and November 1 of each year, beginning November 1, 2026, and will mature on February 1, 2029.</w:t>
      </w:r>
      <w:r>
        <w:rPr>
          <w:color w:val="000000"/>
        </w:rPr>
        <w:t xml:space="preserve"> </w:t>
      </w:r>
      <w:r>
        <w:rPr>
          <w:rFonts w:ascii="Times New Roman;serif" w:hAnsi="Times New Roman;serif"/>
          <w:b w:val="false"/>
          <w:color w:val="000000"/>
          <w:sz w:val="20"/>
        </w:rPr>
        <w:t>The New Senior Notes are subject to redemption in whole but not in part at any time, at the option of the Company, (i) on or after February 1, 2028, at a redemption price equal to 100% of the outstanding principal amount thereof plus accrued and unpaid interest payments otherwise payable for the then-current quarterly interest period accrued to, but excluding, the redemption date or (ii) prior to February 1, 2028, at a redemption price equal to 100% of the outstanding principal amount being redeemed plus any accrued but unpaid interest, to but excluding February 1, 2028, in each case upon giving not less than ten (10), but not more than sixty (60) days’ notice to the holder of the New Senior Notes. The Exchange became effective on October 20, 2026. It is expected that the remaining $26.0 million aggregate principal amount of Senior Notes outstanding will be repaid on the February 1, 2027 maturity date.</w:t>
      </w:r>
      <w:r>
        <w:rPr>
          <w:color w:val="000000"/>
        </w:rPr>
        <w:t xml:space="preserve"> </w:t>
      </w:r>
      <w:r>
        <w:rPr>
          <w:rFonts w:ascii="Times New Roman;serif" w:hAnsi="Times New Roman;serif"/>
          <w:b w:val="false"/>
          <w:color w:val="000000"/>
          <w:sz w:val="20"/>
        </w:rPr>
        <w:t>The Exchange was conducted as a private placement in reliance on Section 4(a)(2) of the Securities Act of 1933, as amended (the “Securities Act”), to institutional accredited investors and the New Senior Notes have not been registered under the Securities Act and may not be offered or sold in the United States absent registration or an applicable exemption from registration.</w:t>
      </w:r>
    </w:p>
    <w:p>
      <w:pPr>
        <w:pStyle w:val="TextBody"/>
        <w:bidi w:val="0"/>
        <w:spacing w:before="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Securities Exchange Act of 1934, the registrant has caused this report to be signed on its behalf by the undersigned, thereunto duly authorized.</w:t>
      </w:r>
    </w:p>
    <w:p>
      <w:pPr>
        <w:pStyle w:val="TextBody"/>
        <w:bidi w:val="0"/>
        <w:spacing w:before="0" w:after="0"/>
        <w:jc w:val="left"/>
        <w:rPr/>
      </w:pPr>
      <w:r>
        <w:rPr/>
      </w:r>
    </w:p>
    <w:tbl>
      <w:tblPr>
        <w:tblW w:w="7591" w:type="dxa"/>
        <w:jc w:val="center"/>
        <w:tblInd w:w="0" w:type="dxa"/>
        <w:tblLayout w:type="fixed"/>
        <w:tblCellMar>
          <w:top w:w="28" w:type="dxa"/>
          <w:left w:w="28" w:type="dxa"/>
          <w:bottom w:w="28" w:type="dxa"/>
          <w:right w:w="28" w:type="dxa"/>
        </w:tblCellMar>
      </w:tblPr>
      <w:tblGrid>
        <w:gridCol w:w="726"/>
        <w:gridCol w:w="640"/>
        <w:gridCol w:w="643"/>
        <w:gridCol w:w="301"/>
        <w:gridCol w:w="301"/>
        <w:gridCol w:w="301"/>
        <w:gridCol w:w="1367"/>
        <w:gridCol w:w="1367"/>
        <w:gridCol w:w="194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8"/>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8"/>
              </w:rPr>
              <w:t>LOANE  </w:t>
            </w: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President and Chairman of the Board</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4215</Characters>
  <CharactersWithSpaces>4996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