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0"/>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w w:val="98"/>
              </w:rPr>
              <w:t>UNITED STATES</w:t>
            </w:r>
          </w:p>
        </w:tc>
        <w:tc>
          <w:tcPr>
            <w:tcW w:w="1800" w:type="dxa"/>
            <w:vAlign w:val="bottom"/>
          </w:tcPr>
          <w:p>
            <w:pPr>
              <w:spacing w:after="0"/>
              <w:rPr>
                <w:sz w:val="14"/>
                <w:szCs w:val="14"/>
                <w:color w:val="auto"/>
              </w:rPr>
            </w:pPr>
          </w:p>
        </w:tc>
      </w:tr>
      <w:tr>
        <w:trPr>
          <w:trHeight w:val="170"/>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1800" w:type="dxa"/>
            <w:vAlign w:val="bottom"/>
          </w:tcPr>
          <w:p>
            <w:pPr>
              <w:spacing w:after="0"/>
              <w:rPr>
                <w:sz w:val="14"/>
                <w:szCs w:val="14"/>
                <w:color w:val="auto"/>
              </w:rPr>
            </w:pPr>
          </w:p>
        </w:tc>
      </w:tr>
      <w:tr>
        <w:trPr>
          <w:trHeight w:val="186"/>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1800" w:type="dxa"/>
            <w:vAlign w:val="bottom"/>
          </w:tcPr>
          <w:p>
            <w:pPr>
              <w:spacing w:after="0"/>
              <w:rPr>
                <w:sz w:val="16"/>
                <w:szCs w:val="16"/>
                <w:color w:val="auto"/>
              </w:rPr>
            </w:pPr>
          </w:p>
        </w:tc>
      </w:tr>
      <w:tr>
        <w:trPr>
          <w:trHeight w:val="340"/>
        </w:trPr>
        <w:tc>
          <w:tcPr>
            <w:tcW w:w="5200" w:type="dxa"/>
            <w:vAlign w:val="bottom"/>
          </w:tcPr>
          <w:p>
            <w:pPr>
              <w:spacing w:after="0"/>
              <w:rPr>
                <w:sz w:val="24"/>
                <w:szCs w:val="24"/>
                <w:color w:val="auto"/>
              </w:rPr>
            </w:pPr>
          </w:p>
        </w:tc>
        <w:tc>
          <w:tcPr>
            <w:tcW w:w="230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1800" w:type="dxa"/>
            <w:vAlign w:val="bottom"/>
          </w:tcPr>
          <w:p>
            <w:pPr>
              <w:spacing w:after="0"/>
              <w:rPr>
                <w:sz w:val="24"/>
                <w:szCs w:val="24"/>
                <w:color w:val="auto"/>
              </w:rPr>
            </w:pPr>
          </w:p>
        </w:tc>
      </w:tr>
      <w:tr>
        <w:trPr>
          <w:trHeight w:val="362"/>
        </w:trPr>
        <w:tc>
          <w:tcPr>
            <w:tcW w:w="7500" w:type="dxa"/>
            <w:vAlign w:val="bottom"/>
            <w:gridSpan w:val="3"/>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QUARTERLY REPORT PURSUANT TO SECTION 13 OR 15(d) OF THE SECURITIES EXCHANGE ACT OF 1934</w:t>
            </w:r>
          </w:p>
        </w:tc>
        <w:tc>
          <w:tcPr>
            <w:tcW w:w="1800" w:type="dxa"/>
            <w:vAlign w:val="bottom"/>
          </w:tcPr>
          <w:p>
            <w:pPr>
              <w:spacing w:after="0"/>
              <w:rPr>
                <w:sz w:val="24"/>
                <w:szCs w:val="24"/>
                <w:color w:val="auto"/>
              </w:rPr>
            </w:pPr>
          </w:p>
        </w:tc>
      </w:tr>
      <w:tr>
        <w:trPr>
          <w:trHeight w:val="339"/>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quarterly period ended June 30, 2024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OR</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1800" w:type="dxa"/>
            <w:vAlign w:val="bottom"/>
          </w:tcPr>
          <w:p>
            <w:pPr>
              <w:spacing w:after="0"/>
              <w:rPr>
                <w:sz w:val="24"/>
                <w:szCs w:val="24"/>
                <w:color w:val="auto"/>
              </w:rPr>
            </w:pPr>
          </w:p>
        </w:tc>
      </w:tr>
      <w:tr>
        <w:trPr>
          <w:trHeight w:val="361"/>
        </w:trPr>
        <w:tc>
          <w:tcPr>
            <w:tcW w:w="7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 the transition period from _____to____</w:t>
            </w:r>
            <w:r>
              <w:rPr>
                <w:rFonts w:ascii="Times New Roman" w:cs="Times New Roman" w:eastAsia="Times New Roman" w:hAnsi="Times New Roman"/>
                <w:sz w:val="14"/>
                <w:szCs w:val="14"/>
                <w:b w:val="1"/>
                <w:bCs w:val="1"/>
                <w:color w:val="auto"/>
              </w:rPr>
              <w:t>_</w:t>
            </w:r>
          </w:p>
        </w:tc>
        <w:tc>
          <w:tcPr>
            <w:tcW w:w="1800" w:type="dxa"/>
            <w:vAlign w:val="bottom"/>
          </w:tcPr>
          <w:p>
            <w:pPr>
              <w:spacing w:after="0"/>
              <w:rPr>
                <w:sz w:val="24"/>
                <w:szCs w:val="24"/>
                <w:color w:val="auto"/>
              </w:rPr>
            </w:pPr>
          </w:p>
        </w:tc>
      </w:tr>
      <w:tr>
        <w:trPr>
          <w:trHeight w:val="312"/>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14"/>
                <w:szCs w:val="14"/>
                <w:b w:val="1"/>
                <w:bCs w:val="1"/>
                <w:color w:val="auto"/>
              </w:rPr>
              <w:t>Commission file number: 814-01035</w:t>
            </w:r>
          </w:p>
        </w:tc>
        <w:tc>
          <w:tcPr>
            <w:tcW w:w="1800" w:type="dxa"/>
            <w:vAlign w:val="bottom"/>
          </w:tcPr>
          <w:p>
            <w:pPr>
              <w:spacing w:after="0"/>
              <w:rPr>
                <w:sz w:val="24"/>
                <w:szCs w:val="24"/>
                <w:color w:val="auto"/>
              </w:rPr>
            </w:pPr>
          </w:p>
        </w:tc>
      </w:tr>
      <w:tr>
        <w:trPr>
          <w:trHeight w:val="417"/>
        </w:trPr>
        <w:tc>
          <w:tcPr>
            <w:tcW w:w="7500" w:type="dxa"/>
            <w:vAlign w:val="bottom"/>
            <w:gridSpan w:val="3"/>
          </w:tcPr>
          <w:p>
            <w:pPr>
              <w:jc w:val="center"/>
              <w:ind w:left="3725"/>
              <w:spacing w:after="0"/>
              <w:rPr>
                <w:sz w:val="20"/>
                <w:szCs w:val="20"/>
                <w:color w:val="auto"/>
              </w:rPr>
            </w:pPr>
            <w:r>
              <w:rPr>
                <w:rFonts w:ascii="Times New Roman" w:cs="Times New Roman" w:eastAsia="Times New Roman" w:hAnsi="Times New Roman"/>
                <w:sz w:val="34"/>
                <w:szCs w:val="34"/>
                <w:b w:val="1"/>
                <w:bCs w:val="1"/>
                <w:color w:val="auto"/>
                <w:w w:val="99"/>
              </w:rPr>
              <w:t>NEWTEKONE, INC.</w:t>
            </w:r>
          </w:p>
        </w:tc>
        <w:tc>
          <w:tcPr>
            <w:tcW w:w="1800" w:type="dxa"/>
            <w:vAlign w:val="bottom"/>
          </w:tcPr>
          <w:p>
            <w:pPr>
              <w:spacing w:after="0"/>
              <w:rPr>
                <w:sz w:val="24"/>
                <w:szCs w:val="24"/>
                <w:color w:val="auto"/>
              </w:rPr>
            </w:pPr>
          </w:p>
        </w:tc>
      </w:tr>
      <w:tr>
        <w:trPr>
          <w:trHeight w:val="184"/>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800" w:type="dxa"/>
            <w:vAlign w:val="bottom"/>
          </w:tcPr>
          <w:p>
            <w:pPr>
              <w:spacing w:after="0"/>
              <w:rPr>
                <w:sz w:val="16"/>
                <w:szCs w:val="16"/>
                <w:color w:val="auto"/>
              </w:rPr>
            </w:pPr>
          </w:p>
        </w:tc>
      </w:tr>
      <w:tr>
        <w:trPr>
          <w:trHeight w:val="439"/>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8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46-3755188</w:t>
            </w:r>
          </w:p>
        </w:tc>
      </w:tr>
      <w:tr>
        <w:trPr>
          <w:trHeight w:val="147"/>
        </w:trPr>
        <w:tc>
          <w:tcPr>
            <w:tcW w:w="7500" w:type="dxa"/>
            <w:vAlign w:val="bottom"/>
            <w:gridSpan w:val="3"/>
          </w:tcPr>
          <w:p>
            <w:pPr>
              <w:jc w:val="center"/>
              <w:ind w:right="19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800" w:type="dxa"/>
            <w:vAlign w:val="bottom"/>
          </w:tcPr>
          <w:p>
            <w:pPr>
              <w:jc w:val="center"/>
              <w:ind w:left="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5"/>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4800 T Rex Avenue, Suite 120, Boca Raton, Florida</w:t>
            </w:r>
          </w:p>
        </w:tc>
        <w:tc>
          <w:tcPr>
            <w:tcW w:w="180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33431</w:t>
            </w:r>
          </w:p>
        </w:tc>
      </w:tr>
      <w:tr>
        <w:trPr>
          <w:trHeight w:val="147"/>
        </w:trPr>
        <w:tc>
          <w:tcPr>
            <w:tcW w:w="7500" w:type="dxa"/>
            <w:vAlign w:val="bottom"/>
            <w:gridSpan w:val="3"/>
          </w:tcPr>
          <w:p>
            <w:pPr>
              <w:jc w:val="center"/>
              <w:ind w:right="19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800" w:type="dxa"/>
            <w:vAlign w:val="bottom"/>
          </w:tcPr>
          <w:p>
            <w:pPr>
              <w:jc w:val="center"/>
              <w:ind w:left="76"/>
              <w:spacing w:after="0"/>
              <w:rPr>
                <w:sz w:val="20"/>
                <w:szCs w:val="20"/>
                <w:color w:val="auto"/>
              </w:rPr>
            </w:pPr>
            <w:r>
              <w:rPr>
                <w:rFonts w:ascii="Times New Roman" w:cs="Times New Roman" w:eastAsia="Times New Roman" w:hAnsi="Times New Roman"/>
                <w:sz w:val="11"/>
                <w:szCs w:val="11"/>
                <w:color w:val="auto"/>
              </w:rPr>
              <w:t>(Zip Code)</w:t>
            </w:r>
          </w:p>
        </w:tc>
      </w:tr>
      <w:tr>
        <w:trPr>
          <w:trHeight w:val="221"/>
        </w:trPr>
        <w:tc>
          <w:tcPr>
            <w:tcW w:w="5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(212) 356-9500</w:t>
            </w:r>
          </w:p>
        </w:tc>
        <w:tc>
          <w:tcPr>
            <w:tcW w:w="14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81"/>
        </w:trPr>
        <w:tc>
          <w:tcPr>
            <w:tcW w:w="7500" w:type="dxa"/>
            <w:vAlign w:val="bottom"/>
            <w:gridSpan w:val="3"/>
          </w:tcPr>
          <w:p>
            <w:pPr>
              <w:jc w:val="center"/>
              <w:ind w:left="370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tcPr>
          <w:p>
            <w:pPr>
              <w:spacing w:after="0"/>
              <w:rPr>
                <w:sz w:val="15"/>
                <w:szCs w:val="15"/>
                <w:color w:val="auto"/>
              </w:rPr>
            </w:pPr>
          </w:p>
        </w:tc>
      </w:tr>
    </w:tbl>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$0.02 per share</w:t>
            </w:r>
          </w:p>
        </w:tc>
        <w:tc>
          <w:tcPr>
            <w:tcW w:w="80" w:type="dxa"/>
            <w:vAlign w:val="bottom"/>
          </w:tcPr>
          <w:p>
            <w:pPr>
              <w:spacing w:after="0"/>
              <w:rPr>
                <w:sz w:val="14"/>
                <w:szCs w:val="1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NEWT</w:t>
            </w:r>
          </w:p>
        </w:tc>
        <w:tc>
          <w:tcPr>
            <w:tcW w:w="80" w:type="dxa"/>
            <w:vAlign w:val="bottom"/>
          </w:tcPr>
          <w:p>
            <w:pPr>
              <w:spacing w:after="0"/>
              <w:rPr>
                <w:sz w:val="14"/>
                <w:szCs w:val="14"/>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NEWTZ</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NEWTI</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r>
        <w:trPr>
          <w:trHeight w:val="184"/>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c>
          <w:tcPr>
            <w:tcW w:w="2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NEWTG</w:t>
            </w: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 LLC</w:t>
            </w:r>
          </w:p>
        </w:tc>
      </w:tr>
    </w:tbl>
    <w:p>
      <w:pPr>
        <w:spacing w:after="0" w:line="251"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4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2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84"/>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80"/>
              </w:rPr>
              <w:t>x</w:t>
            </w: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r>
        <w:trPr>
          <w:trHeight w:val="223"/>
        </w:trPr>
        <w:tc>
          <w:tcPr>
            <w:tcW w:w="31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920" w:type="dxa"/>
            <w:vAlign w:val="bottom"/>
          </w:tcPr>
          <w:p>
            <w:pPr>
              <w:ind w:left="17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 w:cs="Wingdings" w:eastAsia="Wingdings" w:hAnsi="Wingdings"/>
          <w:sz w:val="14"/>
          <w:szCs w:val="14"/>
          <w:b w:val="1"/>
          <w:bCs w:val="1"/>
          <w:color w:val="auto"/>
        </w:rPr>
        <w:t>o</w:t>
      </w:r>
    </w:p>
    <w:p>
      <w:pPr>
        <w:spacing w:after="0" w:line="284" w:lineRule="exact"/>
        <w:rPr>
          <w:sz w:val="20"/>
          <w:szCs w:val="20"/>
          <w:color w:val="auto"/>
        </w:rPr>
      </w:pPr>
    </w:p>
    <w:p>
      <w:pPr>
        <w:spacing w:after="0" w:line="161" w:lineRule="exact"/>
        <w:tabs>
          <w:tab w:leader="none" w:pos="6540" w:val="left"/>
          <w:tab w:leader="none" w:pos="71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August 7, 2024, there were 25,964,046 shares outstanding of the registrant’s Common Stock, par value $0.02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36"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4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13"/>
        </w:trPr>
        <w:tc>
          <w:tcPr>
            <w:tcW w:w="1280" w:type="dxa"/>
            <w:vAlign w:val="bottom"/>
          </w:tcPr>
          <w:p>
            <w:pPr>
              <w:spacing w:after="0"/>
              <w:rPr>
                <w:sz w:val="18"/>
                <w:szCs w:val="18"/>
                <w:color w:val="auto"/>
              </w:rPr>
            </w:pPr>
          </w:p>
        </w:tc>
        <w:tc>
          <w:tcPr>
            <w:tcW w:w="8560" w:type="dxa"/>
            <w:vAlign w:val="bottom"/>
            <w:gridSpan w:val="27"/>
          </w:tcPr>
          <w:p>
            <w:pPr>
              <w:spacing w:after="0"/>
              <w:rPr>
                <w:sz w:val="20"/>
                <w:szCs w:val="20"/>
                <w:color w:val="auto"/>
              </w:rPr>
            </w:pPr>
            <w:r>
              <w:rPr>
                <w:rFonts w:ascii="Times New Roman" w:cs="Times New Roman" w:eastAsia="Times New Roman" w:hAnsi="Times New Roman"/>
                <w:sz w:val="14"/>
                <w:szCs w:val="14"/>
                <w:color w:val="3051F2"/>
              </w:rPr>
              <w:t>Defined Terms</w:t>
            </w:r>
          </w:p>
        </w:tc>
        <w:tc>
          <w:tcPr>
            <w:tcW w:w="1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w:t>
            </w:r>
          </w:p>
        </w:tc>
      </w:tr>
      <w:tr>
        <w:trPr>
          <w:trHeight w:val="160"/>
        </w:trPr>
        <w:tc>
          <w:tcPr>
            <w:tcW w:w="1280" w:type="dxa"/>
            <w:vAlign w:val="bottom"/>
          </w:tcPr>
          <w:p>
            <w:pPr>
              <w:spacing w:after="0"/>
              <w:rPr>
                <w:sz w:val="13"/>
                <w:szCs w:val="13"/>
                <w:color w:val="auto"/>
              </w:rPr>
            </w:pPr>
          </w:p>
        </w:tc>
        <w:tc>
          <w:tcPr>
            <w:tcW w:w="48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120" w:type="dxa"/>
            <w:vAlign w:val="bottom"/>
            <w:tcBorders>
              <w:top w:val="single" w:sz="8" w:color="3051F2"/>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6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298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85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59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Consolidated Statements of Financial Condition as of June 30, 2024 (Unaudited) and December 31, 2023</w:t>
            </w:r>
          </w:p>
        </w:tc>
        <w:tc>
          <w:tcPr>
            <w:tcW w:w="2600" w:type="dxa"/>
            <w:vAlign w:val="bottom"/>
            <w:gridSpan w:val="6"/>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3"/>
        </w:trPr>
        <w:tc>
          <w:tcPr>
            <w:tcW w:w="1280" w:type="dxa"/>
            <w:vAlign w:val="bottom"/>
          </w:tcPr>
          <w:p>
            <w:pPr>
              <w:spacing w:after="0"/>
              <w:rPr>
                <w:sz w:val="17"/>
                <w:szCs w:val="17"/>
                <w:color w:val="auto"/>
              </w:rPr>
            </w:pPr>
          </w:p>
        </w:tc>
        <w:tc>
          <w:tcPr>
            <w:tcW w:w="85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Consolidated Statements of Income for the three and six months ended June 30, 2024 and 2023 (Unaudited)</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12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70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three and six months ended June 30, 2024 and 2023 (Unaudited)</w:t>
            </w:r>
          </w:p>
        </w:tc>
        <w:tc>
          <w:tcPr>
            <w:tcW w:w="1520" w:type="dxa"/>
            <w:vAlign w:val="bottom"/>
            <w:gridSpan w:val="2"/>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w:t>
            </w:r>
          </w:p>
        </w:tc>
      </w:tr>
      <w:tr>
        <w:trPr>
          <w:trHeight w:val="203"/>
        </w:trPr>
        <w:tc>
          <w:tcPr>
            <w:tcW w:w="1280" w:type="dxa"/>
            <w:vAlign w:val="bottom"/>
          </w:tcPr>
          <w:p>
            <w:pPr>
              <w:spacing w:after="0"/>
              <w:rPr>
                <w:sz w:val="17"/>
                <w:szCs w:val="17"/>
                <w:color w:val="auto"/>
              </w:rPr>
            </w:pPr>
          </w:p>
        </w:tc>
        <w:tc>
          <w:tcPr>
            <w:tcW w:w="85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 xml:space="preserve">Consolidated Statements of Changes in Shareholders’ Equity for the three and six months ended June 30, 2024 and 2023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Unaudited)</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w:t>
            </w:r>
          </w:p>
        </w:tc>
      </w:tr>
      <w:tr>
        <w:trPr>
          <w:trHeight w:val="203"/>
        </w:trPr>
        <w:tc>
          <w:tcPr>
            <w:tcW w:w="1280" w:type="dxa"/>
            <w:vAlign w:val="bottom"/>
          </w:tcPr>
          <w:p>
            <w:pPr>
              <w:spacing w:after="0"/>
              <w:rPr>
                <w:sz w:val="17"/>
                <w:szCs w:val="17"/>
                <w:color w:val="auto"/>
              </w:rPr>
            </w:pPr>
          </w:p>
        </w:tc>
        <w:tc>
          <w:tcPr>
            <w:tcW w:w="68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six months ended June 30, 2024 and 2023 (Unaudited)</w:t>
            </w:r>
          </w:p>
        </w:tc>
        <w:tc>
          <w:tcPr>
            <w:tcW w:w="80" w:type="dxa"/>
            <w:vAlign w:val="bottom"/>
          </w:tcPr>
          <w:p>
            <w:pPr>
              <w:spacing w:after="0"/>
              <w:rPr>
                <w:sz w:val="17"/>
                <w:szCs w:val="17"/>
                <w:color w:val="auto"/>
              </w:rPr>
            </w:pPr>
          </w:p>
        </w:tc>
        <w:tc>
          <w:tcPr>
            <w:tcW w:w="620" w:type="dxa"/>
            <w:vAlign w:val="bottom"/>
            <w:tcBorders>
              <w:top w:val="single" w:sz="8" w:color="0000FF"/>
            </w:tcBorders>
            <w:gridSpan w:val="2"/>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13</w:t>
            </w:r>
          </w:p>
        </w:tc>
      </w:tr>
      <w:tr>
        <w:trPr>
          <w:trHeight w:val="203"/>
        </w:trPr>
        <w:tc>
          <w:tcPr>
            <w:tcW w:w="128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188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0000FF"/>
            </w:tcBorders>
            <w:gridSpan w:val="4"/>
          </w:tcPr>
          <w:p>
            <w:pPr>
              <w:spacing w:after="0"/>
              <w:rPr>
                <w:sz w:val="17"/>
                <w:szCs w:val="17"/>
                <w:color w:val="auto"/>
              </w:rPr>
            </w:pPr>
          </w:p>
        </w:tc>
        <w:tc>
          <w:tcPr>
            <w:tcW w:w="2760" w:type="dxa"/>
            <w:vAlign w:val="bottom"/>
            <w:gridSpan w:val="7"/>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14</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50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480" w:type="dxa"/>
            <w:vAlign w:val="bottom"/>
            <w:gridSpan w:val="12"/>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55</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120" w:type="dxa"/>
            <w:vAlign w:val="bottom"/>
            <w:gridSpan w:val="13"/>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87</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85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89</w:t>
            </w:r>
          </w:p>
        </w:tc>
      </w:tr>
      <w:tr>
        <w:trPr>
          <w:trHeight w:val="203"/>
        </w:trPr>
        <w:tc>
          <w:tcPr>
            <w:tcW w:w="128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60" w:type="dxa"/>
            <w:vAlign w:val="bottom"/>
            <w:gridSpan w:val="16"/>
          </w:tcPr>
          <w:p>
            <w:pPr>
              <w:jc w:val="center"/>
              <w:ind w:right="3060"/>
              <w:spacing w:after="0"/>
              <w:rPr>
                <w:sz w:val="20"/>
                <w:szCs w:val="20"/>
                <w:color w:val="auto"/>
              </w:rPr>
            </w:pPr>
            <w:r>
              <w:rPr>
                <w:rFonts w:ascii="Times New Roman" w:cs="Times New Roman" w:eastAsia="Times New Roman" w:hAnsi="Times New Roman"/>
                <w:sz w:val="14"/>
                <w:szCs w:val="14"/>
                <w:b w:val="1"/>
                <w:bCs w:val="1"/>
                <w:color w:val="0000FF"/>
                <w:w w:val="99"/>
              </w:rPr>
              <w:t>PART II - OTHER INFORMATION</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180" w:type="dxa"/>
            <w:vAlign w:val="bottom"/>
            <w:gridSpan w:val="6"/>
          </w:tcPr>
          <w:p>
            <w:pPr>
              <w:spacing w:after="0"/>
              <w:rPr>
                <w:sz w:val="17"/>
                <w:szCs w:val="17"/>
                <w:color w:val="auto"/>
              </w:rPr>
            </w:pPr>
          </w:p>
        </w:tc>
        <w:tc>
          <w:tcPr>
            <w:tcW w:w="2220" w:type="dxa"/>
            <w:vAlign w:val="bottom"/>
            <w:tcBorders>
              <w:top w:val="single" w:sz="8" w:color="0000FF"/>
            </w:tcBorders>
            <w:gridSpan w:val="6"/>
          </w:tcPr>
          <w:p>
            <w:pPr>
              <w:spacing w:after="0"/>
              <w:rPr>
                <w:sz w:val="17"/>
                <w:szCs w:val="17"/>
                <w:color w:val="auto"/>
              </w:rPr>
            </w:pPr>
          </w:p>
        </w:tc>
        <w:tc>
          <w:tcPr>
            <w:tcW w:w="3100" w:type="dxa"/>
            <w:vAlign w:val="bottom"/>
            <w:gridSpan w:val="9"/>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92</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840" w:type="dxa"/>
            <w:vAlign w:val="bottom"/>
            <w:gridSpan w:val="24"/>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92</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3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140" w:type="dxa"/>
            <w:vAlign w:val="bottom"/>
            <w:gridSpan w:val="14"/>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92</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85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92</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20" w:type="dxa"/>
            <w:vAlign w:val="bottom"/>
            <w:tcBorders>
              <w:top w:val="single" w:sz="8" w:color="0000FF"/>
            </w:tcBorders>
          </w:tcPr>
          <w:p>
            <w:pPr>
              <w:spacing w:after="0"/>
              <w:rPr>
                <w:sz w:val="17"/>
                <w:szCs w:val="17"/>
                <w:color w:val="auto"/>
              </w:rPr>
            </w:pPr>
          </w:p>
        </w:tc>
        <w:tc>
          <w:tcPr>
            <w:tcW w:w="6740" w:type="dxa"/>
            <w:vAlign w:val="bottom"/>
            <w:gridSpan w:val="18"/>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92</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520" w:type="dxa"/>
            <w:vAlign w:val="bottom"/>
            <w:gridSpan w:val="22"/>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92</w:t>
            </w: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8080" w:type="dxa"/>
            <w:vAlign w:val="bottom"/>
            <w:gridSpan w:val="26"/>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93</w:t>
            </w:r>
          </w:p>
        </w:tc>
      </w:tr>
      <w:tr>
        <w:trPr>
          <w:trHeight w:val="203"/>
        </w:trPr>
        <w:tc>
          <w:tcPr>
            <w:tcW w:w="1280" w:type="dxa"/>
            <w:vAlign w:val="bottom"/>
          </w:tcPr>
          <w:p>
            <w:pPr>
              <w:spacing w:after="0"/>
              <w:rPr>
                <w:sz w:val="17"/>
                <w:szCs w:val="17"/>
                <w:color w:val="auto"/>
              </w:rPr>
            </w:pPr>
          </w:p>
        </w:tc>
        <w:tc>
          <w:tcPr>
            <w:tcW w:w="856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94</w:t>
            </w:r>
          </w:p>
        </w:tc>
      </w:tr>
      <w:tr>
        <w:trPr>
          <w:trHeight w:val="777"/>
        </w:trPr>
        <w:tc>
          <w:tcPr>
            <w:tcW w:w="128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Terms</w:t>
      </w:r>
    </w:p>
    <w:p>
      <w:pPr>
        <w:spacing w:after="0" w:line="202"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4"/>
          <w:szCs w:val="14"/>
          <w:color w:val="auto"/>
        </w:rPr>
        <w:t>We have used “we,” “us,” “our,” “our company,” and “the Company” to refer to NewtekOne, Inc. and its subsidiaries in this report. We also have used several other terms in this report, which are explained or defined below:</w:t>
      </w:r>
    </w:p>
    <w:tbl>
      <w:tblPr>
        <w:tblLayout w:type="fixed"/>
        <w:tblInd w:w="0" w:type="dxa"/>
        <w:tblCellMar>
          <w:top w:w="0" w:type="dxa"/>
          <w:left w:w="0" w:type="dxa"/>
          <w:bottom w:w="0" w:type="dxa"/>
          <w:right w:w="0" w:type="dxa"/>
        </w:tblCellMar>
      </w:tblPr>
      <w:tr>
        <w:trPr>
          <w:trHeight w:val="186"/>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Terms</w:t>
            </w:r>
          </w:p>
        </w:tc>
        <w:tc>
          <w:tcPr>
            <w:tcW w:w="8240" w:type="dxa"/>
            <w:vAlign w:val="bottom"/>
            <w:tcBorders>
              <w:bottom w:val="single" w:sz="8" w:color="CCEEFF"/>
            </w:tcBorders>
          </w:tcPr>
          <w:p>
            <w:pPr>
              <w:spacing w:after="0"/>
              <w:rPr>
                <w:sz w:val="16"/>
                <w:szCs w:val="16"/>
                <w:color w:val="auto"/>
              </w:rPr>
            </w:pPr>
          </w:p>
        </w:tc>
      </w:tr>
      <w:tr>
        <w:trPr>
          <w:trHeight w:val="17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1940</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Company Act of 1940, as amended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2017-1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2017-1, terminated in February 2023</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2018-1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2019-1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2019-1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2021-1</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2022-1 Trust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2022-1</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2023-1 Trust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Loan Trust, Series 2023-1</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 due 2024, matured August 1, 2024</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6.85%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6.85% Notes due 2025, redeemed in May 2022</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 due 2025</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 due 2025</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Collectively, the 2025 6.85% Notes, the 2025 5.00% Notes and the 8.125% Notes due 2025</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2026</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 due 2026</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2028</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 Notes due 2028</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2029</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 Notes due 2029</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ABL</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based lending</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ACL</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r>
      <w:tr>
        <w:trPr>
          <w:trHeight w:val="138"/>
        </w:trPr>
        <w:tc>
          <w:tcPr>
            <w:tcW w:w="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The Company’s Acquisition of NBNYC, pursuant to which the Company acquired from the NBNYC shareholders all of the issued and</w:t>
            </w:r>
          </w:p>
        </w:tc>
      </w:tr>
      <w:tr>
        <w:trPr>
          <w:trHeight w:val="19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stock of NBNYC</w:t>
            </w:r>
          </w:p>
        </w:tc>
      </w:tr>
      <w:tr>
        <w:trPr>
          <w:trHeight w:val="181"/>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Alternative Lending Program</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Accounting Standards Codification, as issued by the FASB</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ASU</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Standards Updates, as issued by the FASB</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Equity Distribution Agreement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Distribution Agreement, dated November 17, 2023, by and among the Company and the placement agents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rPr>
              <w:t>BDC</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Business Development Company under the 1940 Act</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Board</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board of directors</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One Bank, National Association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Conventional commercial and industrial loans</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4"/>
              </w:rPr>
              <w:t>Code</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Deutsche Bank</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Deutsche Bank AG</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DIF</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 Insurance Fund of the FDIC</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DRIP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former dividend reinvestment plan</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2015</w:t>
            </w:r>
          </w:p>
        </w:tc>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Company's 2015 Stock Incentive Plan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Incentive Plan</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Company’s 2023 Stock Incentive Plan</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Program</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Federal Reserve</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Deposit Insurance Corporation</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FV</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r>
      <w:tr>
        <w:trPr>
          <w:trHeight w:val="18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HFI</w:t>
            </w:r>
          </w:p>
        </w:tc>
        <w:tc>
          <w:tcPr>
            <w:tcW w:w="2720" w:type="dxa"/>
            <w:vAlign w:val="bottom"/>
            <w:shd w:val="clear" w:color="auto" w:fill="CCEEFF"/>
          </w:tcPr>
          <w:p>
            <w:pPr>
              <w:spacing w:after="0"/>
              <w:rPr>
                <w:sz w:val="15"/>
                <w:szCs w:val="15"/>
                <w:color w:val="auto"/>
              </w:rPr>
            </w:pP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Held for investment</w:t>
            </w:r>
          </w:p>
        </w:tc>
      </w:tr>
      <w:tr>
        <w:trPr>
          <w:trHeight w:val="18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HFS</w:t>
            </w:r>
          </w:p>
        </w:tc>
        <w:tc>
          <w:tcPr>
            <w:tcW w:w="2720" w:type="dxa"/>
            <w:vAlign w:val="bottom"/>
          </w:tcPr>
          <w:p>
            <w:pPr>
              <w:spacing w:after="0"/>
              <w:rPr>
                <w:sz w:val="15"/>
                <w:szCs w:val="15"/>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Held for sale</w:t>
            </w:r>
          </w:p>
        </w:tc>
      </w:tr>
      <w:tr>
        <w:trPr>
          <w:trHeight w:val="180"/>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679"/>
        </w:trPr>
        <w:tc>
          <w:tcPr>
            <w:tcW w:w="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320" w:type="dxa"/>
            <w:vAlign w:val="bottom"/>
            <w:tcBorders>
              <w:bottom w:val="single" w:sz="8" w:color="9A9A9A"/>
            </w:tcBorders>
          </w:tcPr>
          <w:p>
            <w:pPr>
              <w:spacing w:after="0"/>
              <w:rPr>
                <w:sz w:val="7"/>
                <w:szCs w:val="7"/>
                <w:color w:val="auto"/>
              </w:rPr>
            </w:pPr>
          </w:p>
        </w:tc>
        <w:tc>
          <w:tcPr>
            <w:tcW w:w="2720" w:type="dxa"/>
            <w:vAlign w:val="bottom"/>
            <w:tcBorders>
              <w:bottom w:val="single" w:sz="8" w:color="9A9A9A"/>
            </w:tcBorders>
          </w:tcPr>
          <w:p>
            <w:pPr>
              <w:spacing w:after="0"/>
              <w:rPr>
                <w:sz w:val="7"/>
                <w:szCs w:val="7"/>
                <w:color w:val="auto"/>
              </w:rPr>
            </w:pPr>
          </w:p>
        </w:tc>
        <w:tc>
          <w:tcPr>
            <w:tcW w:w="8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LCM</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Lower of amortized cost basis or fair value</w:t>
            </w: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Loan-to-Value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NBNYC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National Bank of New York City, which has been renamed Newtek Bank, National Association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of the Comptroller of the Currency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PCD</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Financial Assets with Credit Deterioration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Lenders Program, as authorized by the SBA</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Paycheck Protection Program</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Regulated investment company under the Code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 and Poor's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Small Business Administration</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Small-and-medium sized businesses</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 LLC, a wholly-owned subsidiary of Holdco 6, and Capital One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 LLC, a wholly-owned subsidiary of Holdco 6, and Deutsche Bank</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and Security Agreement between NBL SPV III, LLC, a wholly-owned subsidiary of Holdco 6, and One Florida Bank</w:t>
            </w:r>
          </w:p>
        </w:tc>
      </w:tr>
      <w:tr>
        <w:trPr>
          <w:trHeight w:val="138"/>
        </w:trPr>
        <w:tc>
          <w:tcPr>
            <w:tcW w:w="30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Stock Purchase Agreement</w:t>
            </w:r>
          </w:p>
        </w:tc>
        <w:tc>
          <w:tcPr>
            <w:tcW w:w="8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Stock Purchase Agreement dated August 2, 2021, between the Company, NBNYC and certain NBNYC shareholders to acquire all of the issued</w:t>
            </w:r>
          </w:p>
        </w:tc>
      </w:tr>
      <w:tr>
        <w:trPr>
          <w:trHeight w:val="187"/>
        </w:trPr>
        <w:tc>
          <w:tcPr>
            <w:tcW w:w="3040" w:type="dxa"/>
            <w:vAlign w:val="bottom"/>
          </w:tcPr>
          <w:p>
            <w:pPr>
              <w:spacing w:after="0"/>
              <w:rPr>
                <w:sz w:val="16"/>
                <w:szCs w:val="16"/>
                <w:color w:val="auto"/>
              </w:rPr>
            </w:pP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outstanding stock of NBNYC, as amended through December 12, 2022</w:t>
            </w:r>
          </w:p>
        </w:tc>
      </w:tr>
      <w:tr>
        <w:trPr>
          <w:trHeight w:val="18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Trustee</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II</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TSO II Booster Aggregator, L.P.</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 or GAAP</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Webster</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Webster Bank, N.A.</w:t>
            </w:r>
          </w:p>
        </w:tc>
      </w:tr>
      <w:tr>
        <w:trPr>
          <w:trHeight w:val="212"/>
        </w:trPr>
        <w:tc>
          <w:tcPr>
            <w:tcW w:w="30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r>
      <w:tr>
        <w:trPr>
          <w:trHeight w:val="18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 and Joint Ventures</w:t>
            </w:r>
          </w:p>
        </w:tc>
        <w:tc>
          <w:tcPr>
            <w:tcW w:w="8240" w:type="dxa"/>
            <w:vAlign w:val="bottom"/>
            <w:tcBorders>
              <w:bottom w:val="single" w:sz="8" w:color="CCEEFF"/>
            </w:tcBorders>
          </w:tcPr>
          <w:p>
            <w:pPr>
              <w:spacing w:after="0"/>
              <w:rPr>
                <w:sz w:val="15"/>
                <w:szCs w:val="15"/>
                <w:color w:val="auto"/>
              </w:rPr>
            </w:pPr>
          </w:p>
        </w:tc>
      </w:tr>
      <w:tr>
        <w:trPr>
          <w:trHeight w:val="17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Small Business Finance, LLC,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NBL</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Business Lending, LLC, a former wholly-owned subsidiary of Newtek Bank, merged into SBL on May 2, 2023</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NCL</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Commercial Lending, Inc,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NCL JV</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Conventional Lending, LLC, a 50% owned joint venture</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 National Association,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Holdco 6</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Business Services Holdco 6, Inc.,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TSO JV</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Newtek-TSO II Conventional Credit Partners, LP, a 50% owned joint venture</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NMS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Merchant Solutions,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 Money</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Mobil Money, LLC,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NTS</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Technology Solutions, Inc.,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NBC</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CDS Business Services, Inc. dba Newtek Business Credit Solutions,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SBL</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Small Business Lending, LLC, a wholly owned subsidiary of Newtek Bank</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PMT</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PMTWorks Payroll, LLC dba Newtek Payroll and Benefits Solutions,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NIA</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Newtek Insurance Agency, LLC, a consolidated subsidiary</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TAM</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Titanium Asset Management, LLC, a consolidated subsidiary</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EMCAP</w:t>
            </w:r>
          </w:p>
        </w:tc>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EMCAP Loan Holdings, LLC</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w:t>
            </w:r>
          </w:p>
        </w:tc>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 on Cloud, LLC, dba Newtek Payment Systems, an 88.34% owned consolidated subsidiary</w:t>
            </w:r>
          </w:p>
        </w:tc>
      </w:tr>
      <w:tr>
        <w:trPr>
          <w:trHeight w:val="488"/>
        </w:trPr>
        <w:tc>
          <w:tcPr>
            <w:tcW w:w="3040" w:type="dxa"/>
            <w:vAlign w:val="bottom"/>
          </w:tcPr>
          <w:p>
            <w:pPr>
              <w:spacing w:after="0"/>
              <w:rPr>
                <w:sz w:val="24"/>
                <w:szCs w:val="24"/>
                <w:color w:val="auto"/>
              </w:rPr>
            </w:pPr>
          </w:p>
        </w:tc>
        <w:tc>
          <w:tcPr>
            <w:tcW w:w="8240" w:type="dxa"/>
            <w:vAlign w:val="bottom"/>
          </w:tcPr>
          <w:p>
            <w:pPr>
              <w:ind w:left="2560"/>
              <w:spacing w:after="0"/>
              <w:rPr>
                <w:sz w:val="20"/>
                <w:szCs w:val="20"/>
                <w:color w:val="auto"/>
              </w:rPr>
            </w:pPr>
            <w:r>
              <w:rPr>
                <w:rFonts w:ascii="Times New Roman" w:cs="Times New Roman" w:eastAsia="Times New Roman" w:hAnsi="Times New Roman"/>
                <w:sz w:val="14"/>
                <w:szCs w:val="14"/>
                <w:color w:val="auto"/>
              </w:rPr>
              <w:t>5</w:t>
            </w:r>
          </w:p>
        </w:tc>
      </w:tr>
      <w:tr>
        <w:trPr>
          <w:trHeight w:val="278"/>
        </w:trPr>
        <w:tc>
          <w:tcPr>
            <w:tcW w:w="30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CONSOLIDATED STATEMENTS OF FINANCIAL CONDITION</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8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132,597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Settlement receivable</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fair value (cost of $63,506 and $37,864), respectively</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 investments (cost of $680 and $796), respectively</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Goodwill and intangibles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Right of use assets</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tax asset, net</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assets</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1,617,004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0" w:type="dxa"/>
            <w:vAlign w:val="bottom"/>
          </w:tcPr>
          <w:p>
            <w:pPr>
              <w:spacing w:after="0"/>
              <w:rPr>
                <w:sz w:val="6"/>
                <w:szCs w:val="6"/>
                <w:color w:val="auto"/>
              </w:rPr>
            </w:pPr>
          </w:p>
        </w:tc>
        <w:tc>
          <w:tcPr>
            <w:tcW w:w="74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Liabilities: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Noninterest-bearing</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Interest-bearing</w:t>
            </w: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605,504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651,972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Due to participants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1,343,002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1,180,467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Shareholders' Equity:</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Preferred stock (par value $0.02 per share; authorized 20 shares, 20 shares issued and outstanding)</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Common stock (par value $0.02 per share; authorized 199,980 shares, 25,852 and 24,680 shares issued and outstanding,</w:t>
            </w:r>
          </w:p>
        </w:tc>
        <w:tc>
          <w:tcPr>
            <w:tcW w:w="34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1,617,004</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1,429,513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669"/>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74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00" w:type="dxa"/>
            <w:vAlign w:val="bottom"/>
          </w:tcPr>
          <w:p>
            <w:pPr>
              <w:jc w:val="center"/>
              <w:ind w:left="376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74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5"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80" w:type="dxa"/>
            <w:vAlign w:val="bottom"/>
            <w:gridSpan w:val="4"/>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(as restated)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(as restated)</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32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26,773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13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2,206</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29,353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6,865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11,118</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13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136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20,227</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9,126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3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3,327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 income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Servicing income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4,607</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22,564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 gain on loans under the fair value option</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5,174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12,645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3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11,418</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3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52,020</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44,285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101,387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20,790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41,296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3,420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5,693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2,743</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3,015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3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4,382</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36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40,564</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14,783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3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3,838</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10,945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to preferred shareholders</w:t>
            </w:r>
          </w:p>
        </w:tc>
        <w:tc>
          <w:tcPr>
            <w:tcW w:w="136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1360" w:type="dxa"/>
            <w:vAlign w:val="bottom"/>
          </w:tcPr>
          <w:p>
            <w:pPr>
              <w:spacing w:after="0"/>
              <w:rPr>
                <w:sz w:val="14"/>
                <w:szCs w:val="14"/>
                <w:color w:val="auto"/>
              </w:rPr>
            </w:pPr>
          </w:p>
        </w:tc>
        <w:tc>
          <w:tcPr>
            <w:tcW w:w="96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10,545</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0" w:type="dxa"/>
            <w:vAlign w:val="bottom"/>
          </w:tcPr>
          <w:p>
            <w:pPr>
              <w:spacing w:after="0"/>
              <w:rPr>
                <w:sz w:val="12"/>
                <w:szCs w:val="12"/>
                <w:color w:val="auto"/>
              </w:rPr>
            </w:pPr>
          </w:p>
        </w:tc>
        <w:tc>
          <w:tcPr>
            <w:tcW w:w="33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13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320" w:type="dxa"/>
            <w:vAlign w:val="bottom"/>
            <w:gridSpan w:val="2"/>
          </w:tcPr>
          <w:p>
            <w:pPr>
              <w:jc w:val="right"/>
              <w:ind w:right="81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5"/>
                <w:szCs w:val="15"/>
                <w:color w:val="auto"/>
              </w:rPr>
            </w:pP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15"/>
                <w:szCs w:val="15"/>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1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7</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94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20" w:type="dxa"/>
            <w:vAlign w:val="bottom"/>
          </w:tcPr>
          <w:p>
            <w:pPr>
              <w:spacing w:after="0"/>
              <w:rPr>
                <w:sz w:val="14"/>
                <w:szCs w:val="14"/>
                <w:color w:val="auto"/>
              </w:rPr>
            </w:pPr>
          </w:p>
        </w:tc>
        <w:tc>
          <w:tcPr>
            <w:tcW w:w="2480" w:type="dxa"/>
            <w:vAlign w:val="bottom"/>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67"/>
        </w:trPr>
        <w:tc>
          <w:tcPr>
            <w:tcW w:w="56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6"/>
        </w:trPr>
        <w:tc>
          <w:tcPr>
            <w:tcW w:w="5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(as restated)</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1"/>
                <w:szCs w:val="11"/>
                <w:color w:val="auto"/>
              </w:rPr>
              <w:t>(as restated)</w:t>
            </w:r>
          </w:p>
        </w:tc>
      </w:tr>
      <w:tr>
        <w:trPr>
          <w:trHeight w:val="18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top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w:t>
            </w:r>
          </w:p>
        </w:tc>
      </w:tr>
      <w:tr>
        <w:trPr>
          <w:trHeight w:val="18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 (loss) before tax:</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unrealized gain (loss) on debt securities available-for-sale during the period</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71"/>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gain (loss) before tax</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71"/>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96"/>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tcBorders>
              <w:bottom w:val="single" w:sz="8" w:color="auto"/>
            </w:tcBorders>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57"/>
        </w:trPr>
        <w:tc>
          <w:tcPr>
            <w:tcW w:w="5600" w:type="dxa"/>
            <w:vAlign w:val="bottom"/>
          </w:tcPr>
          <w:p>
            <w:pPr>
              <w:spacing w:after="0"/>
              <w:rPr>
                <w:sz w:val="24"/>
                <w:szCs w:val="24"/>
                <w:color w:val="auto"/>
              </w:rPr>
            </w:pPr>
          </w:p>
        </w:tc>
        <w:tc>
          <w:tcPr>
            <w:tcW w:w="30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8</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4"/>
        </w:trPr>
        <w:tc>
          <w:tcPr>
            <w:tcW w:w="7420" w:type="dxa"/>
            <w:vAlign w:val="bottom"/>
            <w:gridSpan w:val="5"/>
          </w:tcPr>
          <w:p>
            <w:pPr>
              <w:jc w:val="center"/>
              <w:ind w:left="378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87"/>
        </w:trPr>
        <w:tc>
          <w:tcPr>
            <w:tcW w:w="5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9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60" w:type="dxa"/>
            <w:vAlign w:val="bottom"/>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9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equity</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201,431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254,132</w:t>
            </w: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16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Stock-based compensation expense, net of</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forfeitures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38"/>
        </w:trPr>
        <w:tc>
          <w:tcPr>
            <w:tcW w:w="316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offering costs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80"/>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($0.19/share)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180"/>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($20.00/share)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0" w:type="dxa"/>
            <w:vAlign w:val="bottom"/>
          </w:tcPr>
          <w:p>
            <w:pPr>
              <w:spacing w:after="0"/>
              <w:rPr>
                <w:sz w:val="1"/>
                <w:szCs w:val="1"/>
                <w:color w:val="auto"/>
              </w:rPr>
            </w:pPr>
          </w:p>
        </w:tc>
      </w:tr>
      <w:tr>
        <w:trPr>
          <w:trHeight w:val="180"/>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6"/>
                <w:szCs w:val="16"/>
                <w:color w:val="auto"/>
              </w:rPr>
            </w:pPr>
          </w:p>
        </w:tc>
        <w:tc>
          <w:tcPr>
            <w:tcW w:w="4880" w:type="dxa"/>
            <w:vAlign w:val="bottom"/>
            <w:gridSpan w:val="13"/>
          </w:tcPr>
          <w:p>
            <w:pPr>
              <w:ind w:left="7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9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line="13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198,560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232,586</w:t>
            </w:r>
          </w:p>
        </w:tc>
        <w:tc>
          <w:tcPr>
            <w:tcW w:w="0" w:type="dxa"/>
            <w:vAlign w:val="bottom"/>
          </w:tcPr>
          <w:p>
            <w:pPr>
              <w:spacing w:after="0"/>
              <w:rPr>
                <w:sz w:val="1"/>
                <w:szCs w:val="1"/>
                <w:color w:val="auto"/>
              </w:rPr>
            </w:pPr>
          </w:p>
        </w:tc>
      </w:tr>
      <w:tr>
        <w:trPr>
          <w:trHeight w:val="202"/>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DRIP shares issued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36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1"/>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($0.18/share)</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0" w:type="dxa"/>
            <w:vAlign w:val="bottom"/>
          </w:tcPr>
          <w:p>
            <w:pPr>
              <w:spacing w:after="0"/>
              <w:rPr>
                <w:sz w:val="1"/>
                <w:szCs w:val="1"/>
                <w:color w:val="auto"/>
              </w:rPr>
            </w:pPr>
          </w:p>
        </w:tc>
      </w:tr>
      <w:tr>
        <w:trPr>
          <w:trHeight w:val="180"/>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($20.00/share)</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0" w:type="dxa"/>
            <w:vAlign w:val="bottom"/>
          </w:tcPr>
          <w:p>
            <w:pPr>
              <w:spacing w:after="0"/>
              <w:rPr>
                <w:sz w:val="1"/>
                <w:szCs w:val="1"/>
                <w:color w:val="auto"/>
              </w:rPr>
            </w:pPr>
          </w:p>
        </w:tc>
      </w:tr>
      <w:tr>
        <w:trPr>
          <w:trHeight w:val="180"/>
        </w:trPr>
        <w:tc>
          <w:tcPr>
            <w:tcW w:w="3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235,449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3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4660" w:type="dxa"/>
            <w:vAlign w:val="bottom"/>
            <w:gridSpan w:val="13"/>
          </w:tcPr>
          <w:p>
            <w:pPr>
              <w:ind w:left="5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3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equity</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200,913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8"/>
              </w:rPr>
              <w:t>(148)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249,046</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38"/>
        </w:trPr>
        <w:tc>
          <w:tcPr>
            <w:tcW w:w="36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6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ESPP issuances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offering costs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($0.38/share)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(9,444)</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($40.00/share)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0" w:type="dxa"/>
            <w:vAlign w:val="bottom"/>
          </w:tcPr>
          <w:p>
            <w:pPr>
              <w:spacing w:after="0"/>
              <w:rPr>
                <w:sz w:val="1"/>
                <w:szCs w:val="1"/>
                <w:color w:val="auto"/>
              </w:rPr>
            </w:pPr>
          </w:p>
        </w:tc>
      </w:tr>
      <w:tr>
        <w:trPr>
          <w:trHeight w:val="180"/>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215,633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8"/>
              </w:rPr>
              <w:t>(137)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274,002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rPr>
                <w:sz w:val="11"/>
                <w:szCs w:val="11"/>
                <w:color w:val="auto"/>
              </w:rPr>
            </w:pPr>
          </w:p>
        </w:tc>
        <w:tc>
          <w:tcPr>
            <w:tcW w:w="1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undistributed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354,243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375,358</w:t>
            </w:r>
          </w:p>
        </w:tc>
        <w:tc>
          <w:tcPr>
            <w:tcW w:w="0" w:type="dxa"/>
            <w:vAlign w:val="bottom"/>
          </w:tcPr>
          <w:p>
            <w:pPr>
              <w:spacing w:after="0"/>
              <w:rPr>
                <w:sz w:val="1"/>
                <w:szCs w:val="1"/>
                <w:color w:val="auto"/>
              </w:rPr>
            </w:pPr>
          </w:p>
        </w:tc>
      </w:tr>
      <w:tr>
        <w:trPr>
          <w:trHeight w:val="138"/>
        </w:trPr>
        <w:tc>
          <w:tcPr>
            <w:tcW w:w="34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Conversion from BDC to Bank Holding Company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presentation</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Removal of fair value adjustments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(138,043)</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Consolidation of controlled investments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(57,725)</w:t>
            </w:r>
          </w:p>
        </w:tc>
        <w:tc>
          <w:tcPr>
            <w:tcW w:w="0" w:type="dxa"/>
            <w:vAlign w:val="bottom"/>
          </w:tcPr>
          <w:p>
            <w:pPr>
              <w:spacing w:after="0"/>
              <w:rPr>
                <w:sz w:val="1"/>
                <w:szCs w:val="1"/>
                <w:color w:val="auto"/>
              </w:rPr>
            </w:pPr>
          </w:p>
        </w:tc>
      </w:tr>
      <w:tr>
        <w:trPr>
          <w:trHeight w:val="180"/>
        </w:trPr>
        <w:tc>
          <w:tcPr>
            <w:tcW w:w="3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Reassessment of deferred tax assets and liabilities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DRIP shares issued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 net of forfeitures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Dividends declared related to RSA, net of accrued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forfeited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40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Purchase of vested stock for employee payroll tax</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withholding</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issuance costs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common shares ($0.36/share)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preferred shares ($32.44/share)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0" w:type="dxa"/>
            <w:vAlign w:val="bottom"/>
          </w:tcPr>
          <w:p>
            <w:pPr>
              <w:spacing w:after="0"/>
              <w:rPr>
                <w:sz w:val="1"/>
                <w:szCs w:val="1"/>
                <w:color w:val="auto"/>
              </w:rPr>
            </w:pPr>
          </w:p>
        </w:tc>
      </w:tr>
      <w:tr>
        <w:trPr>
          <w:trHeight w:val="180"/>
        </w:trPr>
        <w:tc>
          <w:tcPr>
            <w:tcW w:w="3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235,449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4020" w:type="dxa"/>
            <w:vAlign w:val="bottom"/>
            <w:gridSpan w:val="14"/>
          </w:tcPr>
          <w:p>
            <w:pPr>
              <w:jc w:val="right"/>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34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6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689"/>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7"/>
        </w:trPr>
        <w:tc>
          <w:tcPr>
            <w:tcW w:w="8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82"/>
        </w:trPr>
        <w:tc>
          <w:tcPr>
            <w:tcW w:w="8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25,561</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 operating activities:</w:t>
            </w: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appreciation on joint ventures and non-control investments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loss (gain) on loans accounted for under the fair value option</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unrealized appreciation on derivative transactions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gain on sales of loans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(19,731)</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accretion of premium/discount</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3,893</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Lower of cost or market adjustment on loans held for sale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Bad debt expense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(9,357)</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sale of loans held for sale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157,177</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Sale (purchase) of loans held for sale from affiliate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Funding of loans held for sale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(516,648)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(199,744)</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Principal received on loans held for sale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Settlement receivable</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(119,857)</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Due to/from related parties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4,976</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Dividends payable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4,766</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Due to participants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(15,807)</w:t>
            </w:r>
          </w:p>
        </w:tc>
      </w:tr>
      <w:tr>
        <w:trPr>
          <w:trHeight w:val="180"/>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(22,315)</w:t>
            </w:r>
          </w:p>
        </w:tc>
      </w:tr>
      <w:tr>
        <w:trPr>
          <w:trHeight w:val="180"/>
        </w:trPr>
        <w:tc>
          <w:tcPr>
            <w:tcW w:w="8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w:t>
            </w:r>
          </w:p>
        </w:tc>
      </w:tr>
      <w:tr>
        <w:trPr>
          <w:trHeight w:val="171"/>
        </w:trPr>
        <w:tc>
          <w:tcPr>
            <w:tcW w:w="8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(202,852)</w:t>
            </w:r>
          </w:p>
        </w:tc>
      </w:tr>
      <w:tr>
        <w:trPr>
          <w:trHeight w:val="16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decrease (increase) in loans held for investment, at fair value</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(44,815)</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loans held for investment, at cost</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(116,941)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(9,462)</w:t>
            </w:r>
          </w:p>
        </w:tc>
      </w:tr>
      <w:tr>
        <w:trPr>
          <w:trHeight w:val="18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Contributions to joint ventures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fixed assets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Return of capital - non-control investments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increase in Federal Home Loan and Federal Reserve Bank stock</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w:t>
            </w:r>
          </w:p>
        </w:tc>
      </w:tr>
      <w:tr>
        <w:trPr>
          <w:trHeight w:val="180"/>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(purchases) of available-for-sale securities, net of maturities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(27,903)</w:t>
            </w:r>
          </w:p>
        </w:tc>
      </w:tr>
      <w:tr>
        <w:trPr>
          <w:trHeight w:val="180"/>
        </w:trPr>
        <w:tc>
          <w:tcPr>
            <w:tcW w:w="8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8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w:t>
            </w:r>
          </w:p>
        </w:tc>
      </w:tr>
      <w:tr>
        <w:trPr>
          <w:trHeight w:val="171"/>
        </w:trPr>
        <w:tc>
          <w:tcPr>
            <w:tcW w:w="8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(74,546)</w:t>
            </w:r>
          </w:p>
        </w:tc>
      </w:tr>
      <w:tr>
        <w:trPr>
          <w:trHeight w:val="676"/>
        </w:trPr>
        <w:tc>
          <w:tcPr>
            <w:tcW w:w="826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13</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4"/>
        </w:trPr>
        <w:tc>
          <w:tcPr>
            <w:tcW w:w="8260" w:type="dxa"/>
            <w:vAlign w:val="bottom"/>
          </w:tcPr>
          <w:p>
            <w:pPr>
              <w:ind w:left="39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87"/>
        </w:trPr>
        <w:tc>
          <w:tcPr>
            <w:tcW w:w="8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6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689"/>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7"/>
        </w:trPr>
        <w:tc>
          <w:tcPr>
            <w:tcW w:w="8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6"/>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16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paydowns on bank notes payable</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(38,219)</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310,342</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Repayment of Federal Home Loan Bank advances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common shares sold, net of offering costs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preferred stock, net of offering costs</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19,493</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2025 8.125% Notes</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Proceeds from 2029 Notes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on Notes Payable - Securitization Trusts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(45,898)</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Notes Payable - Securitization Trusts</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101,364</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Dividends paid, net of dividend reinvestment plan</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common stock issued under ESPP</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Capitalized loan costs</w:t>
            </w:r>
          </w:p>
        </w:tc>
        <w:tc>
          <w:tcPr>
            <w:tcW w:w="9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w:t>
            </w:r>
          </w:p>
        </w:tc>
      </w:tr>
      <w:tr>
        <w:trPr>
          <w:trHeight w:val="180"/>
        </w:trPr>
        <w:tc>
          <w:tcPr>
            <w:tcW w:w="82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vested stock for employee payroll tax withholding</w:t>
            </w: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7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155,846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385,820</w:t>
            </w:r>
          </w:p>
        </w:tc>
      </w:tr>
      <w:tr>
        <w:trPr>
          <w:trHeight w:val="17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restricted cash</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108,422</w:t>
            </w:r>
          </w:p>
        </w:tc>
      </w:tr>
      <w:tr>
        <w:trPr>
          <w:trHeight w:val="18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125,606</w:t>
            </w: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Consolidation of cash and restricted cash from controlled investments and business combinations, net of cash paid</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22,306</w:t>
            </w:r>
          </w:p>
        </w:tc>
      </w:tr>
      <w:tr>
        <w:trPr>
          <w:trHeight w:val="17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92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206,338</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256,334</w:t>
            </w:r>
          </w:p>
        </w:tc>
      </w:tr>
      <w:tr>
        <w:trPr>
          <w:trHeight w:val="65"/>
        </w:trPr>
        <w:tc>
          <w:tcPr>
            <w:tcW w:w="8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r>
      <w:tr>
        <w:trPr>
          <w:trHeight w:val="18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investing and financing activities: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Dividends declared but not paid during the period</w:t>
            </w:r>
          </w:p>
        </w:tc>
        <w:tc>
          <w:tcPr>
            <w:tcW w:w="920" w:type="dxa"/>
            <w:vAlign w:val="bottom"/>
            <w:tcBorders>
              <w:bottom w:val="single" w:sz="8" w:color="auto"/>
            </w:tcBorders>
          </w:tcPr>
          <w:p>
            <w:pPr>
              <w:jc w:val="right"/>
              <w:ind w:right="770"/>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4,827</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4,366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under dividend reinvestment plan</w:t>
            </w: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28"/>
        </w:trPr>
        <w:tc>
          <w:tcPr>
            <w:tcW w:w="8260" w:type="dxa"/>
            <w:vAlign w:val="bottom"/>
            <w:tcBorders>
              <w:top w:val="single" w:sz="8" w:color="CCEEFF"/>
            </w:tcBorders>
          </w:tcPr>
          <w:p>
            <w:pPr>
              <w:spacing w:after="0"/>
              <w:rPr>
                <w:sz w:val="2"/>
                <w:szCs w:val="2"/>
                <w:color w:val="auto"/>
              </w:rPr>
            </w:pPr>
          </w:p>
        </w:tc>
        <w:tc>
          <w:tcPr>
            <w:tcW w:w="920" w:type="dxa"/>
            <w:vAlign w:val="bottom"/>
            <w:tcBorders>
              <w:top w:val="single" w:sz="8" w:color="CCEEFF"/>
              <w:bottom w:val="single" w:sz="8" w:color="auto"/>
            </w:tcBorders>
          </w:tcPr>
          <w:p>
            <w:pPr>
              <w:spacing w:after="0"/>
              <w:rPr>
                <w:sz w:val="2"/>
                <w:szCs w:val="2"/>
                <w:color w:val="auto"/>
              </w:rPr>
            </w:pPr>
          </w:p>
        </w:tc>
        <w:tc>
          <w:tcPr>
            <w:tcW w:w="5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r>
      <w:tr>
        <w:trPr>
          <w:trHeight w:val="18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92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37,494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31,012</w:t>
            </w: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9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NEWTEKONE, INC. AND SUBSIDIARIES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1—DESCRIPTION OF BUSINESS AND BASIS OF PRESENTATION:</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Company is a financial holding company that is a leading provider of business and financial solutions to independent business owners (SMBs) and provides SMBs with the following Newtek® branded business and financial solutions: Newtek Bank, Newtek Lending, Newtek Payments, Newtek Insurance, Newtek Payroll and Newtek Technology.</w:t>
      </w:r>
    </w:p>
    <w:p>
      <w:pPr>
        <w:spacing w:after="0" w:line="1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4"/>
          <w:szCs w:val="14"/>
          <w:color w:val="auto"/>
        </w:rPr>
        <w:t>NewtekOne reports on a consolidated basis the financial condition and results of operations for the following consolidated subsidiaries: Newtek Bank; SBL; NSBF; NMS; Mobil Money; NBC; PMT; NIA; TAM; POS; Holdco 6; NCL; and NTS. In addition, as a result of commitments made to the Federal Reserve, the Company will divest or otherwise terminate the activities conducted by NTS by January 6, 2025, subject to any extension. As of the date of this filing, the Company has concluded that the assets, liabilities and operations of NTS do not qualify for Discontinued Operations as of June 30, 2024. See NOTE 19—SUBSEQUENT EVENTS - NTS Divestiture.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as otherwise noted, all financial information included in the tables in the following footnotes is stated in thousands, except per share data.</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The accompanying notes to the consolidated financial statements should be read in conjunction with the Company’s Annual Report on Form 10-K for the year ended December 31, 2023, filed on April 1, 2024 (the “2023 Form 10-K”).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annualized results of operations for the three months ended June 30, 2024 are not necessarily indicative of the results of operations that may be expected for the entire fiscal year. The December 31, 2023 consolidated statement of assets and liabilities has been derived from the audited financial statements as of that date.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NewtekOne, its subsidiaries and certain VIEs. Significant intercompany balances and transactions have been eliminated. The Company considers a voting rights entity to be a subsidiary and consolidates it if the Company has a controlling financial interest in the entity.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4—INVESTMENTS.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 and Restatements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period amounts, to the extent comparable, have been reclassified to conform to the current period presentation.</w:t>
      </w:r>
    </w:p>
    <w:p>
      <w:pPr>
        <w:spacing w:after="0" w:line="20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addition, as disclosed in our 2023 Form 10-K, the Company’s prior year condensed comparative financial statements have been adjusted to correct errors made in the Company’s financial statements previously issued for the first, second, and third quarters of 2023. Balances as of and results for the three and six months ended June 30, 2023 are presented as restated. Refer to our 2023 Form 10-K for further detail.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2—SIGNIFICANT ACCOUNTING POLICIES:</w:t>
      </w:r>
    </w:p>
    <w:p>
      <w:pPr>
        <w:spacing w:after="0" w:line="17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A more detailed description of our accounting policies is included in the Company’s 2023 Form 10-K, which accounting policies remain significantly unchanged. There have been no other significant changes to our accounting policies, or the estimates made pursuant to those policies as described in our 2023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w:t>
      </w:r>
    </w:p>
    <w:p>
      <w:pPr>
        <w:spacing w:after="0" w:line="20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 Company considers all highly liquid instruments with maturities of three months or less when purchased to be cash equivalents. Invested cash is held exclusively at financial institutions of high credit quality. As of June 30, 2024, cash deposits in excess of insured amounts totaled $42.0 million. The Company has not experienced any losses with respect to cash balances in excess of insured amounts and management does not believe there was a significant concentration of risk with respect to cash balances as of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Restricted cash includes amounts due on SBA loan-related remittances to third parties, cash reserves established as part of agreements with the SBA, cash reserves associated with securitization transactions, and cash margin as collateral for derivative instruments. As of June 30, 2024, total restricted cash was $36.8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bearing deposits in banks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interest bearing deposits in banks reflects cash held at other financial institutions that earn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cash, restricted cash, and interest bearing deposits in banks as of June 30, 2024 and 2023 and December 31, 2023:</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8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200" w:type="dxa"/>
            <w:vAlign w:val="bottom"/>
          </w:tcPr>
          <w:p>
            <w:pPr>
              <w:spacing w:after="0"/>
              <w:rPr>
                <w:sz w:val="13"/>
                <w:szCs w:val="13"/>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15,398</w:t>
            </w:r>
          </w:p>
        </w:tc>
      </w:tr>
      <w:tr>
        <w:trPr>
          <w:trHeight w:val="180"/>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30,919</w:t>
            </w:r>
          </w:p>
        </w:tc>
      </w:tr>
      <w:tr>
        <w:trPr>
          <w:trHeight w:val="18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132,597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140,920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137,689</w:t>
            </w:r>
          </w:p>
        </w:tc>
      </w:tr>
      <w:tr>
        <w:trPr>
          <w:trHeight w:val="171"/>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Cash and restricted cash</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206,338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256,334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184,006</w:t>
            </w:r>
          </w:p>
        </w:tc>
      </w:tr>
      <w:tr>
        <w:trPr>
          <w:trHeight w:val="20"/>
        </w:trPr>
        <w:tc>
          <w:tcPr>
            <w:tcW w:w="6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Loans</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spacing w:after="0" w:line="16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commercial loans.</w:t>
      </w:r>
    </w:p>
    <w:p>
      <w:pPr>
        <w:spacing w:after="0" w:line="145"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4"/>
          <w:szCs w:val="14"/>
          <w:color w:val="auto"/>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The SBA 7(a) loan portfolio is the single loan pool where management solely utilizes historical internal data to determine the loss rate as an input to the model. The data utilized represents the most recent economic cycle and management determines the loss rate by analyzing defaulted principal and net charge offs to calculate the historical loss rate.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spacing w:after="0" w:line="16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spacing w:after="0" w:line="1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spacing w:after="0" w:line="168"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spacing w:after="0" w:line="143" w:lineRule="exact"/>
        <w:rPr>
          <w:sz w:val="20"/>
          <w:szCs w:val="20"/>
          <w:color w:val="auto"/>
        </w:rPr>
      </w:pPr>
    </w:p>
    <w:p>
      <w:pPr>
        <w:ind w:left="500" w:right="20" w:hanging="636"/>
        <w:spacing w:after="0" w:line="270" w:lineRule="auto"/>
        <w:tabs>
          <w:tab w:leader="none" w:pos="480" w:val="left"/>
        </w:tabs>
        <w:rPr>
          <w:sz w:val="20"/>
          <w:szCs w:val="20"/>
          <w:color w:val="auto"/>
        </w:rPr>
      </w:pPr>
      <w:r>
        <w:rPr>
          <w:rFonts w:ascii="Times New Roman" w:cs="Times New Roman" w:eastAsia="Times New Roman" w:hAnsi="Times New Roman"/>
          <w:sz w:val="14"/>
          <w:szCs w:val="14"/>
          <w:i w:val="1"/>
          <w:iCs w:val="1"/>
          <w:color w:val="auto"/>
        </w:rPr>
        <w:t>CRE:</w:t>
      </w:r>
      <w:r>
        <w:rPr>
          <w:sz w:val="20"/>
          <w:szCs w:val="20"/>
          <w:color w:val="auto"/>
        </w:rPr>
        <w:tab/>
      </w:r>
      <w:r>
        <w:rPr>
          <w:rFonts w:ascii="Times New Roman" w:cs="Times New Roman" w:eastAsia="Times New Roman" w:hAnsi="Times New Roman"/>
          <w:sz w:val="14"/>
          <w:szCs w:val="14"/>
          <w:color w:val="auto"/>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i w:val="1"/>
          <w:iCs w:val="1"/>
          <w:color w:val="auto"/>
        </w:rPr>
        <w:t>C&amp;I:</w:t>
      </w:r>
      <w:r>
        <w:rPr>
          <w:sz w:val="20"/>
          <w:szCs w:val="20"/>
          <w:color w:val="auto"/>
        </w:rPr>
        <w:tab/>
      </w:r>
      <w:r>
        <w:rPr>
          <w:rFonts w:ascii="Times New Roman" w:cs="Times New Roman" w:eastAsia="Times New Roman" w:hAnsi="Times New Roman"/>
          <w:sz w:val="14"/>
          <w:szCs w:val="14"/>
          <w:color w:val="auto"/>
        </w:rPr>
        <w:t>The C&amp;I portfolio consists of loans made for general business purposes consisting of short-term working capital loans, equipment loans and unsecured business lines.</w:t>
      </w:r>
    </w:p>
    <w:p>
      <w:pPr>
        <w:spacing w:after="0" w:line="200" w:lineRule="exact"/>
        <w:rPr>
          <w:sz w:val="20"/>
          <w:szCs w:val="20"/>
          <w:color w:val="auto"/>
        </w:rPr>
      </w:pPr>
    </w:p>
    <w:p>
      <w:pPr>
        <w:ind w:left="640" w:hanging="636"/>
        <w:spacing w:after="0" w:line="259" w:lineRule="auto"/>
        <w:tabs>
          <w:tab w:leader="none" w:pos="620" w:val="left"/>
        </w:tabs>
        <w:rPr>
          <w:sz w:val="20"/>
          <w:szCs w:val="20"/>
          <w:color w:val="auto"/>
        </w:rPr>
      </w:pPr>
      <w:r>
        <w:rPr>
          <w:rFonts w:ascii="Times New Roman" w:cs="Times New Roman" w:eastAsia="Times New Roman" w:hAnsi="Times New Roman"/>
          <w:sz w:val="14"/>
          <w:szCs w:val="14"/>
          <w:i w:val="1"/>
          <w:iCs w:val="1"/>
          <w:color w:val="auto"/>
        </w:rPr>
        <w:t>SBA 7(a):</w:t>
      </w:r>
      <w:r>
        <w:rPr>
          <w:sz w:val="20"/>
          <w:szCs w:val="20"/>
          <w:color w:val="auto"/>
        </w:rPr>
        <w:tab/>
      </w:r>
      <w:r>
        <w:rPr>
          <w:rFonts w:ascii="Times New Roman" w:cs="Times New Roman" w:eastAsia="Times New Roman" w:hAnsi="Times New Roman"/>
          <w:sz w:val="14"/>
          <w:szCs w:val="14"/>
          <w:color w:val="auto"/>
        </w:rPr>
        <w:t>The SBA 7(a) portfolio includes loans originated under the federal Section 7(a) loan program.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licensed by the SBA may underwrite loans between $5.0 thousand and $5.0 million for a variety of general business purposes based on the SBA’s loan program requirements. The guaranteed portion of the loans are held for sale and carried at LCM and therefore are not subject to CECL. The unguaranteed portion of the loans that are held on balance sheet at amortized cost are subject to CECL. In the context of CECL, these SBA 7(a) loans are held at Newtek Bank.</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Individually Evaluated Loans. </w:t>
      </w:r>
      <w:r>
        <w:rPr>
          <w:rFonts w:ascii="Times New Roman" w:cs="Times New Roman" w:eastAsia="Times New Roman" w:hAnsi="Times New Roman"/>
          <w:sz w:val="14"/>
          <w:szCs w:val="14"/>
          <w:color w:val="auto"/>
        </w:rPr>
        <w:t>Loans that do not share risk characteristics with existing pools are evaluated on an individual basis. For loans that are individually evaluated and collateral dependent,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spacing w:after="0" w:line="16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Accrued Interest. </w:t>
      </w:r>
      <w:r>
        <w:rPr>
          <w:rFonts w:ascii="Times New Roman" w:cs="Times New Roman" w:eastAsia="Times New Roman" w:hAnsi="Times New Roman"/>
          <w:sz w:val="14"/>
          <w:szCs w:val="14"/>
          <w:color w:val="auto"/>
        </w:rPr>
        <w:t>Accrued interest receivable balances are presented within other assets on the consolidated balance sheet. Accrued interest is excluded from the measurement of the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losses, including investments and loans. Generally, accrued interest is reversed when a loan is placed on non-accrual or is written-off. Current year accrued interest is reversed through interest income while accrued interest from prior years is written-off through the ACL. Historically, we have not experienced uncollectible accrued interest receivable on investment debt securities.</w:t>
      </w:r>
    </w:p>
    <w:p>
      <w:pPr>
        <w:spacing w:after="0" w:line="15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Allowance for off-balance sheet credit exposures. </w:t>
      </w:r>
      <w:r>
        <w:rPr>
          <w:rFonts w:ascii="Times New Roman" w:cs="Times New Roman" w:eastAsia="Times New Roman" w:hAnsi="Times New Roman"/>
          <w:sz w:val="14"/>
          <w:szCs w:val="14"/>
          <w:color w:val="auto"/>
        </w:rPr>
        <w:t>The exposure is a component of other liabilities in the consolidated balance sheet and represents the estimate for probable credit losses inherent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 Available-for Sale (“AFS”) Debt Securities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impairment model for 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June 30, 2024, the Company determined that the unrealized loss positions in the AFS securities were not the result of credit losses, and therefore, an allowance for credit losses was not recorded.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Interest Receivable</w:t>
      </w:r>
    </w:p>
    <w:p>
      <w:pPr>
        <w:spacing w:after="0" w:line="202"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Historically, the Company has not experienced uncollectible accrued interest receivable on investment securities.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Receivable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Settlement receivable represents amounts due from third parties for guaranteed portions of SBA 7(a) loans which have been sold at period-end but have not yet settled. The guaranteed portion of SBA 7(a) principal balances that have been sold but not yet settled at June 30, 2024 was $72.2 million. The settlement receivable also includes $7.7 million of premiums, which have been recognized in Net Gains on Sales of Loans.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Such deferred tax assets and liabilities recorded on the statements of financial condition were a deferred tax asset, net of $1.9 million and $5.2 million at June 30, 2024 and December 31, 2023, respectively.</w:t>
      </w:r>
    </w:p>
    <w:p>
      <w:pPr>
        <w:spacing w:after="0" w:line="16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spacing w:after="0" w:line="145" w:lineRule="exact"/>
        <w:rPr>
          <w:sz w:val="20"/>
          <w:szCs w:val="20"/>
          <w:color w:val="auto"/>
        </w:rPr>
      </w:pPr>
    </w:p>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Company’s U.S. federal and state income tax returns prior to fiscal year 2020 are generally closed, and management continually evaluates expiring statutes of limitations, audits, proposed settlements, changes in tax law and new authoritative rulings. Interest and penalties assessed by tax jurisdictions for income tax matters are presented as income tax expense on the consolidated statement of income.</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Formerly, as a RIC ending with the Company’s December 31, 2022 fiscal year end, the Company was not subject to corporate level income tax. Beginning on January 1, 2023 with the start of the 2023 fiscal year, the Company no longer qualifies as a RIC and is subject to corporate level income tax. See NOTE 17—INCOME TAXES</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Current Expected Credit Losses (Topic 326): </w:t>
      </w:r>
      <w:r>
        <w:rPr>
          <w:rFonts w:ascii="Times New Roman" w:cs="Times New Roman" w:eastAsia="Times New Roman" w:hAnsi="Times New Roman"/>
          <w:sz w:val="14"/>
          <w:szCs w:val="14"/>
          <w:color w:val="auto"/>
        </w:rPr>
        <w:t>In June 2016, FASB issued ASU No. 2016-13, Financial Instruments—Credit Losses—Measurement of Credit Losses on Financial Instruments (Topic</w:t>
      </w:r>
    </w:p>
    <w:p>
      <w:pPr>
        <w:spacing w:after="0" w:line="25" w:lineRule="exact"/>
        <w:rPr>
          <w:sz w:val="20"/>
          <w:szCs w:val="20"/>
          <w:color w:val="auto"/>
        </w:rPr>
      </w:pPr>
    </w:p>
    <w:p>
      <w:pPr>
        <w:ind w:right="40" w:firstLine="5"/>
        <w:spacing w:after="0" w:line="255" w:lineRule="auto"/>
        <w:tabs>
          <w:tab w:leader="none" w:pos="29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measure NSBF’s SBA 7(a) loan portfolio at fair value and intends to do so until the portfolio is completely runoff. Following the Acquisition on January 6, 2023, the Company owns and consolidates Newtek Bank, which applies CECL.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Troubled Debt Restructurings and Vintage Disclosures (ASU 2022-02): </w:t>
      </w:r>
      <w:r>
        <w:rPr>
          <w:rFonts w:ascii="Times New Roman" w:cs="Times New Roman" w:eastAsia="Times New Roman" w:hAnsi="Times New Roman"/>
          <w:sz w:val="14"/>
          <w:szCs w:val="14"/>
          <w:color w:val="auto"/>
        </w:rPr>
        <w:t>In March 2022, the FASB issued ASU No. 2022-02, Financial Instruments—Credit Losses (Topic 326): Troubled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Restructurings and Vintage Disclosures. The purpose of this guidance is twofold. First, the guidance eliminates TDR recognition and measurement guidance that has been deemed no longer necessary under CECL. The guidance also adds a requirement to incorporate current year gross charge-offs by origination year into the vintage tables. With respect to the TDR impacts, under CECL, credit losses for financial assets measured at amortized cost are determined based on the total current expected credit losses over the life of the financial asset or group of financial assets. Due to the Acquisition, any aspects of credit deterioration to include modifications to loans for borrowers experiencing financial difficulty were captured in purchase accounting and the allowance as of the Acquisition date. Therefore, credit losses on financial assets that have been modified as TDRs would have largely been incorporated in the allowance upon initial recognition. Following the Acquisition on January 6, 2023, the Company owns and consolidates Newtek Bank, which adopted the ASU on January 1, 2023, on a prospective basis. Under ASU 2022-02, the Company evaluated whether loan modifications previously characterized as TDRs represent a new loan or a continuation of an existing loan in accordance with ASC Topic 310, Receivables. The guidance also added new disclosures that require an entity to provide information related to loan modifications made to borrowers deemed to be in financial difficulty. The impact of these amendments was not material.</w:t>
      </w:r>
    </w:p>
    <w:p>
      <w:pPr>
        <w:spacing w:after="0" w:line="1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Fair Value Measurement (ASU 2022-03): </w:t>
      </w:r>
      <w:r>
        <w:rPr>
          <w:rFonts w:ascii="Times New Roman" w:cs="Times New Roman" w:eastAsia="Times New Roman" w:hAnsi="Times New Roman"/>
          <w:sz w:val="14"/>
          <w:szCs w:val="14"/>
          <w:color w:val="auto"/>
        </w:rPr>
        <w:t>In June 2022, the FASB issued ASU No. 2022-03, Fair Value Measurement (Topic 820), which clarifies the guidance in Topic 820 when measuring the fair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An entity that qualifies as an investment company under Topic 946 should apply the amendments in ASU No. 2022-03 to an investment in an equity security subject to a contractual sale restriction that is executed or modified on or after the date of adoption. The impact of these amendments was not 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Improvements to Reportable Segment Disclosures (ASU 2023-07)</w:t>
      </w:r>
    </w:p>
    <w:p>
      <w:pPr>
        <w:spacing w:after="0" w:line="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The purpose of this guidance is to improve reportable segment disclosure, primarily through enhanced disclosures about significant segment expenses. This ASU requires that an entity disclose, on an interim and annual basis, significant segment expenses that are regularly provided to the CODM and are included within the reported measure of segment profit or loss. This ASU also requires an entity to disclose, on an interim and annual basis, other segment items by reportable segment, including a qualitative description of the composition of those items. This “other” category is defined as the difference between segment profit or loss and segment revenue less significant segment expenses. Entities are also required to disclose the title and position of the individual, or the name of the group or committee, identified as the CODM. The amendments are effective on January 1, 2024, for annual reporting, and January 1, 2025, for interim reporting, with early adoption permitted. The amendments must be applied using a retrospective approach. Management does not expect the impact to be material.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Improvements to Income Tax Disclosures (ASU 2023-09)</w:t>
      </w:r>
    </w:p>
    <w:p>
      <w:pPr>
        <w:spacing w:after="0" w:line="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The purpose of this guidance is to enhance the rate reconciliation and income taxes paid disclosures. This ASU requires that an entity disclose, on an annual basis, specific categories in the rate reconciliation and provide additional information for reconciling items that meet a quantitative threshold. For the state and local income tax category of the rate reconciliation, entities must disclose a qualitative description of the states and local jurisdictions that make up the majority (greater than 50 percent) of the category. For the income taxes paid disclosures, entities will be required to disclose, on an annual basis, the amount of income taxes paid (net of refunds received) disaggregated by federal, state, and foreign taxes. The amendments are effective on January 1, 2025, with early adoption permitted. The amendments must be applied using either a prospective or retrospective approach. Management does not expect the impact of these amendments to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Compensation—Stock Compensation (ASU 2024-01)</w:t>
      </w:r>
    </w:p>
    <w:p>
      <w:pPr>
        <w:spacing w:after="0" w:line="2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In March 2024, the FASB issued ASU 2024-01, Compensation - Stock Compensation (Topic 718), Scope Application of Profits Interest and Similar Awards. This standard provides clarity regarding whether profits interest and similar awards are within the scope of Topic 718 of the Accounting Standards Codification. This standard is effective for fiscal years beginning after December 15, 2024. The amendments should be applied retrospectively to all prior periods presented in the financial statements. Early adoption is permitted. The Company is in the process of evaluating the impact of adopting this standard and, at this time, does not anticipate it will have a material impact on its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3—BUSINESS COMBINATIONS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NBNYC</w:t>
      </w:r>
    </w:p>
    <w:p>
      <w:pPr>
        <w:spacing w:after="0" w:line="202"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4"/>
          <w:szCs w:val="14"/>
          <w:color w:val="auto"/>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w:t>
      </w:r>
    </w:p>
    <w:p>
      <w:pPr>
        <w:spacing w:after="0" w:line="1"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4"/>
          <w:szCs w:val="14"/>
          <w:color w:val="auto"/>
        </w:rPr>
        <w:t>$1.3 million. NBNYC was renamed Newtek Bank and became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NBNYC transaction was accounted for in accordance with ASC 805, Business Combinations, and the Company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purchase price, including costs incurred by the Company on behalf of the seller directly associated with the Acquisition, was preliminarily allocated to net assets acquired. Final allocation was obtained and the purchase allocations finalized at December 31, 2023. The following table summarizes the allocation of consideration paid for the fair value of assets acquired and liabilities assumed from NBNYC:</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consideration</w:t>
            </w:r>
          </w:p>
        </w:tc>
        <w:tc>
          <w:tcPr>
            <w:tcW w:w="4980" w:type="dxa"/>
            <w:vAlign w:val="bottom"/>
            <w:gridSpan w:val="2"/>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21,281</w:t>
            </w:r>
          </w:p>
        </w:tc>
        <w:tc>
          <w:tcPr>
            <w:tcW w:w="160" w:type="dxa"/>
            <w:vAlign w:val="bottom"/>
          </w:tcPr>
          <w:p>
            <w:pPr>
              <w:spacing w:after="0"/>
              <w:rPr>
                <w:sz w:val="15"/>
                <w:szCs w:val="15"/>
                <w:color w:val="auto"/>
              </w:rPr>
            </w:pPr>
          </w:p>
        </w:tc>
      </w:tr>
      <w:tr>
        <w:trPr>
          <w:trHeight w:val="117"/>
        </w:trPr>
        <w:tc>
          <w:tcPr>
            <w:tcW w:w="40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assets acquired:</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29,138</w:t>
            </w: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336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60" w:type="dxa"/>
            <w:vAlign w:val="bottom"/>
          </w:tcPr>
          <w:p>
            <w:pPr>
              <w:spacing w:after="0"/>
              <w:rPr>
                <w:sz w:val="15"/>
                <w:szCs w:val="15"/>
                <w:color w:val="auto"/>
              </w:rPr>
            </w:pPr>
          </w:p>
        </w:tc>
      </w:tr>
      <w:tr>
        <w:trPr>
          <w:trHeight w:val="17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3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32,422</w:t>
            </w:r>
          </w:p>
        </w:tc>
        <w:tc>
          <w:tcPr>
            <w:tcW w:w="160" w:type="dxa"/>
            <w:vAlign w:val="bottom"/>
          </w:tcPr>
          <w:p>
            <w:pPr>
              <w:spacing w:after="0"/>
              <w:rPr>
                <w:sz w:val="14"/>
                <w:szCs w:val="14"/>
                <w:color w:val="auto"/>
              </w:rPr>
            </w:pPr>
          </w:p>
        </w:tc>
      </w:tr>
      <w:tr>
        <w:trPr>
          <w:trHeight w:val="74"/>
        </w:trPr>
        <w:tc>
          <w:tcPr>
            <w:tcW w:w="4080" w:type="dxa"/>
            <w:vAlign w:val="bottom"/>
            <w:shd w:val="clear" w:color="auto" w:fill="CCEEFF"/>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Available-for-sale securities (at fair value)</w:t>
            </w:r>
          </w:p>
        </w:tc>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w:t>
            </w: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6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w:t>
            </w:r>
          </w:p>
        </w:tc>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159,155</w:t>
            </w: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Reserve Bank stock, at cost</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stock, at cost</w:t>
            </w:r>
          </w:p>
        </w:tc>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6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6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Core deposit intangible</w:t>
            </w:r>
          </w:p>
        </w:tc>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36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60" w:type="dxa"/>
            <w:vAlign w:val="bottom"/>
          </w:tcPr>
          <w:p>
            <w:pPr>
              <w:spacing w:after="0"/>
              <w:rPr>
                <w:sz w:val="15"/>
                <w:szCs w:val="15"/>
                <w:color w:val="auto"/>
              </w:rPr>
            </w:pPr>
          </w:p>
        </w:tc>
      </w:tr>
      <w:tr>
        <w:trPr>
          <w:trHeight w:val="171"/>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360" w:type="dxa"/>
            <w:vAlign w:val="bottom"/>
          </w:tcPr>
          <w:p>
            <w:pPr>
              <w:spacing w:after="0"/>
              <w:rPr>
                <w:sz w:val="14"/>
                <w:szCs w:val="14"/>
                <w:color w:val="auto"/>
              </w:rPr>
            </w:pP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201,889</w:t>
            </w:r>
          </w:p>
        </w:tc>
        <w:tc>
          <w:tcPr>
            <w:tcW w:w="160" w:type="dxa"/>
            <w:vAlign w:val="bottom"/>
          </w:tcPr>
          <w:p>
            <w:pPr>
              <w:spacing w:after="0"/>
              <w:rPr>
                <w:sz w:val="14"/>
                <w:szCs w:val="14"/>
                <w:color w:val="auto"/>
              </w:rPr>
            </w:pPr>
          </w:p>
        </w:tc>
      </w:tr>
      <w:tr>
        <w:trPr>
          <w:trHeight w:val="74"/>
        </w:trPr>
        <w:tc>
          <w:tcPr>
            <w:tcW w:w="4080" w:type="dxa"/>
            <w:vAlign w:val="bottom"/>
            <w:shd w:val="clear" w:color="auto" w:fill="CCEEFF"/>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60" w:type="dxa"/>
            <w:vAlign w:val="bottom"/>
          </w:tcPr>
          <w:p>
            <w:pPr>
              <w:spacing w:after="0"/>
              <w:rPr>
                <w:sz w:val="6"/>
                <w:szCs w:val="6"/>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liabilities assumed:</w:t>
            </w:r>
          </w:p>
        </w:tc>
        <w:tc>
          <w:tcPr>
            <w:tcW w:w="3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4980" w:type="dxa"/>
            <w:vAlign w:val="bottom"/>
            <w:gridSpan w:val="2"/>
          </w:tcPr>
          <w:p>
            <w:pPr>
              <w:jc w:val="right"/>
              <w:ind w:right="1469"/>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w:t>
            </w:r>
          </w:p>
        </w:tc>
        <w:tc>
          <w:tcPr>
            <w:tcW w:w="160" w:type="dxa"/>
            <w:vAlign w:val="bottom"/>
          </w:tcPr>
          <w:p>
            <w:pPr>
              <w:spacing w:after="0"/>
              <w:rPr>
                <w:sz w:val="15"/>
                <w:szCs w:val="15"/>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Super NOW, and Money Market</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10,975</w:t>
            </w:r>
          </w:p>
        </w:tc>
        <w:tc>
          <w:tcPr>
            <w:tcW w:w="160" w:type="dxa"/>
            <w:vAlign w:val="bottom"/>
          </w:tcPr>
          <w:p>
            <w:pPr>
              <w:spacing w:after="0"/>
              <w:rPr>
                <w:sz w:val="15"/>
                <w:szCs w:val="15"/>
                <w:color w:val="auto"/>
              </w:rPr>
            </w:pPr>
          </w:p>
        </w:tc>
      </w:tr>
      <w:tr>
        <w:trPr>
          <w:trHeight w:val="18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33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104,162</w:t>
            </w:r>
          </w:p>
        </w:tc>
        <w:tc>
          <w:tcPr>
            <w:tcW w:w="160" w:type="dxa"/>
            <w:vAlign w:val="bottom"/>
          </w:tcPr>
          <w:p>
            <w:pPr>
              <w:spacing w:after="0"/>
              <w:rPr>
                <w:sz w:val="15"/>
                <w:szCs w:val="15"/>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33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137,015</w:t>
            </w:r>
          </w:p>
        </w:tc>
        <w:tc>
          <w:tcPr>
            <w:tcW w:w="160" w:type="dxa"/>
            <w:vAlign w:val="bottom"/>
          </w:tcPr>
          <w:p>
            <w:pPr>
              <w:spacing w:after="0"/>
              <w:rPr>
                <w:sz w:val="14"/>
                <w:szCs w:val="14"/>
                <w:color w:val="auto"/>
              </w:rPr>
            </w:pPr>
          </w:p>
        </w:tc>
      </w:tr>
      <w:tr>
        <w:trPr>
          <w:trHeight w:val="85"/>
        </w:trPr>
        <w:tc>
          <w:tcPr>
            <w:tcW w:w="40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Advances from the Federal Home Loan Bank</w:t>
            </w:r>
          </w:p>
        </w:tc>
        <w:tc>
          <w:tcPr>
            <w:tcW w:w="33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27,817</w:t>
            </w:r>
          </w:p>
        </w:tc>
        <w:tc>
          <w:tcPr>
            <w:tcW w:w="160" w:type="dxa"/>
            <w:vAlign w:val="bottom"/>
          </w:tcPr>
          <w:p>
            <w:pPr>
              <w:spacing w:after="0"/>
              <w:rPr>
                <w:sz w:val="15"/>
                <w:szCs w:val="15"/>
                <w:color w:val="auto"/>
              </w:rPr>
            </w:pPr>
          </w:p>
        </w:tc>
      </w:tr>
      <w:tr>
        <w:trPr>
          <w:trHeight w:val="18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36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160" w:type="dxa"/>
            <w:vAlign w:val="bottom"/>
          </w:tcPr>
          <w:p>
            <w:pPr>
              <w:spacing w:after="0"/>
              <w:rPr>
                <w:sz w:val="15"/>
                <w:szCs w:val="15"/>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3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180,608</w:t>
            </w:r>
          </w:p>
        </w:tc>
        <w:tc>
          <w:tcPr>
            <w:tcW w:w="160" w:type="dxa"/>
            <w:vAlign w:val="bottom"/>
          </w:tcPr>
          <w:p>
            <w:pPr>
              <w:spacing w:after="0"/>
              <w:rPr>
                <w:sz w:val="14"/>
                <w:szCs w:val="14"/>
                <w:color w:val="auto"/>
              </w:rPr>
            </w:pPr>
          </w:p>
        </w:tc>
      </w:tr>
      <w:tr>
        <w:trPr>
          <w:trHeight w:val="870"/>
        </w:trPr>
        <w:tc>
          <w:tcPr>
            <w:tcW w:w="4080" w:type="dxa"/>
            <w:vAlign w:val="bottom"/>
          </w:tcPr>
          <w:p>
            <w:pPr>
              <w:spacing w:after="0"/>
              <w:rPr>
                <w:sz w:val="24"/>
                <w:szCs w:val="24"/>
                <w:color w:val="auto"/>
              </w:rPr>
            </w:pPr>
          </w:p>
        </w:tc>
        <w:tc>
          <w:tcPr>
            <w:tcW w:w="3360" w:type="dxa"/>
            <w:vAlign w:val="bottom"/>
          </w:tcPr>
          <w:p>
            <w:pPr>
              <w:jc w:val="right"/>
              <w:ind w:right="1649"/>
              <w:spacing w:after="0"/>
              <w:rPr>
                <w:sz w:val="20"/>
                <w:szCs w:val="20"/>
                <w:color w:val="auto"/>
              </w:rPr>
            </w:pPr>
            <w:r>
              <w:rPr>
                <w:rFonts w:ascii="Times New Roman" w:cs="Times New Roman" w:eastAsia="Times New Roman" w:hAnsi="Times New Roman"/>
                <w:sz w:val="14"/>
                <w:szCs w:val="14"/>
                <w:color w:val="auto"/>
              </w:rPr>
              <w:t>21</w:t>
            </w:r>
          </w:p>
        </w:tc>
        <w:tc>
          <w:tcPr>
            <w:tcW w:w="1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7"/>
        </w:trPr>
        <w:tc>
          <w:tcPr>
            <w:tcW w:w="408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ASC 805 provides for a period of time during which the acquirer may adjust provisional amounts recognized at the acquisition date to their subsequently determined acquisition-date fair values, referred to as the “measurement period.” Adjustments during the measurement period are not limited to just those relating to assets acquired and liabilities assumed but apply to all aspects of business combination accounting (e.g., the consideration transferred). Measurement-period adjustments are calculated as if they were known at the acquisition date, but are recognized in the reporting period in which they are determined. Prior period information is not revised, including the effect on earnings of any amounts they would have recorded in previous periods if the accounting had been completed at the acquisition date. In accordance with ASC 805, the Company recorded a measurement period adjustment and decreased goodwill by $1.0 million related to the finalization of the consideration transferred.</w:t>
      </w:r>
    </w:p>
    <w:p>
      <w:pPr>
        <w:spacing w:after="0" w:line="16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Information regarding the allocation of goodwill to the Company’s reportable segments, as well as the carrying amounts and amortization of the core deposit intangible, can be found within NOTE 8 —GOODWILL AND INTANGIBLE ASSETS. None of the goodwill is tax deductible. Described below are the methods used to determine the fair values of the significant assets acquired and liabilities assumed in the NBNYC Acquisition.</w:t>
      </w:r>
    </w:p>
    <w:p>
      <w:pPr>
        <w:spacing w:after="0" w:line="15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The estimated fair values of cash and cash equivalents approximate their stated face amounts, as these financial instruments are either due on demand or have short-term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maturities.</w:t>
      </w:r>
    </w:p>
    <w:p>
      <w:pPr>
        <w:spacing w:after="0" w:line="14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Investment securities available-for-sale</w:t>
      </w:r>
      <w:r>
        <w:rPr>
          <w:rFonts w:ascii="Times New Roman" w:cs="Times New Roman" w:eastAsia="Times New Roman" w:hAnsi="Times New Roman"/>
          <w:sz w:val="14"/>
          <w:szCs w:val="14"/>
          <w:color w:val="auto"/>
        </w:rPr>
        <w:t>. Quoted market prices for the securities acquired were used to determine their fair values. If quoted market prices were not available for a specific security,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then quoted prices for similar securities in active markets were used to estimate the fair value.</w:t>
      </w:r>
    </w:p>
    <w:p>
      <w:pPr>
        <w:spacing w:after="0" w:line="14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Loans. </w:t>
      </w:r>
      <w:r>
        <w:rPr>
          <w:rFonts w:ascii="Times New Roman" w:cs="Times New Roman" w:eastAsia="Times New Roman" w:hAnsi="Times New Roman"/>
          <w:sz w:val="14"/>
          <w:szCs w:val="14"/>
          <w:color w:val="auto"/>
        </w:rPr>
        <w:t>Each loan was assessed individually. The fair values for loans were estimated using a discounted cash flow methodology that considered factors including the type of loan and the related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59"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Deposit Liabilities. </w:t>
      </w:r>
      <w:r>
        <w:rPr>
          <w:rFonts w:ascii="Times New Roman" w:cs="Times New Roman" w:eastAsia="Times New Roman" w:hAnsi="Times New Roman"/>
          <w:sz w:val="14"/>
          <w:szCs w:val="14"/>
          <w:color w:val="auto"/>
        </w:rPr>
        <w:t>The fair values used for the demand and savings deposits by definition equal the amount payable on demand at the Acquisition date. The fair values for time deposits were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estimated using a discounted cash flow methodology that applies interest rates currently being offered to the contractual interest rates on such time deposits.</w:t>
      </w:r>
    </w:p>
    <w:p>
      <w:pPr>
        <w:spacing w:after="0" w:line="141"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Borrowings</w:t>
      </w:r>
      <w:r>
        <w:rPr>
          <w:rFonts w:ascii="Times New Roman" w:cs="Times New Roman" w:eastAsia="Times New Roman" w:hAnsi="Times New Roman"/>
          <w:sz w:val="14"/>
          <w:szCs w:val="14"/>
          <w:color w:val="auto"/>
        </w:rPr>
        <w:t>. The estimated fair value of borrowed funds is based on bid quotations received from securities dealers or the discounted value of contractual cash flows with interest rates currently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effect for borrowed funds with similar maturities.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PCD loans. </w:t>
      </w:r>
      <w:r>
        <w:rPr>
          <w:rFonts w:ascii="Times New Roman" w:cs="Times New Roman" w:eastAsia="Times New Roman" w:hAnsi="Times New Roman"/>
          <w:sz w:val="14"/>
          <w:szCs w:val="14"/>
          <w:color w:val="auto"/>
        </w:rPr>
        <w:t>Purchased loans that reflect a more-than-insignificant deterioration of credit from origination are considered PCD. For PCD loans and leases, the initial estimate of expected credit losses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 value (unpaid principal balance)</w:t>
            </w:r>
          </w:p>
        </w:tc>
        <w:tc>
          <w:tcPr>
            <w:tcW w:w="1680" w:type="dxa"/>
            <w:vAlign w:val="bottom"/>
            <w:shd w:val="clear" w:color="auto" w:fill="CCEEFF"/>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42,443</w:t>
            </w: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 at acquisition</w:t>
            </w:r>
          </w:p>
        </w:tc>
        <w:tc>
          <w:tcPr>
            <w:tcW w:w="168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Non-credit (discount)</w:t>
            </w:r>
          </w:p>
        </w:tc>
        <w:tc>
          <w:tcPr>
            <w:tcW w:w="168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r>
      <w:tr>
        <w:trPr>
          <w:trHeight w:val="171"/>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1680" w:type="dxa"/>
            <w:vAlign w:val="bottom"/>
            <w:tcBorders>
              <w:bottom w:val="single" w:sz="8" w:color="auto"/>
            </w:tcBorders>
          </w:tcPr>
          <w:p>
            <w:pPr>
              <w:jc w:val="right"/>
              <w:ind w:right="152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40,014</w:t>
            </w:r>
          </w:p>
        </w:tc>
      </w:tr>
      <w:tr>
        <w:trPr>
          <w:trHeight w:val="20"/>
        </w:trPr>
        <w:tc>
          <w:tcPr>
            <w:tcW w:w="73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w:t>
      </w:r>
    </w:p>
    <w:p>
      <w:pPr>
        <w:spacing w:after="0" w:line="1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Company incurred transaction costs related to the NBNYC Acquisition during the year ended December 31, 2023 of $0.2 million. These costs have been included in the Consolidated Statement of Operations in Professional Services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consisted of the following at: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2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Cost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420" w:type="dxa"/>
            <w:vAlign w:val="bottom"/>
          </w:tcPr>
          <w:p>
            <w:pPr>
              <w:spacing w:after="0"/>
              <w:rPr>
                <w:sz w:val="13"/>
                <w:szCs w:val="13"/>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5"/>
              </w:rPr>
              <w:t>Fair Value</w:t>
            </w:r>
          </w:p>
        </w:tc>
      </w:tr>
      <w:tr>
        <w:trPr>
          <w:trHeight w:val="17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 at fair value</w:t>
            </w:r>
          </w:p>
        </w:tc>
        <w:tc>
          <w:tcPr>
            <w:tcW w:w="84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18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Non-controlled investments</w:t>
            </w: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18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Joint ventures, at fair value</w:t>
            </w: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63,506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40,859</w:t>
            </w:r>
          </w:p>
        </w:tc>
      </w:tr>
      <w:tr>
        <w:trPr>
          <w:trHeight w:val="19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84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96,554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102,726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74,667</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77,393</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Alternative Lending Program (ALP)</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NCL JV: On May 20, 2019, the Company and its joint venture partner launched NCL JV to provide ALP loans (formerly referred to as non-conforming conventional commercial and industrial term loans) to U.S. middle-market companies and small businesses. NCL JV is a 50/50 joint venture between NCL a wholly-owned subsidiary of the Company, and Conventional Lending TCP Holding, LLC, a wholly-owned, indirect subsidiary of BlackRock TCP Capital Corp. (Nasdaq: TCPC). NCL JV ceased funding new ALP loans during 2020. On January 28, 2022, NCL JV closed a securitization with the sale of $56.3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The proceeds of the securitization were used, in part, to repay NCL JV’s credit facility and return capital to the NCL JV partners.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NCL JV:</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93"/>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 of Assets and Liabilities Information (Unaudited)</w:t>
            </w:r>
          </w:p>
        </w:tc>
        <w:tc>
          <w:tcPr>
            <w:tcW w:w="30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20" w:type="dxa"/>
            <w:vAlign w:val="bottom"/>
          </w:tcPr>
          <w:p>
            <w:pPr>
              <w:spacing w:after="0"/>
              <w:rPr>
                <w:sz w:val="24"/>
                <w:szCs w:val="24"/>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1"/>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loans, at FV (amortized cost of $62,261 and $68,403, respectively)</w:t>
            </w:r>
          </w:p>
        </w:tc>
        <w:tc>
          <w:tcPr>
            <w:tcW w:w="3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70,083</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w:t>
            </w:r>
          </w:p>
        </w:tc>
      </w:tr>
      <w:tr>
        <w:trPr>
          <w:trHeight w:val="171"/>
        </w:trPr>
        <w:tc>
          <w:tcPr>
            <w:tcW w:w="7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75,607</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3"/>
        </w:trPr>
        <w:tc>
          <w:tcPr>
            <w:tcW w:w="7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38,805</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r>
      <w:tr>
        <w:trPr>
          <w:trHeight w:val="171"/>
        </w:trPr>
        <w:tc>
          <w:tcPr>
            <w:tcW w:w="7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39,710</w:t>
            </w:r>
          </w:p>
        </w:tc>
      </w:tr>
      <w:tr>
        <w:trPr>
          <w:trHeight w:val="212"/>
        </w:trPr>
        <w:tc>
          <w:tcPr>
            <w:tcW w:w="7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8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34,984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35,897</w:t>
            </w:r>
          </w:p>
        </w:tc>
      </w:tr>
      <w:tr>
        <w:trPr>
          <w:trHeight w:val="196"/>
        </w:trPr>
        <w:tc>
          <w:tcPr>
            <w:tcW w:w="7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net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75,607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234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145"/>
        </w:trPr>
        <w:tc>
          <w:tcPr>
            <w:tcW w:w="56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r>
      <w:tr>
        <w:trPr>
          <w:trHeight w:val="17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8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w:t>
            </w:r>
          </w:p>
        </w:tc>
      </w:tr>
      <w:tr>
        <w:trPr>
          <w:trHeight w:val="18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w:t>
            </w:r>
          </w:p>
        </w:tc>
      </w:tr>
      <w:tr>
        <w:trPr>
          <w:trHeight w:val="17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r>
      <w:tr>
        <w:trPr>
          <w:trHeight w:val="18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Unrealized (depreciation) appreciation on investments</w:t>
            </w: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w:t>
            </w:r>
          </w:p>
        </w:tc>
      </w:tr>
      <w:tr>
        <w:trPr>
          <w:trHeight w:val="19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88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TSO JV: On August 5, 2022, NCL and TSO II Booster Aggregator, L.P. (“TSO II”) entered into a joint venture, TSO JV, governed by the Amended and Restated Limited Partnership Agreement for the TSO JV. TSO JV began making investments in ALP loans during the fourth quarter of 2022. NCL and TSO II each committed to contribute an equal share of equity funding to the TSO JV and each have equal voting rights on all material matters. See NOTE 19—SUBSEQUENT EVENTS - TSO JV Securitization.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tables show certain summarized financial information for TSO JV:</w:t>
            </w:r>
          </w:p>
        </w:tc>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40" w:type="dxa"/>
            <w:vAlign w:val="bottom"/>
          </w:tcPr>
          <w:p>
            <w:pPr>
              <w:spacing w:after="0"/>
              <w:rPr>
                <w:sz w:val="24"/>
                <w:szCs w:val="2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 of Assets and Liabilities Information (Unaudited)</w:t>
            </w: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76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4,401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loans, at FV (amortized cost of $157,122 and $62,696, respectively)</w:t>
            </w:r>
          </w:p>
        </w:tc>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66,689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7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76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184,082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73,647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514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notes payable</w:t>
            </w:r>
          </w:p>
        </w:tc>
        <w:tc>
          <w:tcPr>
            <w:tcW w:w="304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29,636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7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2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81,577</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30,728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4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assets</w:t>
            </w:r>
          </w:p>
        </w:tc>
        <w:tc>
          <w:tcPr>
            <w:tcW w:w="27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102,505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42,919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net assets</w:t>
            </w:r>
          </w:p>
        </w:tc>
        <w:tc>
          <w:tcPr>
            <w:tcW w:w="27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184,082</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73,647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2149"/>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514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Statements of Operations Information (Unaudited)</w:t>
            </w:r>
          </w:p>
        </w:tc>
        <w:tc>
          <w:tcPr>
            <w:tcW w:w="23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45"/>
        </w:trPr>
        <w:tc>
          <w:tcPr>
            <w:tcW w:w="56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18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w:t>
            </w:r>
          </w:p>
        </w:tc>
      </w:tr>
      <w:tr>
        <w:trPr>
          <w:trHeight w:val="17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 (loss)</w:t>
            </w: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171"/>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appreciation (depreciation) on investments</w:t>
            </w: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Realized loss on investments</w:t>
            </w:r>
          </w:p>
        </w:tc>
        <w:tc>
          <w:tcPr>
            <w:tcW w:w="8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Realized gain (loss) on derivative transactions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0"/>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(loss) gain on derivative transactions</w:t>
            </w:r>
          </w:p>
        </w:tc>
        <w:tc>
          <w:tcPr>
            <w:tcW w:w="8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1"/>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r>
      <w:tr>
        <w:trPr>
          <w:trHeight w:val="20"/>
        </w:trPr>
        <w:tc>
          <w:tcPr>
            <w:tcW w:w="5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Affiliated Companies</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An affiliated company is an unconsolidated entity in which the Company has an ownership of 5% or more of its voting securities. Transactions related to our joint ventures and non-controlled investments for the six months ended June 30, 2024 and 2023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1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Net Gains/(Losses)</w:t>
            </w:r>
          </w:p>
        </w:tc>
        <w:tc>
          <w:tcPr>
            <w:tcW w:w="4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 June 30,</w:t>
            </w:r>
          </w:p>
        </w:tc>
        <w:tc>
          <w:tcPr>
            <w:tcW w:w="120" w:type="dxa"/>
            <w:vAlign w:val="bottom"/>
          </w:tcPr>
          <w:p>
            <w:pPr>
              <w:spacing w:after="0"/>
              <w:rPr>
                <w:sz w:val="11"/>
                <w:szCs w:val="11"/>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4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2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4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Newtek Conventional Lending, LLC</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80" w:type="dxa"/>
            <w:vAlign w:val="bottom"/>
          </w:tcPr>
          <w:p>
            <w:pPr>
              <w:spacing w:after="0"/>
              <w:rPr>
                <w:sz w:val="14"/>
                <w:szCs w:val="14"/>
                <w:color w:val="auto"/>
              </w:rPr>
            </w:pP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Newtek TSO II Conventional Credit Partners, LP</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Joint Ventures</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CCEEFF"/>
            </w:tcBorders>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 Investments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EMCAP Loan Holdings, LLC</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Biller Genie Software, LLC</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4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Non-Control Investments</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70,543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0" w:type="dxa"/>
            <w:vAlign w:val="bottom"/>
          </w:tcPr>
          <w:p>
            <w:pPr>
              <w:spacing w:after="0"/>
              <w:rPr>
                <w:sz w:val="24"/>
                <w:szCs w:val="24"/>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Fair Value at December 31,</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Purchases (Cost)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Return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at June 30,</w:t>
            </w:r>
          </w:p>
        </w:tc>
        <w:tc>
          <w:tcPr>
            <w:tcW w:w="120" w:type="dxa"/>
            <w:vAlign w:val="bottom"/>
          </w:tcPr>
          <w:p>
            <w:pPr>
              <w:spacing w:after="0"/>
              <w:rPr>
                <w:sz w:val="24"/>
                <w:szCs w:val="2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Dividend</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44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Gains/(Losses)</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3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Newtek Conventional Lending, LLC</w:t>
            </w: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16,587</w:t>
            </w:r>
          </w:p>
        </w:tc>
        <w:tc>
          <w:tcPr>
            <w:tcW w:w="80" w:type="dxa"/>
            <w:vAlign w:val="bottom"/>
          </w:tcPr>
          <w:p>
            <w:pPr>
              <w:spacing w:after="0"/>
              <w:rPr>
                <w:sz w:val="14"/>
                <w:szCs w:val="14"/>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19,700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Newtek TSO II Conventional Credit Partners, LP</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8,022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4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Joint Ventures</w:t>
            </w:r>
          </w:p>
        </w:tc>
        <w:tc>
          <w:tcPr>
            <w:tcW w:w="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27,722</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Non-Control Investments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EMCAP Loan Holdings, LLC</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Biller Genie Software, LLC</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Non-Control Investments</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29,082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Debt Securities Available-for-Sale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fair value of available-for-sale securities by major type as of June 30, 2024 and December 31, 2023:</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1"/>
        </w:trPr>
        <w:tc>
          <w:tcPr>
            <w:tcW w:w="218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97"/>
              </w:rPr>
              <w:t>Fair Value</w:t>
            </w:r>
          </w:p>
        </w:tc>
        <w:tc>
          <w:tcPr>
            <w:tcW w:w="8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Amortized Cost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Unrealized Gains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Unrealized Losses</w:t>
            </w:r>
          </w:p>
        </w:tc>
        <w:tc>
          <w:tcPr>
            <w:tcW w:w="100" w:type="dxa"/>
            <w:vAlign w:val="bottom"/>
          </w:tcPr>
          <w:p>
            <w:pPr>
              <w:spacing w:after="0"/>
              <w:rPr>
                <w:sz w:val="14"/>
                <w:szCs w:val="14"/>
                <w:color w:val="auto"/>
              </w:rPr>
            </w:pPr>
          </w:p>
        </w:tc>
        <w:tc>
          <w:tcPr>
            <w:tcW w:w="7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25,603</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r>
      <w:tr>
        <w:trPr>
          <w:trHeight w:val="18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r>
      <w:tr>
        <w:trPr>
          <w:trHeight w:val="196"/>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As of June 30, 2024 and December 31, 2023, there was $32.9 thousand and $0.2 million of accrued interest receivable on available-for-sale securities, respectively, included in Other assets in the accompanying Consolidated Statements of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and six months ended June 30, 2024 and 2023, securities sold or settled were as follows:.</w:t>
      </w:r>
    </w:p>
    <w:p>
      <w:pPr>
        <w:sectPr>
          <w:pgSz w:w="11900" w:h="16838" w:orient="portrait"/>
          <w:cols w:equalWidth="0" w:num="1">
            <w:col w:w="11280"/>
          </w:cols>
          <w:pgMar w:left="300" w:top="127" w:right="319" w:bottom="1440" w:gutter="0" w:footer="0" w:header="0"/>
        </w:sectPr>
      </w:pPr>
    </w:p>
    <w:p>
      <w:pPr>
        <w:spacing w:after="0" w:line="230"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15875</wp:posOffset>
            </wp:positionV>
            <wp:extent cx="267462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4620" cy="6985"/>
                    </a:xfrm>
                    <a:prstGeom prst="rect">
                      <a:avLst/>
                    </a:prstGeom>
                    <a:noFill/>
                  </pic:spPr>
                </pic:pic>
              </a:graphicData>
            </a:graphic>
          </wp:anchor>
        </w:drawing>
      </w:r>
    </w:p>
    <w:p>
      <w:pPr>
        <w:spacing w:after="0" w:line="10" w:lineRule="exact"/>
        <w:rPr>
          <w:sz w:val="20"/>
          <w:szCs w:val="20"/>
          <w:color w:val="auto"/>
        </w:rPr>
      </w:pPr>
    </w:p>
    <w:p>
      <w:pPr>
        <w:ind w:left="3620"/>
        <w:spacing w:after="0"/>
        <w:tabs>
          <w:tab w:leader="none" w:pos="5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15875</wp:posOffset>
            </wp:positionV>
            <wp:extent cx="26949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4940" cy="6985"/>
                    </a:xfrm>
                    <a:prstGeom prst="rect">
                      <a:avLst/>
                    </a:prstGeom>
                    <a:noFill/>
                  </pic:spPr>
                </pic:pic>
              </a:graphicData>
            </a:graphic>
          </wp:anchor>
        </w:drawing>
      </w:r>
    </w:p>
    <w:p>
      <w:pPr>
        <w:spacing w:after="0" w:line="1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5" w:lineRule="exact"/>
        <w:rPr>
          <w:sz w:val="20"/>
          <w:szCs w:val="20"/>
          <w:color w:val="auto"/>
        </w:rPr>
      </w:pPr>
    </w:p>
    <w:p>
      <w:pPr>
        <w:sectPr>
          <w:pgSz w:w="11900" w:h="16838" w:orient="portrait"/>
          <w:cols w:equalWidth="0" w:num="2">
            <w:col w:w="7220" w:space="720"/>
            <w:col w:w="3340"/>
          </w:cols>
          <w:pgMar w:left="300" w:top="127"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7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sold or settled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one settlement</w:t>
            </w:r>
          </w:p>
        </w:tc>
        <w:tc>
          <w:tcPr>
            <w:tcW w:w="104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$29,500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Unrealized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gross unrealized losses and fair value of available-for-sale securities by length of time each major security type has been in a continuous unrealized loss position: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7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120" w:type="dxa"/>
            <w:vAlign w:val="bottom"/>
          </w:tcPr>
          <w:p>
            <w:pPr>
              <w:spacing w:after="0"/>
              <w:rPr>
                <w:sz w:val="14"/>
                <w:szCs w:val="14"/>
                <w:color w:val="auto"/>
              </w:rPr>
            </w:pPr>
          </w:p>
        </w:tc>
        <w:tc>
          <w:tcPr>
            <w:tcW w:w="21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12 Months or More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Unrealized Losses</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c>
          <w:tcPr>
            <w:tcW w:w="80" w:type="dxa"/>
            <w:vAlign w:val="bottom"/>
          </w:tcPr>
          <w:p>
            <w:pPr>
              <w:spacing w:after="0"/>
              <w:rPr>
                <w:sz w:val="14"/>
                <w:szCs w:val="14"/>
                <w:color w:val="auto"/>
              </w:rPr>
            </w:pPr>
          </w:p>
        </w:tc>
        <w:tc>
          <w:tcPr>
            <w:tcW w:w="13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Number of Holdings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6"/>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7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Less Than 12 Months</w:t>
            </w:r>
          </w:p>
        </w:tc>
        <w:tc>
          <w:tcPr>
            <w:tcW w:w="360" w:type="dxa"/>
            <w:vAlign w:val="bottom"/>
          </w:tcPr>
          <w:p>
            <w:pPr>
              <w:spacing w:after="0"/>
              <w:rPr>
                <w:sz w:val="14"/>
                <w:szCs w:val="14"/>
                <w:color w:val="auto"/>
              </w:rPr>
            </w:pPr>
          </w:p>
        </w:tc>
        <w:tc>
          <w:tcPr>
            <w:tcW w:w="188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12 Months or More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Unrealized Losses</w:t>
            </w:r>
          </w:p>
        </w:tc>
        <w:tc>
          <w:tcPr>
            <w:tcW w:w="9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color w:val="auto"/>
              </w:rPr>
              <w:t>Fair Value</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c>
          <w:tcPr>
            <w:tcW w:w="80" w:type="dxa"/>
            <w:vAlign w:val="bottom"/>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Number of Holdings</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Fair Value</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Unrealized Losses</w:t>
            </w: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7"/>
        </w:trPr>
        <w:tc>
          <w:tcPr>
            <w:tcW w:w="3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Management evaluates available-for-sale debt securities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Maturities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amortized cost and fair value of available-for-sale securities by contractual maturity: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At December 31, 2023</w:t>
            </w:r>
          </w:p>
        </w:tc>
      </w:tr>
      <w:tr>
        <w:trPr>
          <w:trHeight w:val="171"/>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420" w:type="dxa"/>
            <w:vAlign w:val="bottom"/>
          </w:tcPr>
          <w:p>
            <w:pPr>
              <w:spacing w:after="0"/>
              <w:rPr>
                <w:sz w:val="14"/>
                <w:szCs w:val="14"/>
                <w:color w:val="auto"/>
              </w:rPr>
            </w:pPr>
          </w:p>
        </w:tc>
        <w:tc>
          <w:tcPr>
            <w:tcW w:w="11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Fair Value</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280" w:type="dxa"/>
            <w:vAlign w:val="bottom"/>
          </w:tcPr>
          <w:p>
            <w:pPr>
              <w:spacing w:after="0"/>
              <w:rPr>
                <w:sz w:val="14"/>
                <w:szCs w:val="14"/>
                <w:color w:val="auto"/>
              </w:rPr>
            </w:pPr>
          </w:p>
        </w:tc>
        <w:tc>
          <w:tcPr>
            <w:tcW w:w="12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Maturing within 1 year</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16,867</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 1 year through 5 years</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Newtek Bank’s available-for-sale securities pledged for deposits, borrowings, and other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Pledged for deposits</w:t>
            </w:r>
          </w:p>
        </w:tc>
        <w:tc>
          <w:tcPr>
            <w:tcW w:w="1620" w:type="dxa"/>
            <w:vAlign w:val="bottom"/>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Pledged for borrowings and other</w:t>
            </w:r>
          </w:p>
        </w:tc>
        <w:tc>
          <w:tcPr>
            <w:tcW w:w="1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30,730</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for sale securities pledged</w:t>
            </w:r>
          </w:p>
        </w:tc>
        <w:tc>
          <w:tcPr>
            <w:tcW w:w="1620" w:type="dxa"/>
            <w:vAlign w:val="bottom"/>
            <w:tcBorders>
              <w:bottom w:val="single" w:sz="8" w:color="auto"/>
            </w:tcBorders>
            <w:shd w:val="clear" w:color="auto" w:fill="CCEEFF"/>
          </w:tcPr>
          <w:p>
            <w:pPr>
              <w:jc w:val="right"/>
              <w:ind w:right="144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5—LOANS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investment (HFI)</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Loans HFI included SBA 7(a) loans originated by NSBF and Newtek Bank, as well as CRE and C&amp;I loans originated by Newtek Bank. The following tables shows the Company’s loan portfolio by industry for loans held for investment, at fair value and loans held for investment, at amortized cost:</w:t>
      </w:r>
    </w:p>
    <w:p>
      <w:pPr>
        <w:spacing w:after="0" w:line="17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3"/>
          <w:szCs w:val="13"/>
          <w:b w:val="1"/>
          <w:bCs w:val="1"/>
          <w:color w:val="auto"/>
        </w:rPr>
        <w:t>Loans Held for Investment, at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7"/>
        </w:trPr>
        <w:tc>
          <w:tcPr>
            <w:tcW w:w="492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Services and Drinking Places</w:t>
            </w:r>
          </w:p>
        </w:tc>
        <w:tc>
          <w:tcPr>
            <w:tcW w:w="17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38,146</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43,779</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Specialty Trade Contractors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Scientific, and Technical Services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33,446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Ambulatory Health Care Services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Administrative and Support Services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Merchant Wholesalers, Durable Goods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Amusement, Gambling, and Recreation Industries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Repair and Maintenance</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Truck Transportation</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Merchant Wholesalers, Nondurable Goods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Personal and Laundry Services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Fabricated Metal Product Manufacturing</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Manufacturing</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of Buildings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Accommodation</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Social Assistance</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Support Activities for Mining</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Equipment Manufacturing</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Motor Vehicle and Parts Dealers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Rental and Leasing Services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Food and Beverage Stores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Nursing and Residential Care Facilities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 Material and Garden Equipment and Supplies Dealers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Educational Services</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90,375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84,570</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102,037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96,161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434,334</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gridSpan w:val="5"/>
          </w:tcPr>
          <w:p>
            <w:pPr>
              <w:spacing w:after="0"/>
              <w:rPr>
                <w:sz w:val="24"/>
                <w:szCs w:val="24"/>
                <w:color w:val="auto"/>
              </w:rPr>
            </w:pPr>
          </w:p>
        </w:tc>
        <w:tc>
          <w:tcPr>
            <w:tcW w:w="100" w:type="dxa"/>
            <w:vAlign w:val="bottom"/>
            <w:gridSpan w:val="2"/>
          </w:tcPr>
          <w:p>
            <w:pPr>
              <w:spacing w:after="0"/>
              <w:rPr>
                <w:sz w:val="24"/>
                <w:szCs w:val="24"/>
                <w:color w:val="auto"/>
              </w:rPr>
            </w:pPr>
          </w:p>
        </w:tc>
        <w:tc>
          <w:tcPr>
            <w:tcW w:w="12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2620" w:type="dxa"/>
            <w:vAlign w:val="bottom"/>
            <w:tcBorders>
              <w:bottom w:val="single" w:sz="8" w:color="auto"/>
            </w:tcBorders>
            <w:gridSpan w:val="11"/>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7"/>
              </w:rPr>
              <w:t>Loans Held for Investment, at Amortized Cost</w:t>
            </w:r>
          </w:p>
        </w:tc>
        <w:tc>
          <w:tcPr>
            <w:tcW w:w="880" w:type="dxa"/>
            <w:vAlign w:val="bottom"/>
            <w:tcBorders>
              <w:bottom w:val="single" w:sz="8" w:color="auto"/>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9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264,384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C&amp;I</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Loans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451,502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 net</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451,829</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00" w:type="dxa"/>
            <w:vAlign w:val="bottom"/>
            <w:vMerge w:val="restart"/>
          </w:tcPr>
          <w:p>
            <w:pPr>
              <w:jc w:val="right"/>
              <w:ind w:right="82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9"/>
        </w:trPr>
        <w:tc>
          <w:tcPr>
            <w:tcW w:w="49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Past Due and Non-Accrual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aging of accrual and non-accrual loans by class. Loans HFI at amortized cost are held at Newtek Bank while loans HFI at fair value are held at NSBF:</w:t>
      </w:r>
    </w:p>
    <w:p>
      <w:pPr>
        <w:spacing w:after="0" w:line="13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As of June 30,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2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3"/>
          </w:tcPr>
          <w:p>
            <w:pPr>
              <w:jc w:val="center"/>
              <w:ind w:right="100"/>
              <w:spacing w:after="0" w:line="99" w:lineRule="exact"/>
              <w:rPr>
                <w:sz w:val="20"/>
                <w:szCs w:val="20"/>
                <w:color w:val="auto"/>
              </w:rPr>
            </w:pPr>
            <w:r>
              <w:rPr>
                <w:rFonts w:ascii="Times New Roman" w:cs="Times New Roman" w:eastAsia="Times New Roman" w:hAnsi="Times New Roman"/>
                <w:sz w:val="11"/>
                <w:szCs w:val="11"/>
                <w:b w:val="1"/>
                <w:bCs w:val="1"/>
                <w:color w:val="auto"/>
              </w:rPr>
              <w:t>30-59 Days Past</w:t>
            </w:r>
          </w:p>
        </w:tc>
        <w:tc>
          <w:tcPr>
            <w:tcW w:w="980" w:type="dxa"/>
            <w:vAlign w:val="bottom"/>
            <w:tcBorders>
              <w:top w:val="single" w:sz="8" w:color="auto"/>
            </w:tcBorders>
            <w:gridSpan w:val="3"/>
          </w:tcPr>
          <w:p>
            <w:pPr>
              <w:jc w:val="center"/>
              <w:ind w:right="100"/>
              <w:spacing w:after="0" w:line="99" w:lineRule="exact"/>
              <w:rPr>
                <w:sz w:val="20"/>
                <w:szCs w:val="20"/>
                <w:color w:val="auto"/>
              </w:rPr>
            </w:pPr>
            <w:r>
              <w:rPr>
                <w:rFonts w:ascii="Times New Roman" w:cs="Times New Roman" w:eastAsia="Times New Roman" w:hAnsi="Times New Roman"/>
                <w:sz w:val="11"/>
                <w:szCs w:val="11"/>
                <w:b w:val="1"/>
                <w:bCs w:val="1"/>
                <w:color w:val="auto"/>
              </w:rPr>
              <w:t>60-89 Days Past</w:t>
            </w:r>
          </w:p>
        </w:tc>
        <w:tc>
          <w:tcPr>
            <w:tcW w:w="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jc w:val="center"/>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90 or more Days</w:t>
            </w: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past Due</w:t>
            </w:r>
          </w:p>
        </w:tc>
        <w:tc>
          <w:tcPr>
            <w:tcW w:w="1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Carried at</w:t>
            </w:r>
          </w:p>
        </w:tc>
        <w:tc>
          <w:tcPr>
            <w:tcW w:w="1220" w:type="dxa"/>
            <w:vAlign w:val="bottom"/>
            <w:tcBorders>
              <w:top w:val="single" w:sz="8" w:color="auto"/>
            </w:tcBorders>
            <w:gridSpan w:val="3"/>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Total Loans Accounted</w:t>
            </w: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Total Loans Held</w:t>
            </w:r>
          </w:p>
        </w:tc>
        <w:tc>
          <w:tcPr>
            <w:tcW w:w="0" w:type="dxa"/>
            <w:vAlign w:val="bottom"/>
          </w:tcPr>
          <w:p>
            <w:pPr>
              <w:spacing w:after="0"/>
              <w:rPr>
                <w:sz w:val="1"/>
                <w:szCs w:val="1"/>
                <w:color w:val="auto"/>
              </w:rPr>
            </w:pPr>
          </w:p>
        </w:tc>
      </w:tr>
      <w:tr>
        <w:trPr>
          <w:trHeight w:val="117"/>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Due and</w:t>
            </w:r>
          </w:p>
        </w:tc>
        <w:tc>
          <w:tcPr>
            <w:tcW w:w="140" w:type="dxa"/>
            <w:vAlign w:val="bottom"/>
          </w:tcPr>
          <w:p>
            <w:pPr>
              <w:spacing w:after="0"/>
              <w:rPr>
                <w:sz w:val="10"/>
                <w:szCs w:val="10"/>
                <w:color w:val="auto"/>
              </w:rPr>
            </w:pPr>
          </w:p>
        </w:tc>
        <w:tc>
          <w:tcPr>
            <w:tcW w:w="84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Due and</w:t>
            </w:r>
          </w:p>
        </w:tc>
        <w:tc>
          <w:tcPr>
            <w:tcW w:w="60" w:type="dxa"/>
            <w:vAlign w:val="bottom"/>
          </w:tcPr>
          <w:p>
            <w:pPr>
              <w:spacing w:after="0"/>
              <w:rPr>
                <w:sz w:val="10"/>
                <w:szCs w:val="10"/>
                <w:color w:val="auto"/>
              </w:rPr>
            </w:pPr>
          </w:p>
        </w:tc>
        <w:tc>
          <w:tcPr>
            <w:tcW w:w="9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Past Due and</w:t>
            </w:r>
          </w:p>
        </w:tc>
        <w:tc>
          <w:tcPr>
            <w:tcW w:w="1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for Under the Fair</w:t>
            </w: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6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and Non-accrual</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Value Option</w:t>
            </w:r>
          </w:p>
        </w:tc>
        <w:tc>
          <w:tcPr>
            <w:tcW w:w="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for Investment</w:t>
            </w:r>
          </w:p>
        </w:tc>
        <w:tc>
          <w:tcPr>
            <w:tcW w:w="0" w:type="dxa"/>
            <w:vAlign w:val="bottom"/>
          </w:tcPr>
          <w:p>
            <w:pPr>
              <w:spacing w:after="0"/>
              <w:rPr>
                <w:sz w:val="1"/>
                <w:szCs w:val="1"/>
                <w:color w:val="auto"/>
              </w:rPr>
            </w:pPr>
          </w:p>
        </w:tc>
      </w:tr>
      <w:tr>
        <w:trPr>
          <w:trHeight w:val="143"/>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6,780</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6,905</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13,685</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250,699</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264,384</w:t>
            </w: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264,384</w:t>
            </w:r>
          </w:p>
        </w:tc>
        <w:tc>
          <w:tcPr>
            <w:tcW w:w="0" w:type="dxa"/>
            <w:vAlign w:val="bottom"/>
          </w:tcPr>
          <w:p>
            <w:pPr>
              <w:spacing w:after="0"/>
              <w:rPr>
                <w:sz w:val="1"/>
                <w:szCs w:val="1"/>
                <w:color w:val="auto"/>
              </w:rPr>
            </w:pPr>
          </w:p>
        </w:tc>
      </w:tr>
      <w:tr>
        <w:trPr>
          <w:trHeight w:val="165"/>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170,355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176,982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176,982</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140" w:type="dxa"/>
            <w:vAlign w:val="bottom"/>
          </w:tcPr>
          <w:p>
            <w:pPr>
              <w:spacing w:after="0"/>
              <w:rPr>
                <w:sz w:val="13"/>
                <w:szCs w:val="13"/>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10,136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10,136</w:t>
            </w:r>
          </w:p>
        </w:tc>
        <w:tc>
          <w:tcPr>
            <w:tcW w:w="0" w:type="dxa"/>
            <w:vAlign w:val="bottom"/>
          </w:tcPr>
          <w:p>
            <w:pPr>
              <w:spacing w:after="0"/>
              <w:rPr>
                <w:sz w:val="1"/>
                <w:szCs w:val="1"/>
                <w:color w:val="auto"/>
              </w:rPr>
            </w:pPr>
          </w:p>
        </w:tc>
      </w:tr>
      <w:tr>
        <w:trPr>
          <w:trHeight w:val="156"/>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7,689</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431,190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451,502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451,502</w:t>
            </w:r>
          </w:p>
        </w:tc>
        <w:tc>
          <w:tcPr>
            <w:tcW w:w="0" w:type="dxa"/>
            <w:vAlign w:val="bottom"/>
          </w:tcPr>
          <w:p>
            <w:pPr>
              <w:spacing w:after="0"/>
              <w:rPr>
                <w:sz w:val="1"/>
                <w:szCs w:val="1"/>
                <w:color w:val="auto"/>
              </w:rPr>
            </w:pPr>
          </w:p>
        </w:tc>
      </w:tr>
      <w:tr>
        <w:trPr>
          <w:trHeight w:val="153"/>
        </w:trPr>
        <w:tc>
          <w:tcPr>
            <w:tcW w:w="2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0" w:type="dxa"/>
            <w:vAlign w:val="bottom"/>
          </w:tcPr>
          <w:p>
            <w:pPr>
              <w:spacing w:after="0"/>
              <w:rPr>
                <w:sz w:val="1"/>
                <w:szCs w:val="1"/>
                <w:color w:val="auto"/>
              </w:rPr>
            </w:pPr>
          </w:p>
        </w:tc>
      </w:tr>
      <w:tr>
        <w:trPr>
          <w:trHeight w:val="96"/>
        </w:trPr>
        <w:tc>
          <w:tcPr>
            <w:tcW w:w="2200" w:type="dxa"/>
            <w:vAlign w:val="bottom"/>
            <w:gridSpan w:val="2"/>
            <w:shd w:val="clear" w:color="auto" w:fill="CCEEFF"/>
          </w:tcPr>
          <w:p>
            <w:pPr>
              <w:ind w:left="20"/>
              <w:spacing w:after="0" w:line="96" w:lineRule="exact"/>
              <w:rPr>
                <w:sz w:val="20"/>
                <w:szCs w:val="20"/>
                <w:color w:val="auto"/>
              </w:rPr>
            </w:pPr>
            <w:r>
              <w:rPr>
                <w:rFonts w:ascii="Times New Roman" w:cs="Times New Roman" w:eastAsia="Times New Roman" w:hAnsi="Times New Roman"/>
                <w:sz w:val="11"/>
                <w:szCs w:val="11"/>
                <w:color w:val="auto"/>
              </w:rPr>
              <w:t>Total, at amortized cost net of deferred fees</w:t>
            </w: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451,829</w:t>
            </w:r>
          </w:p>
        </w:tc>
        <w:tc>
          <w:tcPr>
            <w:tcW w:w="10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451,829</w:t>
            </w:r>
          </w:p>
        </w:tc>
        <w:tc>
          <w:tcPr>
            <w:tcW w:w="0" w:type="dxa"/>
            <w:vAlign w:val="bottom"/>
          </w:tcPr>
          <w:p>
            <w:pPr>
              <w:spacing w:after="0"/>
              <w:rPr>
                <w:sz w:val="1"/>
                <w:szCs w:val="1"/>
                <w:color w:val="auto"/>
              </w:rPr>
            </w:pPr>
          </w:p>
        </w:tc>
      </w:tr>
      <w:tr>
        <w:trPr>
          <w:trHeight w:val="155"/>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 costs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(21,098)</w:t>
            </w:r>
          </w:p>
        </w:tc>
        <w:tc>
          <w:tcPr>
            <w:tcW w:w="0" w:type="dxa"/>
            <w:vAlign w:val="bottom"/>
          </w:tcPr>
          <w:p>
            <w:pPr>
              <w:spacing w:after="0"/>
              <w:rPr>
                <w:sz w:val="1"/>
                <w:szCs w:val="1"/>
                <w:color w:val="auto"/>
              </w:rPr>
            </w:pPr>
          </w:p>
        </w:tc>
      </w:tr>
      <w:tr>
        <w:trPr>
          <w:trHeight w:val="156"/>
        </w:trPr>
        <w:tc>
          <w:tcPr>
            <w:tcW w:w="2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 net</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430,731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430,731</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fair value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40,219</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54,660</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94,879</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321,014</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415,893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415,893</w:t>
            </w: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loans held for investment</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47,908</w:t>
            </w: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67,283</w:t>
            </w:r>
          </w:p>
        </w:tc>
        <w:tc>
          <w:tcPr>
            <w:tcW w:w="80" w:type="dxa"/>
            <w:vAlign w:val="bottom"/>
          </w:tcPr>
          <w:p>
            <w:pPr>
              <w:spacing w:after="0"/>
              <w:rPr>
                <w:sz w:val="13"/>
                <w:szCs w:val="13"/>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115,191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752,204</w:t>
            </w:r>
          </w:p>
        </w:tc>
        <w:tc>
          <w:tcPr>
            <w:tcW w:w="8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430,731</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415,893</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846,624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19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30-59 Days Past</w:t>
            </w: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60-89 Days Past</w:t>
            </w: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90 or more Days</w:t>
            </w: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Total past Due and</w:t>
            </w: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Carried at</w:t>
            </w:r>
          </w:p>
        </w:tc>
        <w:tc>
          <w:tcPr>
            <w:tcW w:w="1260" w:type="dxa"/>
            <w:vAlign w:val="bottom"/>
            <w:tcBorders>
              <w:top w:val="single" w:sz="8" w:color="auto"/>
            </w:tcBorders>
            <w:gridSpan w:val="3"/>
          </w:tcPr>
          <w:p>
            <w:pPr>
              <w:jc w:val="center"/>
              <w:ind w:right="60"/>
              <w:spacing w:after="0" w:line="97" w:lineRule="exact"/>
              <w:rPr>
                <w:sz w:val="20"/>
                <w:szCs w:val="20"/>
                <w:color w:val="auto"/>
              </w:rPr>
            </w:pPr>
            <w:r>
              <w:rPr>
                <w:rFonts w:ascii="Times New Roman" w:cs="Times New Roman" w:eastAsia="Times New Roman" w:hAnsi="Times New Roman"/>
                <w:sz w:val="11"/>
                <w:szCs w:val="11"/>
                <w:b w:val="1"/>
                <w:bCs w:val="1"/>
                <w:color w:val="auto"/>
              </w:rPr>
              <w:t>Total Loans Accounted</w:t>
            </w: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Total Loans Held</w:t>
            </w:r>
          </w:p>
        </w:tc>
        <w:tc>
          <w:tcPr>
            <w:tcW w:w="0" w:type="dxa"/>
            <w:vAlign w:val="bottom"/>
          </w:tcPr>
          <w:p>
            <w:pPr>
              <w:spacing w:after="0"/>
              <w:rPr>
                <w:sz w:val="1"/>
                <w:szCs w:val="1"/>
                <w:color w:val="auto"/>
              </w:rPr>
            </w:pPr>
          </w:p>
        </w:tc>
      </w:tr>
      <w:tr>
        <w:trPr>
          <w:trHeight w:val="117"/>
        </w:trPr>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Past Due and</w:t>
            </w:r>
          </w:p>
        </w:tc>
        <w:tc>
          <w:tcPr>
            <w:tcW w:w="8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 accrual</w:t>
            </w:r>
          </w:p>
        </w:tc>
        <w:tc>
          <w:tcPr>
            <w:tcW w:w="10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for Under the Fair</w:t>
            </w:r>
          </w:p>
        </w:tc>
        <w:tc>
          <w:tcPr>
            <w:tcW w:w="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Due and Accruing</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Due and Accruing</w:t>
            </w:r>
          </w:p>
        </w:tc>
        <w:tc>
          <w:tcPr>
            <w:tcW w:w="8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Accruing</w:t>
            </w: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Value Option</w:t>
            </w:r>
          </w:p>
        </w:tc>
        <w:tc>
          <w:tcPr>
            <w:tcW w:w="8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for Investment</w:t>
            </w:r>
          </w:p>
        </w:tc>
        <w:tc>
          <w:tcPr>
            <w:tcW w:w="0" w:type="dxa"/>
            <w:vAlign w:val="bottom"/>
          </w:tcPr>
          <w:p>
            <w:pPr>
              <w:spacing w:after="0"/>
              <w:rPr>
                <w:sz w:val="1"/>
                <w:szCs w:val="1"/>
                <w:color w:val="auto"/>
              </w:rPr>
            </w:pPr>
          </w:p>
        </w:tc>
      </w:tr>
      <w:tr>
        <w:trPr>
          <w:trHeight w:val="144"/>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amortized cost</w:t>
            </w: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159,218</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163,918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163,918</w:t>
            </w:r>
          </w:p>
        </w:tc>
        <w:tc>
          <w:tcPr>
            <w:tcW w:w="0" w:type="dxa"/>
            <w:vAlign w:val="bottom"/>
          </w:tcPr>
          <w:p>
            <w:pPr>
              <w:spacing w:after="0"/>
              <w:rPr>
                <w:sz w:val="1"/>
                <w:szCs w:val="1"/>
                <w:color w:val="auto"/>
              </w:rPr>
            </w:pPr>
          </w:p>
        </w:tc>
      </w:tr>
      <w:tr>
        <w:trPr>
          <w:trHeight w:val="165"/>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CRE</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158,234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163,803</w:t>
            </w:r>
          </w:p>
        </w:tc>
        <w:tc>
          <w:tcPr>
            <w:tcW w:w="0" w:type="dxa"/>
            <w:vAlign w:val="bottom"/>
          </w:tcPr>
          <w:p>
            <w:pPr>
              <w:spacing w:after="0"/>
              <w:rPr>
                <w:sz w:val="1"/>
                <w:szCs w:val="1"/>
                <w:color w:val="auto"/>
              </w:rPr>
            </w:pPr>
          </w:p>
        </w:tc>
      </w:tr>
      <w:tr>
        <w:trPr>
          <w:trHeight w:val="15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C&amp;I</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at amortized cost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10,269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325,643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335,912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335,912</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Deferred fees and costs</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0" w:type="dxa"/>
            <w:vAlign w:val="bottom"/>
          </w:tcPr>
          <w:p>
            <w:pPr>
              <w:spacing w:after="0"/>
              <w:rPr>
                <w:sz w:val="1"/>
                <w:szCs w:val="1"/>
                <w:color w:val="auto"/>
              </w:rPr>
            </w:pPr>
          </w:p>
        </w:tc>
      </w:tr>
      <w:tr>
        <w:trPr>
          <w:trHeight w:val="92"/>
        </w:trPr>
        <w:tc>
          <w:tcPr>
            <w:tcW w:w="2040" w:type="dxa"/>
            <w:vAlign w:val="bottom"/>
            <w:gridSpan w:val="2"/>
            <w:shd w:val="clear" w:color="auto" w:fill="CCEEFF"/>
          </w:tcPr>
          <w:p>
            <w:pPr>
              <w:ind w:left="20"/>
              <w:spacing w:after="0" w:line="92" w:lineRule="exact"/>
              <w:rPr>
                <w:sz w:val="20"/>
                <w:szCs w:val="20"/>
                <w:color w:val="auto"/>
              </w:rPr>
            </w:pPr>
            <w:r>
              <w:rPr>
                <w:rFonts w:ascii="Times New Roman" w:cs="Times New Roman" w:eastAsia="Times New Roman" w:hAnsi="Times New Roman"/>
                <w:sz w:val="10"/>
                <w:szCs w:val="10"/>
                <w:color w:val="auto"/>
              </w:rPr>
              <w:t>Total, at amortized cost net of deferred</w:t>
            </w: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336,305</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336,305</w:t>
            </w: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fees and costs</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Allowance for credit losses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(12,574)</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Total, at amortized cost, net</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At fair value</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SBA</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20,380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16,075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48,174</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84,629</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385,172</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0" w:type="dxa"/>
            <w:vAlign w:val="bottom"/>
          </w:tcPr>
          <w:p>
            <w:pPr>
              <w:spacing w:after="0"/>
              <w:rPr>
                <w:sz w:val="1"/>
                <w:szCs w:val="1"/>
                <w:color w:val="auto"/>
              </w:rPr>
            </w:pPr>
          </w:p>
        </w:tc>
      </w:tr>
      <w:tr>
        <w:trPr>
          <w:trHeight w:val="198"/>
        </w:trPr>
        <w:tc>
          <w:tcPr>
            <w:tcW w:w="1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loans held for investment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24,965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16,386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53,547</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94,898</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710,815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323,731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469,801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793,532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Quality Indicators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spacing w:after="0" w:line="14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Company uses a grading system to rank the quality of each loan and lease. The grade is periodically evaluated and adjusted as performance dictates. Loan and lease grades 1 through 4 are passing grades and grade 5 is special mention. Collectively, grades 6 through 7 represent classified loans in Newtek Bank’s portfolio. The following guidelines govern the assignment of these risk grades:</w:t>
      </w:r>
    </w:p>
    <w:p>
      <w:pPr>
        <w:spacing w:after="0" w:line="15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Exceptional (1 Rated): These loans are of the highest quality, with strong, well-documented sources of repayment. These loans and leases will typically have multiple demonstrated sources of repayment with no significant identifiable risk to collection, exhibit well-qualified management, and have liquid financial statements relative to both direct and indirect obligations.</w:t>
      </w:r>
    </w:p>
    <w:p>
      <w:pPr>
        <w:spacing w:after="0" w:line="14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Quality (2 Rated): These loans are of very high credit quality, with strong, well-documented sources of repayment. These loans and leases exhibit very strong, well defined primary and secondary sources of repayment, with no significant identifiable risk of collection and have internally generated cash flow that more than adequately covers current maturities of long-term debt.</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Satisfactory (3 Rated): These loans exhibit satisfactory credit risk and have excellent sources of repayment, with no significant identifiable risk of collection. These loans and leases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spacing w:after="0" w:line="1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Acceptable (4 Rated): These loans show signs of weakness in either adequate sources of repayment or collateral but have demonstrated mitigating factors that minimize the risk of delinquency or loss. These loans and leases may have unproved, insufficient or marginal primary sources of repayment that appear sufficient to service the debt at this time. Repayment weaknesses may be due to minor operational issues, financial trends, or reliance on projected performance. They may also contain marginal or unproven secondary sources to liquidate the debt, including combinations of liquidation of collateral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liquidation value to the net worth of the borrower or guarantor.</w:t>
      </w:r>
    </w:p>
    <w:p>
      <w:pPr>
        <w:spacing w:after="0" w:line="185"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Special mention (5 Rated): These loans show signs of weaknesses in either adequate sources of repayment or collateral. These loans and leases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spacing w:after="0" w:line="157"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4"/>
          <w:szCs w:val="14"/>
          <w:color w:val="auto"/>
        </w:rPr>
        <w:t>Substandard (6 Rated): Loans graded Substandard are inadequately protected by current sound net worth, paying capacity of the obligor, or pledged collateral. Loans and leases classified as Substandard must have a well-defined weakness or weaknesses that jeopardize the liquidation of the debt; are characterized by the distinct possibility that the Bank will sustain some loss if the deficiencies are not corrected. These loans and leases are consistently not meeting the repayment schedule.</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as of June 30,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Term Loans Held for Investment by Origination Year</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1"/>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SBA 7(a) Unguaranteed, net of deferred fees and costs</w:t>
            </w: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103,913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140,765</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244,678</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18,053</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105,125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159,259</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264,384</w:t>
            </w:r>
          </w:p>
        </w:tc>
      </w:tr>
      <w:tr>
        <w:trPr>
          <w:trHeight w:val="192"/>
        </w:trPr>
        <w:tc>
          <w:tcPr>
            <w:tcW w:w="3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119,482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356,139</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59,550</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148,285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154,013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415,893</w:t>
            </w:r>
          </w:p>
        </w:tc>
      </w:tr>
      <w:tr>
        <w:trPr>
          <w:trHeight w:val="192"/>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CRE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25,272</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168,148</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8,834</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78,614</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176,982</w:t>
            </w:r>
          </w:p>
        </w:tc>
      </w:tr>
      <w:tr>
        <w:trPr>
          <w:trHeight w:val="224"/>
        </w:trPr>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10,136</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w:t>
            </w:r>
          </w:p>
        </w:tc>
      </w:tr>
      <w:tr>
        <w:trPr>
          <w:trHeight w:val="224"/>
        </w:trPr>
        <w:tc>
          <w:tcPr>
            <w:tcW w:w="35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130,339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220,669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181,703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234,644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867,395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832"/>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7"/>
        </w:trPr>
        <w:tc>
          <w:tcPr>
            <w:tcW w:w="35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asset quality indicators by portfolio class and origination year as of December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Term Loans Held for Investment by Origination Year</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40"/>
        </w:trPr>
        <w:tc>
          <w:tcPr>
            <w:tcW w:w="20" w:type="dxa"/>
            <w:vAlign w:val="bottom"/>
          </w:tcPr>
          <w:p>
            <w:pPr>
              <w:spacing w:after="0"/>
              <w:rPr>
                <w:sz w:val="12"/>
                <w:szCs w:val="12"/>
                <w:color w:val="auto"/>
              </w:rPr>
            </w:pPr>
          </w:p>
        </w:tc>
        <w:tc>
          <w:tcPr>
            <w:tcW w:w="3520" w:type="dxa"/>
            <w:vAlign w:val="bottom"/>
            <w:gridSpan w:val="2"/>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2"/>
                <w:szCs w:val="12"/>
                <w:color w:val="auto"/>
              </w:rPr>
            </w:pPr>
          </w:p>
        </w:tc>
        <w:tc>
          <w:tcPr>
            <w:tcW w:w="800" w:type="dxa"/>
            <w:vAlign w:val="bottom"/>
          </w:tcPr>
          <w:p>
            <w:pPr>
              <w:jc w:val="right"/>
              <w:ind w:right="289"/>
              <w:spacing w:after="0" w:line="140"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09"/>
              <w:spacing w:after="0" w:line="140"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09"/>
              <w:spacing w:after="0" w:line="140"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89"/>
              <w:spacing w:after="0" w:line="140"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09"/>
              <w:spacing w:after="0" w:line="140"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40"/>
              <w:spacing w:after="0" w:line="140" w:lineRule="exact"/>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2"/>
                <w:szCs w:val="12"/>
                <w:color w:val="auto"/>
              </w:rPr>
            </w:pPr>
          </w:p>
        </w:tc>
        <w:tc>
          <w:tcPr>
            <w:tcW w:w="820" w:type="dxa"/>
            <w:vAlign w:val="bottom"/>
          </w:tcPr>
          <w:p>
            <w:pPr>
              <w:jc w:val="right"/>
              <w:ind w:right="289"/>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52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SBA 7(a) Unguaranteed, net of deferred fees and costs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161,263</w:t>
            </w: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163,918</w:t>
            </w:r>
          </w:p>
        </w:tc>
      </w:tr>
      <w:tr>
        <w:trPr>
          <w:trHeight w:val="182"/>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SBA, at fair value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415,012</w:t>
            </w: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53,878</w:t>
            </w: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8</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161,046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59,828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121,185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CRE</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49,771</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155,040</w:t>
            </w: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C&amp;I</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Grades 1-4</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80"/>
        </w:trPr>
        <w:tc>
          <w:tcPr>
            <w:tcW w:w="20" w:type="dxa"/>
            <w:vAlign w:val="bottom"/>
            <w:shd w:val="clear" w:color="auto" w:fill="CCEEFF"/>
          </w:tcPr>
          <w:p>
            <w:pPr>
              <w:spacing w:after="0"/>
              <w:rPr>
                <w:sz w:val="15"/>
                <w:szCs w:val="15"/>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 Grades 5-6</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Grade 7</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r>
      <w:tr>
        <w:trPr>
          <w:trHeight w:val="182"/>
        </w:trPr>
        <w:tc>
          <w:tcPr>
            <w:tcW w:w="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75,366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75,127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177,594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2—SIGNIFICANT ACCOUNTING POLICIES for a description of the methodologies used to estimate the ACL.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six months ended June 30, 2024:</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26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Adjustment to beginning balance due to PCD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91"/>
        </w:trPr>
        <w:tc>
          <w:tcPr>
            <w:tcW w:w="2620" w:type="dxa"/>
            <w:vAlign w:val="bottom"/>
          </w:tcPr>
          <w:p>
            <w:pPr>
              <w:ind w:left="20"/>
              <w:spacing w:after="0" w:line="191" w:lineRule="exact"/>
              <w:rPr>
                <w:sz w:val="20"/>
                <w:szCs w:val="20"/>
                <w:color w:val="auto"/>
              </w:rPr>
            </w:pPr>
            <w:r>
              <w:rPr>
                <w:rFonts w:ascii="Times New Roman" w:cs="Times New Roman" w:eastAsia="Times New Roman" w:hAnsi="Times New Roman"/>
                <w:sz w:val="14"/>
                <w:szCs w:val="14"/>
                <w:color w:val="auto"/>
              </w:rPr>
              <w:t>marks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871</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credit losses</w:t>
            </w:r>
            <w:r>
              <w:rPr>
                <w:rFonts w:ascii="Times New Roman" w:cs="Times New Roman" w:eastAsia="Times New Roman" w:hAnsi="Times New Roman"/>
                <w:sz w:val="18"/>
                <w:szCs w:val="18"/>
                <w:color w:val="auto"/>
                <w:vertAlign w:val="superscript"/>
              </w:rPr>
              <w:t>2</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9,694</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3,893</w:t>
            </w: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19,525</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4,764</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ind w:left="80" w:hanging="75"/>
        <w:spacing w:after="0"/>
        <w:tabs>
          <w:tab w:leader="none" w:pos="80" w:val="left"/>
        </w:tabs>
        <w:numPr>
          <w:ilvl w:val="0"/>
          <w:numId w:val="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Given the January 6, 2023 transition to a financial holding company, the Company established an ACL with the beginning balance representing the purchased credit deteriorated loans acquired</w:t>
      </w:r>
    </w:p>
    <w:p>
      <w:pPr>
        <w:ind w:left="60"/>
        <w:spacing w:after="0" w:line="221" w:lineRule="auto"/>
        <w:rPr>
          <w:sz w:val="20"/>
          <w:szCs w:val="20"/>
          <w:color w:val="auto"/>
        </w:rPr>
      </w:pPr>
      <w:r>
        <w:rPr>
          <w:rFonts w:ascii="Times New Roman" w:cs="Times New Roman" w:eastAsia="Times New Roman" w:hAnsi="Times New Roman"/>
          <w:sz w:val="14"/>
          <w:szCs w:val="14"/>
          <w:color w:val="auto"/>
        </w:rPr>
        <w:t>through the NBNYC Acquisition.</w:t>
      </w:r>
    </w:p>
    <w:p>
      <w:pPr>
        <w:ind w:left="60" w:right="140" w:hanging="55"/>
        <w:spacing w:after="0" w:line="213" w:lineRule="auto"/>
        <w:tabs>
          <w:tab w:leader="none" w:pos="65"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$120 thousand of the Provision for credit losses relating to unfunded commitments for the six months ended June 30, 2024, which is recorded within Accounts payable, accrued expenses and other liabilities in accordance with ASC 326.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details activity in the ACL for the three months ended June 30,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1"/>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C&amp;I</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r>
      <w:tr>
        <w:trPr>
          <w:trHeight w:val="18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Charge offs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6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credit losses</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w:t>
            </w:r>
          </w:p>
        </w:tc>
      </w:tr>
      <w:tr>
        <w:trPr>
          <w:trHeight w:val="196"/>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60" w:right="80" w:hanging="55"/>
        <w:spacing w:after="0" w:line="223" w:lineRule="auto"/>
        <w:tabs>
          <w:tab w:leader="none" w:pos="65"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Excludes $27 thousand of the Provision for credit losses relating to unfunded commitments for the three months ended June 30, 2024, which is recorded within Accounts payable, accrued expenses and other liabilities in accordance with ASC 326.</w:t>
      </w:r>
    </w:p>
    <w:p>
      <w:pPr>
        <w:spacing w:after="0" w:line="17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4"/>
          <w:szCs w:val="14"/>
          <w:color w:val="auto"/>
        </w:rPr>
        <w:t>The Company identified 33 and five loans as of June 30, 2024 and December 31, 2023, respectively, that did not share similar risk characteristics with the loan segments identified in NOTE 2— SIGNIFICANT ACCOUNTING POLICIES and evaluated them for impairment individually.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individually evaluated and collectively evaluated ACL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ACL</w:t>
            </w:r>
          </w:p>
        </w:tc>
        <w:tc>
          <w:tcPr>
            <w:tcW w:w="22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12,472</w:t>
            </w: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recorded investment in loans individually evaluated and collectively evaluated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Recorded Investment</w:t>
            </w:r>
          </w:p>
        </w:tc>
        <w:tc>
          <w:tcPr>
            <w:tcW w:w="2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CRE</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CRE</w:t>
            </w:r>
          </w:p>
        </w:tc>
        <w:tc>
          <w:tcPr>
            <w:tcW w:w="20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C&amp;I</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SBA</w:t>
            </w:r>
          </w:p>
        </w:tc>
        <w:tc>
          <w:tcPr>
            <w:tcW w:w="22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r>
      <w:tr>
        <w:trPr>
          <w:trHeight w:val="17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Individually Evaluated</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Pr>
          <w:p>
            <w:pPr>
              <w:spacing w:after="0"/>
              <w:rPr>
                <w:sz w:val="14"/>
                <w:szCs w:val="14"/>
                <w:color w:val="auto"/>
              </w:rPr>
            </w:pPr>
          </w:p>
        </w:tc>
      </w:tr>
      <w:tr>
        <w:trPr>
          <w:trHeight w:val="18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Collectively Evaluated</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171,264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257,479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159,182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163,191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330,564</w:t>
            </w:r>
          </w:p>
        </w:tc>
        <w:tc>
          <w:tcPr>
            <w:tcW w:w="100" w:type="dxa"/>
            <w:vAlign w:val="bottom"/>
          </w:tcPr>
          <w:p>
            <w:pPr>
              <w:spacing w:after="0"/>
              <w:rPr>
                <w:sz w:val="15"/>
                <w:szCs w:val="15"/>
                <w:color w:val="auto"/>
              </w:rPr>
            </w:pPr>
          </w:p>
        </w:tc>
      </w:tr>
      <w:tr>
        <w:trPr>
          <w:trHeight w:val="196"/>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176,982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264,384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451,502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335,912</w:t>
            </w:r>
          </w:p>
        </w:tc>
        <w:tc>
          <w:tcPr>
            <w:tcW w:w="100" w:type="dxa"/>
            <w:vAlign w:val="bottom"/>
          </w:tcPr>
          <w:p>
            <w:pPr>
              <w:spacing w:after="0"/>
              <w:rPr>
                <w:sz w:val="16"/>
                <w:szCs w:val="16"/>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0"/>
        </w:trPr>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2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amortized cost basis of loans on nonaccrual status and the individually assessed ACL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2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ACL</w:t>
            </w:r>
          </w:p>
        </w:tc>
        <w:tc>
          <w:tcPr>
            <w:tcW w:w="100" w:type="dxa"/>
            <w:vAlign w:val="bottom"/>
          </w:tcPr>
          <w:p>
            <w:pPr>
              <w:spacing w:after="0"/>
              <w:rPr>
                <w:sz w:val="11"/>
                <w:szCs w:val="11"/>
                <w:color w:val="auto"/>
              </w:rPr>
            </w:pPr>
          </w:p>
        </w:tc>
        <w:tc>
          <w:tcPr>
            <w:tcW w:w="140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without</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rPr>
              <w:t>Nonaccrual with</w:t>
            </w:r>
          </w:p>
        </w:tc>
        <w:tc>
          <w:tcPr>
            <w:tcW w:w="320" w:type="dxa"/>
            <w:vAlign w:val="bottom"/>
          </w:tcPr>
          <w:p>
            <w:pPr>
              <w:spacing w:after="0"/>
              <w:rPr>
                <w:sz w:val="11"/>
                <w:szCs w:val="11"/>
                <w:color w:val="auto"/>
              </w:rPr>
            </w:pPr>
          </w:p>
        </w:tc>
        <w:tc>
          <w:tcPr>
            <w:tcW w:w="110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unpaid contractual principal balance and recorded investment for the loans individually assessed is shown in the table below by type: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34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ACL</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Real Estate</w:t>
            </w:r>
          </w:p>
        </w:tc>
        <w:tc>
          <w:tcPr>
            <w:tcW w:w="160" w:type="dxa"/>
            <w:vAlign w:val="bottom"/>
          </w:tcPr>
          <w:p>
            <w:pPr>
              <w:spacing w:after="0"/>
              <w:rPr>
                <w:sz w:val="11"/>
                <w:szCs w:val="11"/>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80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ACL</w:t>
            </w: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2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Accrued interest on loans totaled $13.0 million and $10.7 million as of June 30, 2024 and December 31, 2023, respectively, and is excluded from the estimate of credit losses. The Company writes off accrued interest receivable by reversing interest income and typically occurs upon loans becoming 90 to 120 days past due.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Modifications Made to Borrowers Experiencing Financial Difficulty</w:t>
      </w:r>
    </w:p>
    <w:p>
      <w:pPr>
        <w:spacing w:after="0" w:line="20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Company did not make any loan modifications to borrowers experiencing financial difficulty that would require disclosure, such as principal forgiveness, term extension, or interest rate reductions during the three and six months ended June 30, 2024 and 2023. Additionally there were no troubled debt restructurings under legacy U.S. GAAP during the three and six months ended June 30, 2024 and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Loans held for sale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 FV</w:t>
            </w:r>
          </w:p>
        </w:tc>
        <w:tc>
          <w:tcPr>
            <w:tcW w:w="300" w:type="dxa"/>
            <w:vAlign w:val="bottom"/>
          </w:tcPr>
          <w:p>
            <w:pPr>
              <w:spacing w:after="0"/>
              <w:rPr>
                <w:sz w:val="15"/>
                <w:szCs w:val="15"/>
                <w:color w:val="auto"/>
              </w:rPr>
            </w:pPr>
          </w:p>
        </w:tc>
        <w:tc>
          <w:tcPr>
            <w:tcW w:w="8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At LCM</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At FV</w:t>
            </w:r>
          </w:p>
        </w:tc>
        <w:tc>
          <w:tcPr>
            <w:tcW w:w="200" w:type="dxa"/>
            <w:vAlign w:val="bottom"/>
          </w:tcPr>
          <w:p>
            <w:pPr>
              <w:spacing w:after="0"/>
              <w:rPr>
                <w:sz w:val="15"/>
                <w:szCs w:val="15"/>
                <w:color w:val="auto"/>
              </w:rPr>
            </w:pPr>
          </w:p>
        </w:tc>
        <w:tc>
          <w:tcPr>
            <w:tcW w:w="9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At LCM</w:t>
            </w:r>
          </w:p>
        </w:tc>
        <w:tc>
          <w:tcPr>
            <w:tcW w:w="0" w:type="dxa"/>
            <w:vAlign w:val="bottom"/>
          </w:tcPr>
          <w:p>
            <w:pPr>
              <w:spacing w:after="0"/>
              <w:rPr>
                <w:sz w:val="1"/>
                <w:szCs w:val="1"/>
                <w:color w:val="auto"/>
              </w:rPr>
            </w:pPr>
          </w:p>
        </w:tc>
      </w:tr>
      <w:tr>
        <w:trPr>
          <w:trHeight w:val="17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First Lien</w:t>
            </w:r>
          </w:p>
        </w:tc>
        <w:tc>
          <w:tcPr>
            <w:tcW w:w="24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39,840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66,387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38,787</w:t>
            </w:r>
          </w:p>
        </w:tc>
        <w:tc>
          <w:tcPr>
            <w:tcW w:w="0" w:type="dxa"/>
            <w:vAlign w:val="bottom"/>
          </w:tcPr>
          <w:p>
            <w:pPr>
              <w:spacing w:after="0"/>
              <w:rPr>
                <w:sz w:val="1"/>
                <w:szCs w:val="1"/>
                <w:color w:val="auto"/>
              </w:rPr>
            </w:pPr>
          </w:p>
        </w:tc>
      </w:tr>
      <w:tr>
        <w:trPr>
          <w:trHeight w:val="18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504 Second Lien</w:t>
            </w: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2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 Partials</w:t>
            </w: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ALP</w:t>
            </w:r>
          </w:p>
        </w:tc>
        <w:tc>
          <w:tcPr>
            <w:tcW w:w="2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64,373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24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58,405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55,829</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2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7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 net of deferred fees and costs</w:t>
            </w:r>
          </w:p>
        </w:tc>
        <w:tc>
          <w:tcPr>
            <w:tcW w:w="24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59,402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20" w:type="dxa"/>
            <w:vAlign w:val="bottom"/>
            <w:vMerge w:val="restart"/>
          </w:tcPr>
          <w:p>
            <w:pPr>
              <w:jc w:val="right"/>
              <w:ind w:right="829"/>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42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6—TRANSACTIONS WITH AFFILIATED COMPANIES AND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Due to/from affiliated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due to and due from affiliated companies as of June 30, 2024 and December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1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Due to affiliated companies</w:t>
            </w:r>
            <w:r>
              <w:rPr>
                <w:rFonts w:ascii="Times New Roman" w:cs="Times New Roman" w:eastAsia="Times New Roman" w:hAnsi="Times New Roman"/>
                <w:sz w:val="18"/>
                <w:szCs w:val="18"/>
                <w:color w:val="auto"/>
                <w:vertAlign w:val="superscript"/>
              </w:rPr>
              <w:t>1</w:t>
            </w:r>
          </w:p>
        </w:tc>
        <w:tc>
          <w:tcPr>
            <w:tcW w:w="1580" w:type="dxa"/>
            <w:vAlign w:val="bottom"/>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80"/>
        </w:trPr>
        <w:tc>
          <w:tcPr>
            <w:tcW w:w="7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Due from affiliated companies</w:t>
            </w:r>
            <w:r>
              <w:rPr>
                <w:rFonts w:ascii="Times New Roman" w:cs="Times New Roman" w:eastAsia="Times New Roman" w:hAnsi="Times New Roman"/>
                <w:sz w:val="18"/>
                <w:szCs w:val="18"/>
                <w:color w:val="auto"/>
                <w:vertAlign w:val="superscript"/>
              </w:rPr>
              <w:t>2</w:t>
            </w:r>
          </w:p>
        </w:tc>
        <w:tc>
          <w:tcPr>
            <w:tcW w:w="15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due to/due from affiliated companies</w:t>
            </w:r>
          </w:p>
        </w:tc>
        <w:tc>
          <w:tcPr>
            <w:tcW w:w="1580" w:type="dxa"/>
            <w:vAlign w:val="bottom"/>
            <w:tcBorders>
              <w:top w:val="single" w:sz="8" w:color="auto"/>
              <w:bottom w:val="single" w:sz="8" w:color="auto"/>
            </w:tcBorders>
            <w:shd w:val="clear" w:color="auto" w:fill="CCEEFF"/>
          </w:tcPr>
          <w:p>
            <w:pPr>
              <w:jc w:val="right"/>
              <w:ind w:right="140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Other assets</w:t>
      </w:r>
    </w:p>
    <w:p>
      <w:pPr>
        <w:ind w:left="80" w:hanging="75"/>
        <w:spacing w:after="0" w:line="205" w:lineRule="auto"/>
        <w:tabs>
          <w:tab w:leader="none" w:pos="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Accounts payable, accrued expenses, and 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Transactions with joint ventures and non-control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4—INVESTMENTS for a schedule of transactions with our joint ventures and non-control equity investments.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income earned from our joint ventures for the periods ended June 30,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3340" w:type="dxa"/>
            <w:vAlign w:val="bottom"/>
            <w:gridSpan w:val="4"/>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366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Newtek Bank Deposits</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Newtek Bank holds FDIC insured deposits from certain of the Company’s officers, directors and their associated companies. The following table summarizes the amounts due of deposits from related parties and their affiliated companies as of June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FDIC insured deposits</w:t>
            </w:r>
          </w:p>
        </w:tc>
        <w:tc>
          <w:tcPr>
            <w:tcW w:w="1660" w:type="dxa"/>
            <w:vAlign w:val="bottom"/>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r>
      <w:tr>
        <w:trPr>
          <w:trHeight w:val="18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Non-FDIC insured deposits</w:t>
            </w:r>
          </w:p>
        </w:tc>
        <w:tc>
          <w:tcPr>
            <w:tcW w:w="1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deposits from related parties and their affiliated companies</w:t>
            </w:r>
          </w:p>
        </w:tc>
        <w:tc>
          <w:tcPr>
            <w:tcW w:w="1660" w:type="dxa"/>
            <w:vAlign w:val="bottom"/>
            <w:tcBorders>
              <w:bottom w:val="single" w:sz="8" w:color="auto"/>
            </w:tcBorders>
            <w:shd w:val="clear" w:color="auto" w:fill="CCEEFF"/>
          </w:tcPr>
          <w:p>
            <w:pPr>
              <w:jc w:val="right"/>
              <w:ind w:right="1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7—SERVICING ASSETS:</w:t>
      </w:r>
    </w:p>
    <w:p>
      <w:pPr>
        <w:spacing w:after="0" w:line="18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Servicing assets held by NSBF and Newtek Bank, including Newtek Bank’s subsidiary SBL, are measured at fair value and lower of cost or market, respectively. The Company earns servicing fees from the guaranteed portions of SBA 7(a) loans it originates and sells and for the portfolios of ALP loans SBL services for NCL JV and TSO JV. As of June 30, 2024 the Company services $1.8 billion in SBA 7(a) loans and $154.7 million in ALP loans.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summarizes the fair value and valuation assumptions related to servicing assets at June 30, 2024 and December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Borders>
              <w:bottom w:val="single" w:sz="8" w:color="auto"/>
            </w:tcBorders>
          </w:tcPr>
          <w:p>
            <w:pPr>
              <w:spacing w:after="0"/>
              <w:rPr>
                <w:sz w:val="16"/>
                <w:szCs w:val="16"/>
                <w:color w:val="auto"/>
              </w:rPr>
            </w:pPr>
          </w:p>
        </w:tc>
      </w:tr>
      <w:tr>
        <w:trPr>
          <w:trHeight w:val="141"/>
        </w:trPr>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3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2"/>
                <w:szCs w:val="12"/>
                <w:color w:val="auto"/>
              </w:rPr>
            </w:pPr>
          </w:p>
        </w:tc>
      </w:tr>
      <w:tr>
        <w:trPr>
          <w:trHeight w:val="154"/>
        </w:trPr>
        <w:tc>
          <w:tcPr>
            <w:tcW w:w="2800" w:type="dxa"/>
            <w:vAlign w:val="bottom"/>
            <w:gridSpan w:val="2"/>
          </w:tcPr>
          <w:p>
            <w:pPr>
              <w:ind w:left="88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60" w:type="dxa"/>
            <w:vAlign w:val="bottom"/>
          </w:tcPr>
          <w:p>
            <w:pPr>
              <w:spacing w:after="0"/>
              <w:rPr>
                <w:sz w:val="13"/>
                <w:szCs w:val="13"/>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76"/>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assets at FV:</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Servicing assets at LCM:</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10,389</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Discount factor</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35.93 %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29.76 %</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71"/>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44,633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39,725</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Determined based on risk spreads and observable secondary market transactions.</w:t>
      </w:r>
    </w:p>
    <w:p>
      <w:pPr>
        <w:spacing w:after="0" w:line="156"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Refer to NOTE 9—FAIR VALUE MEASUREMENTS for a rollforward of servicing assets at fair value. The following tables show a rollforward of servicing assets measured at LOCOM for the six months ended June 30,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71"/>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Servicing Assets, at LOCOM</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10,389</w:t>
            </w:r>
          </w:p>
        </w:tc>
      </w:tr>
      <w:tr>
        <w:trPr>
          <w:trHeight w:val="180"/>
        </w:trPr>
        <w:tc>
          <w:tcPr>
            <w:tcW w:w="81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80"/>
        </w:trPr>
        <w:tc>
          <w:tcPr>
            <w:tcW w:w="8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10,310</w:t>
            </w:r>
          </w:p>
        </w:tc>
      </w:tr>
      <w:tr>
        <w:trPr>
          <w:trHeight w:val="18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3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2024</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80" w:hanging="75"/>
        <w:spacing w:after="0"/>
        <w:tabs>
          <w:tab w:leader="none" w:pos="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Net gains on sales of loans in the Consolidated Statements of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71"/>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Servicing Assets, at LOCOM</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Additions/(removal) of entities consolidating after Conversion to BHC</w:t>
            </w:r>
          </w:p>
        </w:tc>
        <w:tc>
          <w:tcPr>
            <w:tcW w:w="32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0"/>
        </w:trPr>
        <w:tc>
          <w:tcPr>
            <w:tcW w:w="8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Amortization</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5"/>
                <w:szCs w:val="15"/>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80"/>
        </w:trPr>
        <w:tc>
          <w:tcPr>
            <w:tcW w:w="81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5"/>
                <w:szCs w:val="15"/>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assessment</w:t>
            </w:r>
          </w:p>
        </w:tc>
        <w:tc>
          <w:tcPr>
            <w:tcW w:w="320" w:type="dxa"/>
            <w:vAlign w:val="bottom"/>
            <w:tcBorders>
              <w:bottom w:val="single" w:sz="8" w:color="auto"/>
            </w:tcBorders>
            <w:shd w:val="clear" w:color="auto" w:fill="CCEEFF"/>
          </w:tcPr>
          <w:p>
            <w:pPr>
              <w:spacing w:after="0"/>
              <w:rPr>
                <w:sz w:val="15"/>
                <w:szCs w:val="15"/>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2023</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w:t>
            </w:r>
          </w:p>
        </w:tc>
      </w:tr>
      <w:tr>
        <w:trPr>
          <w:trHeight w:val="20"/>
        </w:trPr>
        <w:tc>
          <w:tcPr>
            <w:tcW w:w="8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within Net gains on sales of loans in the Consolidated Statements of Income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Servicing fee income earned for the three and six months ended June 30, 2024 and 2023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4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3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452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30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fee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23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$9,964</w:t>
            </w:r>
          </w:p>
        </w:tc>
        <w:tc>
          <w:tcPr>
            <w:tcW w:w="168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$8,702</w:t>
            </w:r>
          </w:p>
        </w:tc>
      </w:tr>
      <w:tr>
        <w:trPr>
          <w:trHeight w:val="859"/>
        </w:trPr>
        <w:tc>
          <w:tcPr>
            <w:tcW w:w="4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jc w:val="right"/>
              <w:ind w:right="204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7"/>
        </w:trPr>
        <w:tc>
          <w:tcPr>
            <w:tcW w:w="45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8—GOODWILL AND INTANGIBLE ASSETS:</w:t>
            </w: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1"/>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carrying amount of goodwill:</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3"/>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20" w:type="dxa"/>
            <w:vAlign w:val="bottom"/>
          </w:tcPr>
          <w:p>
            <w:pPr>
              <w:spacing w:after="0"/>
              <w:rPr>
                <w:sz w:val="14"/>
                <w:szCs w:val="14"/>
                <w:color w:val="auto"/>
              </w:rPr>
            </w:pPr>
          </w:p>
        </w:tc>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20" w:type="dxa"/>
            <w:vAlign w:val="bottom"/>
          </w:tcPr>
          <w:p>
            <w:pPr>
              <w:spacing w:after="0"/>
              <w:rPr>
                <w:sz w:val="15"/>
                <w:szCs w:val="15"/>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r>
      <w:tr>
        <w:trPr>
          <w:trHeight w:val="180"/>
        </w:trPr>
        <w:tc>
          <w:tcPr>
            <w:tcW w:w="20" w:type="dxa"/>
            <w:vAlign w:val="bottom"/>
          </w:tcPr>
          <w:p>
            <w:pPr>
              <w:spacing w:after="0"/>
              <w:rPr>
                <w:sz w:val="15"/>
                <w:szCs w:val="15"/>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6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1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r>
      <w:tr>
        <w:trPr>
          <w:trHeight w:val="171"/>
        </w:trPr>
        <w:tc>
          <w:tcPr>
            <w:tcW w:w="20" w:type="dxa"/>
            <w:vAlign w:val="bottom"/>
          </w:tcPr>
          <w:p>
            <w:pPr>
              <w:spacing w:after="0"/>
              <w:rPr>
                <w:sz w:val="14"/>
                <w:szCs w:val="14"/>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goodwill</w:t>
            </w: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Banking:</w:t>
      </w:r>
    </w:p>
    <w:p>
      <w:pPr>
        <w:spacing w:after="0" w:line="19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In connection with the Acquisition, the Company recorded $0.3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Payments and Technology:</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goodwill in the payments and technology segments was generated from acquisitions by the legal entities within those segments prior to the consolidation of the those entities into NewtekOne following the 2023 Acquisition.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Intangible Assets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1"/>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intangible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2"/>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35"/>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Gross carrying</w:t>
            </w:r>
          </w:p>
        </w:tc>
        <w:tc>
          <w:tcPr>
            <w:tcW w:w="120" w:type="dxa"/>
            <w:vAlign w:val="bottom"/>
          </w:tcPr>
          <w:p>
            <w:pPr>
              <w:spacing w:after="0"/>
              <w:rPr>
                <w:sz w:val="11"/>
                <w:szCs w:val="11"/>
                <w:color w:val="auto"/>
              </w:rPr>
            </w:pPr>
          </w:p>
        </w:tc>
        <w:tc>
          <w:tcPr>
            <w:tcW w:w="140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4"/>
                <w:szCs w:val="14"/>
                <w:color w:val="auto"/>
              </w:rPr>
              <w:t>Net 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rPr>
              <w:t>Gross carrying</w:t>
            </w:r>
          </w:p>
        </w:tc>
        <w:tc>
          <w:tcPr>
            <w:tcW w:w="20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1"/>
                <w:szCs w:val="11"/>
                <w:color w:val="auto"/>
              </w:rPr>
            </w:pPr>
          </w:p>
        </w:tc>
        <w:tc>
          <w:tcPr>
            <w:tcW w:w="100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4"/>
                <w:szCs w:val="14"/>
                <w:color w:val="auto"/>
              </w:rPr>
              <w:t>Net Carrying</w:t>
            </w:r>
          </w:p>
        </w:tc>
      </w:tr>
      <w:tr>
        <w:trPr>
          <w:trHeight w:val="184"/>
        </w:trPr>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amount</w:t>
            </w: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6"/>
                <w:szCs w:val="16"/>
                <w:color w:val="auto"/>
              </w:rPr>
            </w:pP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amount</w:t>
            </w: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Deposits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Customer Lists</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Customer Lists</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r>
      <w:tr>
        <w:trPr>
          <w:trHeight w:val="17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7,565</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(11,905)</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As of June 30, 2024 and December 31, 2023, the Company had $3.1 million and $3.4 million, respectively, of intangible assets relating to customer lists. In addition, The Company had $0.8 million and $0.8 million on core deposits at Newtek Bank as of June 30, 2024 and December 31, 2023, respectively.</w:t>
      </w:r>
    </w:p>
    <w:p>
      <w:pPr>
        <w:spacing w:after="0" w:line="14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Core Deposit Intangible. </w:t>
      </w:r>
      <w:r>
        <w:rPr>
          <w:rFonts w:ascii="Times New Roman" w:cs="Times New Roman" w:eastAsia="Times New Roman" w:hAnsi="Times New Roman"/>
          <w:sz w:val="14"/>
          <w:szCs w:val="14"/>
          <w:color w:val="auto"/>
        </w:rPr>
        <w:t>CDI is a measure of the value of non-interest-bearing and interest-bearing checking accounts, savings accounts, and money market accounts that are acquired in a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spacing w:after="0" w:line="159"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Customer Lists. </w:t>
      </w:r>
      <w:r>
        <w:rPr>
          <w:rFonts w:ascii="Times New Roman" w:cs="Times New Roman" w:eastAsia="Times New Roman" w:hAnsi="Times New Roman"/>
          <w:sz w:val="14"/>
          <w:szCs w:val="14"/>
          <w:color w:val="auto"/>
        </w:rPr>
        <w:t>The intangible asset for customer lists are within the technology segment and existed prior to the consolidation of the technology segment into NewtekOne following the 2023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Acquisition. The payments customer list has been disposed 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for the three and six months ended June 30, 2024 and 2023 is as follows, and is included in Depreciation and amortization on the 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4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00" w:type="dxa"/>
            <w:vAlign w:val="bottom"/>
          </w:tcPr>
          <w:p>
            <w:pPr>
              <w:spacing w:after="0"/>
              <w:rPr>
                <w:sz w:val="16"/>
                <w:szCs w:val="16"/>
                <w:color w:val="auto"/>
              </w:rPr>
            </w:pPr>
          </w:p>
        </w:tc>
        <w:tc>
          <w:tcPr>
            <w:tcW w:w="2640" w:type="dxa"/>
            <w:vAlign w:val="bottom"/>
            <w:gridSpan w:val="2"/>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4520" w:type="dxa"/>
            <w:vAlign w:val="bottom"/>
            <w:tcBorders>
              <w:bottom w:val="single" w:sz="8" w:color="CCEEFF"/>
            </w:tcBorders>
          </w:tcPr>
          <w:p>
            <w:pPr>
              <w:spacing w:after="0"/>
              <w:rPr>
                <w:sz w:val="14"/>
                <w:szCs w:val="14"/>
                <w:color w:val="auto"/>
              </w:rPr>
            </w:pPr>
          </w:p>
        </w:tc>
        <w:tc>
          <w:tcPr>
            <w:tcW w:w="2280" w:type="dxa"/>
            <w:vAlign w:val="bottom"/>
            <w:tcBorders>
              <w:top w:val="single" w:sz="8" w:color="auto"/>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expense</w:t>
            </w:r>
          </w:p>
        </w:tc>
        <w:tc>
          <w:tcPr>
            <w:tcW w:w="228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$194</w:t>
            </w:r>
          </w:p>
        </w:tc>
        <w:tc>
          <w:tcPr>
            <w:tcW w:w="10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$401</w:t>
            </w:r>
          </w:p>
        </w:tc>
        <w:tc>
          <w:tcPr>
            <w:tcW w:w="220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$811</w:t>
            </w:r>
          </w:p>
        </w:tc>
      </w:tr>
      <w:tr>
        <w:trPr>
          <w:trHeight w:val="435"/>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remaining estimated aggregate future amortization expense for intangible assets as of June 30, 2024 is as follows: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93"/>
        </w:trPr>
        <w:tc>
          <w:tcPr>
            <w:tcW w:w="452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17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9—FAIR VALUE MEASUREMENTS: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fair value measurements of certain of the Company’s assets and liabilities measured at fair value and indicates the fair value hierarchy of the valuation techniques utilized by the Company to determine such fair values as of June 30, 2024 and December 31, 2023:</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1"/>
                <w:szCs w:val="11"/>
                <w:b w:val="1"/>
                <w:bCs w:val="1"/>
                <w:color w:val="auto"/>
              </w:rPr>
              <w:t>Fair Value Measurements at June 30, 2024</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00" w:type="dxa"/>
            <w:vAlign w:val="bottom"/>
          </w:tcPr>
          <w:p>
            <w:pPr>
              <w:spacing w:after="0"/>
              <w:rPr>
                <w:sz w:val="13"/>
                <w:szCs w:val="13"/>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Treasury notes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Non-controlled/affiliate investments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722,944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694,526</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0"/>
        </w:trPr>
        <w:tc>
          <w:tcPr>
            <w:tcW w:w="7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,3,4</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spacing w:after="0" w:line="5" w:lineRule="exact"/>
        <w:rPr>
          <w:sz w:val="20"/>
          <w:szCs w:val="20"/>
          <w:color w:val="auto"/>
        </w:rPr>
      </w:pPr>
    </w:p>
    <w:p>
      <w:pPr>
        <w:ind w:left="80" w:hanging="75"/>
        <w:spacing w:after="0"/>
        <w:tabs>
          <w:tab w:leader="none" w:pos="8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$25.7 million of servicing assets at held at FV and $18.9 million of servicing assets are held at LCM. Refer to NOTE 7—SERVICING ASSETS.</w:t>
      </w:r>
    </w:p>
    <w:p>
      <w:pPr>
        <w:spacing w:after="0" w:line="44" w:lineRule="exact"/>
        <w:rPr>
          <w:rFonts w:ascii="Times New Roman" w:cs="Times New Roman" w:eastAsia="Times New Roman" w:hAnsi="Times New Roman"/>
          <w:sz w:val="18"/>
          <w:szCs w:val="18"/>
          <w:color w:val="auto"/>
          <w:vertAlign w:val="superscript"/>
        </w:rPr>
      </w:pPr>
    </w:p>
    <w:p>
      <w:pPr>
        <w:ind w:right="4100"/>
        <w:spacing w:after="0" w:line="277"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Included in Accounts payable, accrued expenses, and other liabilities on the Consolidated Statements of Financial Condition. </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Measured at fair value on a recurring basis with the net unrealized gains or losses recorded in current period earnings.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8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8"/>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2023</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3"/>
                <w:szCs w:val="13"/>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notes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Government agency debentures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real estate owned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Non-controlled/affiliate investments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2</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0" w:type="dxa"/>
            <w:vAlign w:val="bottom"/>
          </w:tcPr>
          <w:p>
            <w:pPr>
              <w:spacing w:after="0"/>
              <w:rPr>
                <w:sz w:val="1"/>
                <w:szCs w:val="1"/>
                <w:color w:val="auto"/>
              </w:rPr>
            </w:pPr>
          </w:p>
        </w:tc>
      </w:tr>
      <w:tr>
        <w:trPr>
          <w:trHeight w:val="180"/>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Joint ventures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692,872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660,701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Equity warrants</w:t>
            </w:r>
            <w:r>
              <w:rPr>
                <w:rFonts w:ascii="Times New Roman" w:cs="Times New Roman" w:eastAsia="Times New Roman" w:hAnsi="Times New Roman"/>
                <w:sz w:val="18"/>
                <w:szCs w:val="18"/>
                <w:color w:val="auto"/>
                <w:vertAlign w:val="superscript"/>
              </w:rPr>
              <w:t>3</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80"/>
        </w:trPr>
        <w:tc>
          <w:tcPr>
            <w:tcW w:w="680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Derivative instruments</w:t>
            </w:r>
            <w:r>
              <w:rPr>
                <w:rFonts w:ascii="Times New Roman" w:cs="Times New Roman" w:eastAsia="Times New Roman" w:hAnsi="Times New Roman"/>
                <w:sz w:val="18"/>
                <w:szCs w:val="18"/>
                <w:color w:val="auto"/>
                <w:vertAlign w:val="superscript"/>
              </w:rPr>
              <w:t>3,4</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80" w:hanging="75"/>
        <w:spacing w:after="0"/>
        <w:tabs>
          <w:tab w:leader="none" w:pos="8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80" w:hanging="75"/>
        <w:spacing w:after="0" w:line="205" w:lineRule="auto"/>
        <w:tabs>
          <w:tab w:leader="none" w:pos="8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$29.3 million of servicing assets held at FV and $10.4 million of servicing assets are held at LCM. Refer to NOTE 7—SERVICING ASSETS</w:t>
      </w:r>
    </w:p>
    <w:p>
      <w:pPr>
        <w:spacing w:after="0" w:line="1" w:lineRule="exact"/>
        <w:rPr>
          <w:rFonts w:ascii="Times New Roman" w:cs="Times New Roman" w:eastAsia="Times New Roman" w:hAnsi="Times New Roman"/>
          <w:sz w:val="18"/>
          <w:szCs w:val="18"/>
          <w:color w:val="auto"/>
          <w:vertAlign w:val="superscript"/>
        </w:rPr>
      </w:pPr>
    </w:p>
    <w:p>
      <w:pPr>
        <w:ind w:left="80" w:hanging="75"/>
        <w:spacing w:after="0" w:line="186" w:lineRule="auto"/>
        <w:tabs>
          <w:tab w:leader="none" w:pos="8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ind w:left="5580" w:right="4520" w:hanging="5575"/>
        <w:spacing w:after="0" w:line="856" w:lineRule="auto"/>
        <w:tabs>
          <w:tab w:leader="none" w:pos="93"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Measured at fair value on a recurring basis with the net unrealized gains or losses recorded in current period earnings.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-294640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represents the changes in the investments, servicing assets and liabilities measured at fair value using Level 3 inputs for the six months ended June 30, 2024 and 2023:</w:t>
      </w:r>
    </w:p>
    <w:p>
      <w:pPr>
        <w:spacing w:after="0" w:line="78"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1"/>
                <w:szCs w:val="11"/>
                <w:b w:val="1"/>
                <w:bCs w:val="1"/>
                <w:color w:val="auto"/>
              </w:rPr>
              <w:t>Loans HFI,</w:t>
            </w:r>
          </w:p>
        </w:tc>
        <w:tc>
          <w:tcPr>
            <w:tcW w:w="140" w:type="dxa"/>
            <w:vAlign w:val="bottom"/>
          </w:tcPr>
          <w:p>
            <w:pPr>
              <w:spacing w:after="0"/>
              <w:rPr>
                <w:sz w:val="9"/>
                <w:szCs w:val="9"/>
                <w:color w:val="auto"/>
              </w:rPr>
            </w:pPr>
          </w:p>
        </w:tc>
        <w:tc>
          <w:tcPr>
            <w:tcW w:w="94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00" w:type="dxa"/>
            <w:vAlign w:val="bottom"/>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Joint Ventures</w:t>
            </w:r>
          </w:p>
        </w:tc>
        <w:tc>
          <w:tcPr>
            <w:tcW w:w="1000" w:type="dxa"/>
            <w:vAlign w:val="bottom"/>
            <w:gridSpan w:val="3"/>
          </w:tcPr>
          <w:p>
            <w:pPr>
              <w:jc w:val="center"/>
              <w:ind w:right="80"/>
              <w:spacing w:after="0" w:line="107"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160" w:type="dxa"/>
            <w:vAlign w:val="bottom"/>
          </w:tcPr>
          <w:p>
            <w:pPr>
              <w:spacing w:after="0"/>
              <w:rPr>
                <w:sz w:val="9"/>
                <w:szCs w:val="9"/>
                <w:color w:val="auto"/>
              </w:rPr>
            </w:pPr>
          </w:p>
        </w:tc>
        <w:tc>
          <w:tcPr>
            <w:tcW w:w="9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Non-Control</w:t>
            </w:r>
          </w:p>
        </w:tc>
        <w:tc>
          <w:tcPr>
            <w:tcW w:w="160" w:type="dxa"/>
            <w:vAlign w:val="bottom"/>
          </w:tcPr>
          <w:p>
            <w:pPr>
              <w:spacing w:after="0"/>
              <w:rPr>
                <w:sz w:val="9"/>
                <w:szCs w:val="9"/>
                <w:color w:val="auto"/>
              </w:rPr>
            </w:pPr>
          </w:p>
        </w:tc>
        <w:tc>
          <w:tcPr>
            <w:tcW w:w="880" w:type="dxa"/>
            <w:vAlign w:val="bottom"/>
            <w:gridSpan w:val="2"/>
          </w:tcPr>
          <w:p>
            <w:pPr>
              <w:jc w:val="center"/>
              <w:ind w:right="260"/>
              <w:spacing w:after="0" w:line="107" w:lineRule="exact"/>
              <w:rPr>
                <w:sz w:val="20"/>
                <w:szCs w:val="20"/>
                <w:color w:val="auto"/>
              </w:rPr>
            </w:pPr>
            <w:r>
              <w:rPr>
                <w:rFonts w:ascii="Times New Roman" w:cs="Times New Roman" w:eastAsia="Times New Roman" w:hAnsi="Times New Roman"/>
                <w:sz w:val="11"/>
                <w:szCs w:val="11"/>
                <w:b w:val="1"/>
                <w:bCs w:val="1"/>
                <w:color w:val="auto"/>
              </w:rPr>
              <w:t>Warrant</w:t>
            </w:r>
          </w:p>
        </w:tc>
        <w:tc>
          <w:tcPr>
            <w:tcW w:w="9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Other Real Estate</w:t>
            </w: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60" w:type="dxa"/>
            <w:vAlign w:val="bottom"/>
          </w:tcPr>
          <w:p>
            <w:pPr>
              <w:spacing w:after="0"/>
              <w:rPr>
                <w:sz w:val="13"/>
                <w:szCs w:val="13"/>
                <w:color w:val="auto"/>
              </w:rPr>
            </w:pPr>
          </w:p>
        </w:tc>
        <w:tc>
          <w:tcPr>
            <w:tcW w:w="88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1"/>
                <w:szCs w:val="11"/>
                <w:b w:val="1"/>
                <w:bCs w:val="1"/>
                <w:color w:val="auto"/>
              </w:rPr>
              <w:t>Liabilities</w:t>
            </w:r>
            <w:r>
              <w:rPr>
                <w:rFonts w:ascii="Times New Roman" w:cs="Times New Roman" w:eastAsia="Times New Roman" w:hAnsi="Times New Roman"/>
                <w:sz w:val="14"/>
                <w:szCs w:val="14"/>
                <w:b w:val="1"/>
                <w:bCs w:val="1"/>
                <w:color w:val="auto"/>
                <w:vertAlign w:val="superscript"/>
              </w:rPr>
              <w:t>2</w:t>
            </w:r>
          </w:p>
        </w:tc>
        <w:tc>
          <w:tcPr>
            <w:tcW w:w="160" w:type="dxa"/>
            <w:vAlign w:val="bottom"/>
          </w:tcPr>
          <w:p>
            <w:pPr>
              <w:spacing w:after="0"/>
              <w:rPr>
                <w:sz w:val="13"/>
                <w:szCs w:val="13"/>
                <w:color w:val="auto"/>
              </w:rPr>
            </w:pPr>
          </w:p>
        </w:tc>
        <w:tc>
          <w:tcPr>
            <w:tcW w:w="7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1"/>
                <w:szCs w:val="11"/>
                <w:b w:val="1"/>
                <w:bCs w:val="1"/>
                <w:color w:val="auto"/>
              </w:rPr>
              <w:t>Owned</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7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December 31, 2023</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funded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ALP loans, funded</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 funded</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contributions/(distributions)</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June 30, 2024</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80" w:hanging="75"/>
        <w:spacing w:after="0" w:line="205" w:lineRule="auto"/>
        <w:tabs>
          <w:tab w:leader="none" w:pos="8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Six Months Ended June 30, 2023</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140" w:type="dxa"/>
            <w:vAlign w:val="bottom"/>
          </w:tcPr>
          <w:p>
            <w:pPr>
              <w:spacing w:after="0"/>
              <w:rPr>
                <w:sz w:val="9"/>
                <w:szCs w:val="9"/>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Loans HFI, at FV</w:t>
            </w:r>
          </w:p>
        </w:tc>
        <w:tc>
          <w:tcPr>
            <w:tcW w:w="140" w:type="dxa"/>
            <w:vAlign w:val="bottom"/>
          </w:tcPr>
          <w:p>
            <w:pPr>
              <w:spacing w:after="0"/>
              <w:rPr>
                <w:sz w:val="9"/>
                <w:szCs w:val="9"/>
                <w:color w:val="auto"/>
              </w:rPr>
            </w:pPr>
          </w:p>
        </w:tc>
        <w:tc>
          <w:tcPr>
            <w:tcW w:w="92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Loans HFS,</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Controlled</w:t>
            </w: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Joint Ventures</w:t>
            </w:r>
          </w:p>
        </w:tc>
        <w:tc>
          <w:tcPr>
            <w:tcW w:w="980" w:type="dxa"/>
            <w:vAlign w:val="bottom"/>
            <w:gridSpan w:val="3"/>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Servicing Assets,</w:t>
            </w:r>
          </w:p>
        </w:tc>
        <w:tc>
          <w:tcPr>
            <w:tcW w:w="160" w:type="dxa"/>
            <w:vAlign w:val="bottom"/>
          </w:tcPr>
          <w:p>
            <w:pPr>
              <w:spacing w:after="0"/>
              <w:rPr>
                <w:sz w:val="9"/>
                <w:szCs w:val="9"/>
                <w:color w:val="auto"/>
              </w:rPr>
            </w:pPr>
          </w:p>
        </w:tc>
        <w:tc>
          <w:tcPr>
            <w:tcW w:w="1020" w:type="dxa"/>
            <w:vAlign w:val="bottom"/>
            <w:gridSpan w:val="2"/>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Non-Control</w:t>
            </w:r>
          </w:p>
        </w:tc>
        <w:tc>
          <w:tcPr>
            <w:tcW w:w="140" w:type="dxa"/>
            <w:vAlign w:val="bottom"/>
          </w:tcPr>
          <w:p>
            <w:pPr>
              <w:spacing w:after="0"/>
              <w:rPr>
                <w:sz w:val="9"/>
                <w:szCs w:val="9"/>
                <w:color w:val="auto"/>
              </w:rPr>
            </w:pPr>
          </w:p>
        </w:tc>
        <w:tc>
          <w:tcPr>
            <w:tcW w:w="88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Warrant</w:t>
            </w:r>
          </w:p>
        </w:tc>
        <w:tc>
          <w:tcPr>
            <w:tcW w:w="100" w:type="dxa"/>
            <w:vAlign w:val="bottom"/>
          </w:tcPr>
          <w:p>
            <w:pPr>
              <w:spacing w:after="0"/>
              <w:rPr>
                <w:sz w:val="9"/>
                <w:szCs w:val="9"/>
                <w:color w:val="auto"/>
              </w:rPr>
            </w:pPr>
          </w:p>
        </w:tc>
        <w:tc>
          <w:tcPr>
            <w:tcW w:w="680" w:type="dxa"/>
            <w:vAlign w:val="bottom"/>
          </w:tcPr>
          <w:p>
            <w:pPr>
              <w:jc w:val="right"/>
              <w:ind w:right="50"/>
              <w:spacing w:after="0" w:line="106" w:lineRule="exact"/>
              <w:rPr>
                <w:sz w:val="20"/>
                <w:szCs w:val="20"/>
                <w:color w:val="auto"/>
              </w:rPr>
            </w:pPr>
            <w:r>
              <w:rPr>
                <w:rFonts w:ascii="Times New Roman" w:cs="Times New Roman" w:eastAsia="Times New Roman" w:hAnsi="Times New Roman"/>
                <w:sz w:val="11"/>
                <w:szCs w:val="11"/>
                <w:b w:val="1"/>
                <w:bCs w:val="1"/>
                <w:color w:val="auto"/>
              </w:rPr>
              <w:t>Other Real</w:t>
            </w: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9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at FV</w:t>
            </w:r>
          </w:p>
        </w:tc>
        <w:tc>
          <w:tcPr>
            <w:tcW w:w="16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Liabilities</w:t>
            </w:r>
            <w:r>
              <w:rPr>
                <w:rFonts w:ascii="Times New Roman" w:cs="Times New Roman" w:eastAsia="Times New Roman" w:hAnsi="Times New Roman"/>
                <w:sz w:val="7"/>
                <w:szCs w:val="7"/>
                <w:b w:val="1"/>
                <w:bCs w:val="1"/>
                <w:color w:val="auto"/>
              </w:rPr>
              <w:t>2</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Estate Owned</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76"/>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December 31, 2022</w:t>
            </w:r>
          </w:p>
        </w:tc>
        <w:tc>
          <w:tcPr>
            <w:tcW w:w="26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505,268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23,022</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38"/>
        </w:trPr>
        <w:tc>
          <w:tcPr>
            <w:tcW w:w="31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Additions/(removal) of entities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31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consolidating after Conversion</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to BHC</w:t>
            </w: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 of Loans HFS to HFI</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due to:</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Changes in valuation inputs or assumptions</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factors</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 (loss)</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SBA investments, funded</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ALP loans, funded</w:t>
            </w:r>
          </w:p>
        </w:tc>
        <w:tc>
          <w:tcPr>
            <w:tcW w:w="2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Foreclosed real estate acquired</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and repurchases of loans</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Sales</w:t>
            </w:r>
          </w:p>
        </w:tc>
        <w:tc>
          <w:tcPr>
            <w:tcW w:w="2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payments received</w:t>
            </w: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26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June 30, 2023</w:t>
            </w:r>
          </w:p>
        </w:tc>
        <w:tc>
          <w:tcPr>
            <w:tcW w:w="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Other assets on the Consolidated Statements of Financial Condition.</w:t>
      </w:r>
    </w:p>
    <w:p>
      <w:pPr>
        <w:ind w:left="80" w:hanging="75"/>
        <w:spacing w:after="0" w:line="196" w:lineRule="auto"/>
        <w:tabs>
          <w:tab w:leader="none" w:pos="8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Accounts payable, accrued expenses, and other liabilities on the Consolidated Statements of Financial Condition.</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12"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following tables provide a summary of quantitative information about the Company’s Level 3 fair value measurements as of June 30, 2024 and December 31, 2023.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June 30, 2024 and December 31,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90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310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361,233</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54,660</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 equity investments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23.50 %</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1</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Appraised value</w:t>
            </w: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02"/>
        </w:trPr>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41.00 %</w:t>
            </w:r>
          </w:p>
        </w:tc>
      </w:tr>
      <w:tr>
        <w:trPr>
          <w:trHeight w:val="180"/>
        </w:trPr>
        <w:tc>
          <w:tcPr>
            <w:tcW w:w="3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r>
      <w:tr>
        <w:trPr>
          <w:trHeight w:val="184"/>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4.35 %</w:t>
            </w:r>
          </w:p>
        </w:tc>
      </w:tr>
    </w:tbl>
    <w:p>
      <w:pPr>
        <w:spacing w:after="0" w:line="98" w:lineRule="exact"/>
        <w:rPr>
          <w:sz w:val="20"/>
          <w:szCs w:val="20"/>
          <w:color w:val="auto"/>
        </w:rPr>
      </w:pPr>
    </w:p>
    <w:p>
      <w:pPr>
        <w:ind w:left="5580" w:right="3000" w:hanging="5575"/>
        <w:spacing w:after="0" w:line="867" w:lineRule="auto"/>
        <w:tabs>
          <w:tab w:leader="none" w:pos="93"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$25.7 million of servicing assets at held at FV and $18.9 million of servicing assets are held at LCM. Refer to NOTE 7—SERVICING ASSETS.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-300990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Fair Value as of</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880" w:type="dxa"/>
            <w:vAlign w:val="bottom"/>
            <w:tcBorders>
              <w:bottom w:val="single" w:sz="8" w:color="auto"/>
            </w:tcBorders>
          </w:tcPr>
          <w:p>
            <w:pPr>
              <w:spacing w:after="0"/>
              <w:rPr>
                <w:sz w:val="13"/>
                <w:szCs w:val="13"/>
                <w:color w:val="auto"/>
              </w:rPr>
            </w:pPr>
          </w:p>
        </w:tc>
      </w:tr>
      <w:tr>
        <w:trPr>
          <w:trHeight w:val="154"/>
        </w:trPr>
        <w:tc>
          <w:tcPr>
            <w:tcW w:w="3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120" w:type="dxa"/>
            <w:vAlign w:val="bottom"/>
            <w:gridSpan w:val="2"/>
          </w:tcPr>
          <w:p>
            <w:pPr>
              <w:ind w:left="1020"/>
              <w:spacing w:after="0"/>
              <w:rPr>
                <w:sz w:val="20"/>
                <w:szCs w:val="20"/>
                <w:color w:val="auto"/>
              </w:rPr>
            </w:pPr>
            <w:r>
              <w:rPr>
                <w:rFonts w:ascii="Times New Roman" w:cs="Times New Roman" w:eastAsia="Times New Roman" w:hAnsi="Times New Roman"/>
                <w:sz w:val="11"/>
                <w:szCs w:val="11"/>
                <w:b w:val="1"/>
                <w:bCs w:val="1"/>
                <w:color w:val="auto"/>
              </w:rPr>
              <w:t>Unobservable Input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6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Maximum</w:t>
            </w:r>
          </w:p>
        </w:tc>
      </w:tr>
      <w:tr>
        <w:trPr>
          <w:trHeight w:val="166"/>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FV - accrual</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421,627</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FV - non-accrual</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61.03 %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 equity investments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3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Servicing assets</w:t>
            </w:r>
            <w:r>
              <w:rPr>
                <w:rFonts w:ascii="Times New Roman" w:cs="Times New Roman" w:eastAsia="Times New Roman" w:hAnsi="Times New Roman"/>
                <w:sz w:val="18"/>
                <w:szCs w:val="18"/>
                <w:color w:val="auto"/>
                <w:vertAlign w:val="superscript"/>
              </w:rPr>
              <w:t>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29,336</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yields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prepayment rate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22.50 %</w:t>
            </w:r>
          </w:p>
        </w:tc>
      </w:tr>
      <w:tr>
        <w:trPr>
          <w:trHeight w:val="180"/>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cumulative default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19.00 %</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Appraised value</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12"/>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warrants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43.00 %</w:t>
            </w:r>
          </w:p>
        </w:tc>
      </w:tr>
      <w:tr>
        <w:trPr>
          <w:trHeight w:val="180"/>
        </w:trPr>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r>
      <w:tr>
        <w:trPr>
          <w:trHeight w:val="184"/>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 free rate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3.88 %</w:t>
            </w:r>
          </w:p>
        </w:tc>
      </w:tr>
    </w:tbl>
    <w:p>
      <w:pPr>
        <w:spacing w:after="0" w:line="33" w:lineRule="exact"/>
        <w:rPr>
          <w:sz w:val="20"/>
          <w:szCs w:val="20"/>
          <w:color w:val="auto"/>
        </w:rPr>
      </w:pPr>
    </w:p>
    <w:p>
      <w:pPr>
        <w:ind w:left="80" w:hanging="75"/>
        <w:spacing w:after="0"/>
        <w:tabs>
          <w:tab w:leader="none" w:pos="8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$29.3 million of servicing assets held at FV and $10.4 million of servicing assets are held at LCM. Refer to NOTE 7—SERVICING ASSETS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93" w:lineRule="exact"/>
        <w:rPr>
          <w:rFonts w:ascii="Times New Roman" w:cs="Times New Roman" w:eastAsia="Times New Roman" w:hAnsi="Times New Roman"/>
          <w:sz w:val="18"/>
          <w:szCs w:val="18"/>
          <w:color w:val="auto"/>
          <w:vertAlign w:val="superscript"/>
        </w:rPr>
      </w:pPr>
    </w:p>
    <w:p>
      <w:pPr>
        <w:ind w:left="558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Estimated Fair Value of Other Financial Instruments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tcPr>
          <w:p>
            <w:pPr>
              <w:ind w:left="92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36,832</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132,597</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FV</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179,739</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59,611</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415,893</w:t>
            </w: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Total loans HFI, at amortized cost, net of deferred fees</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costs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451,829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451,829</w:t>
            </w:r>
          </w:p>
        </w:tc>
      </w:tr>
      <w:tr>
        <w:trPr>
          <w:trHeight w:val="138"/>
        </w:trPr>
        <w:tc>
          <w:tcPr>
            <w:tcW w:w="32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r>
      <w:tr>
        <w:trPr>
          <w:trHeight w:val="18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FV</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69,803</w:t>
            </w: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 investments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286,669</w:t>
            </w: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651,972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261,657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652,984</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w w:val="98"/>
              </w:rPr>
              <w:t>Fair Value Amount by Level:</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Carrying Amount</w:t>
            </w:r>
          </w:p>
        </w:tc>
        <w:tc>
          <w:tcPr>
            <w:tcW w:w="340" w:type="dxa"/>
            <w:vAlign w:val="bottom"/>
          </w:tcPr>
          <w:p>
            <w:pPr>
              <w:spacing w:after="0"/>
              <w:rPr>
                <w:sz w:val="15"/>
                <w:szCs w:val="15"/>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color w:val="auto"/>
              </w:rPr>
              <w:t>Level 2</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Level 3</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Fair Value</w:t>
            </w:r>
          </w:p>
        </w:tc>
      </w:tr>
      <w:tr>
        <w:trPr>
          <w:trHeight w:val="16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due from banks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15,398</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30,919</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137,689</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 at FV</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32,171</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HFS,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HFS, at LCM</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56,733</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HFI, at FV</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120" w:type="dxa"/>
            <w:vAlign w:val="bottom"/>
          </w:tcPr>
          <w:p>
            <w:pPr>
              <w:spacing w:after="0"/>
              <w:rPr>
                <w:sz w:val="15"/>
                <w:szCs w:val="15"/>
                <w:color w:val="auto"/>
              </w:rPr>
            </w:pPr>
          </w:p>
        </w:tc>
      </w:tr>
      <w:tr>
        <w:trPr>
          <w:trHeight w:val="138"/>
        </w:trPr>
        <w:tc>
          <w:tcPr>
            <w:tcW w:w="32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Total loans HFI, at amortized cost, net of deferred fees</w:t>
            </w:r>
          </w:p>
        </w:tc>
        <w:tc>
          <w:tcPr>
            <w:tcW w:w="2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costs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337,133</w:t>
            </w:r>
          </w:p>
        </w:tc>
        <w:tc>
          <w:tcPr>
            <w:tcW w:w="120" w:type="dxa"/>
            <w:vAlign w:val="bottom"/>
          </w:tcPr>
          <w:p>
            <w:pPr>
              <w:spacing w:after="0"/>
              <w:rPr>
                <w:sz w:val="16"/>
                <w:szCs w:val="16"/>
                <w:color w:val="auto"/>
              </w:rPr>
            </w:pPr>
          </w:p>
        </w:tc>
      </w:tr>
      <w:tr>
        <w:trPr>
          <w:trHeight w:val="138"/>
        </w:trPr>
        <w:tc>
          <w:tcPr>
            <w:tcW w:w="32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Federal Home Loan Bank and Federal Reserve Bank</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91"/>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120" w:type="dxa"/>
            <w:vAlign w:val="bottom"/>
          </w:tcPr>
          <w:p>
            <w:pPr>
              <w:spacing w:after="0"/>
              <w:rPr>
                <w:sz w:val="16"/>
                <w:szCs w:val="16"/>
                <w:color w:val="auto"/>
              </w:rPr>
            </w:pPr>
          </w:p>
        </w:tc>
      </w:tr>
      <w:tr>
        <w:trPr>
          <w:trHeight w:val="18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Joint ventures, at FV</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40,859</w:t>
            </w: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 investments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3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168,542</w:t>
            </w:r>
          </w:p>
        </w:tc>
        <w:tc>
          <w:tcPr>
            <w:tcW w:w="120" w:type="dxa"/>
            <w:vAlign w:val="bottom"/>
          </w:tcPr>
          <w:p>
            <w:pPr>
              <w:spacing w:after="0"/>
              <w:rPr>
                <w:sz w:val="15"/>
                <w:szCs w:val="15"/>
                <w:color w:val="auto"/>
              </w:rPr>
            </w:pPr>
          </w:p>
        </w:tc>
      </w:tr>
      <w:tr>
        <w:trPr>
          <w:trHeight w:val="18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641,794</w:t>
            </w:r>
          </w:p>
        </w:tc>
        <w:tc>
          <w:tcPr>
            <w:tcW w:w="120" w:type="dxa"/>
            <w:vAlign w:val="bottom"/>
          </w:tcPr>
          <w:p>
            <w:pPr>
              <w:spacing w:after="0"/>
              <w:rPr>
                <w:sz w:val="15"/>
                <w:szCs w:val="15"/>
                <w:color w:val="auto"/>
              </w:rPr>
            </w:pPr>
          </w:p>
        </w:tc>
      </w:tr>
      <w:tr>
        <w:trPr>
          <w:trHeight w:val="870"/>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7"/>
        </w:trPr>
        <w:tc>
          <w:tcPr>
            <w:tcW w:w="3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10—DEPOSITS:</w:t>
            </w: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deposits by type:</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w:t>
            </w:r>
          </w:p>
        </w:tc>
        <w:tc>
          <w:tcPr>
            <w:tcW w:w="25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Demand</w:t>
            </w:r>
          </w:p>
        </w:tc>
        <w:tc>
          <w:tcPr>
            <w:tcW w:w="28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2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Checking</w:t>
            </w: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w:t>
            </w:r>
          </w:p>
        </w:tc>
        <w:tc>
          <w:tcPr>
            <w:tcW w:w="2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Savings</w:t>
            </w: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259,152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5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284,312</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interest-bearing</w:t>
            </w:r>
          </w:p>
        </w:tc>
        <w:tc>
          <w:tcPr>
            <w:tcW w:w="2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605,504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5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610,425</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 money market, and interest-bearing checking obtained through brokers</w:t>
            </w:r>
          </w:p>
        </w:tc>
        <w:tc>
          <w:tcPr>
            <w:tcW w:w="28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Aggregate amount of deposit accounts that exceeded the FDIC limit</w:t>
            </w:r>
          </w:p>
        </w:tc>
        <w:tc>
          <w:tcPr>
            <w:tcW w:w="28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77,898</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Demand deposit overdrafts reclassified as loan balances</w:t>
            </w:r>
          </w:p>
        </w:tc>
        <w:tc>
          <w:tcPr>
            <w:tcW w:w="28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 in excess of $0.25 million</w:t>
            </w:r>
          </w:p>
        </w:tc>
        <w:tc>
          <w:tcPr>
            <w:tcW w:w="28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55,025</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20,070</w:t>
            </w:r>
          </w:p>
        </w:tc>
        <w:tc>
          <w:tcPr>
            <w:tcW w:w="0" w:type="dxa"/>
            <w:vAlign w:val="bottom"/>
          </w:tcPr>
          <w:p>
            <w:pPr>
              <w:spacing w:after="0"/>
              <w:rPr>
                <w:sz w:val="1"/>
                <w:szCs w:val="1"/>
                <w:color w:val="auto"/>
              </w:rPr>
            </w:pPr>
          </w:p>
        </w:tc>
      </w:tr>
      <w:tr>
        <w:trPr>
          <w:trHeight w:val="431"/>
        </w:trPr>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the scheduled maturities of time deposits: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2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2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time deposits</w:t>
            </w:r>
          </w:p>
        </w:tc>
        <w:tc>
          <w:tcPr>
            <w:tcW w:w="25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2029"/>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522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June 30, 2024 and December 31, 2023, the Company had borrowings composed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00" w:type="dxa"/>
            <w:vAlign w:val="bottom"/>
            <w:shd w:val="clear" w:color="auto" w:fill="CCEEFF"/>
          </w:tcPr>
          <w:p>
            <w:pPr>
              <w:spacing w:after="0"/>
              <w:rPr>
                <w:sz w:val="9"/>
                <w:szCs w:val="9"/>
                <w:color w:val="auto"/>
              </w:rPr>
            </w:pPr>
          </w:p>
        </w:tc>
        <w:tc>
          <w:tcPr>
            <w:tcW w:w="3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jc w:val="center"/>
              <w:ind w:right="9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Commitments</w:t>
            </w: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jc w:val="right"/>
              <w:ind w:right="192"/>
              <w:spacing w:after="0" w:line="106" w:lineRule="exact"/>
              <w:rPr>
                <w:sz w:val="20"/>
                <w:szCs w:val="20"/>
                <w:color w:val="auto"/>
              </w:rPr>
            </w:pPr>
            <w:r>
              <w:rPr>
                <w:rFonts w:ascii="Times New Roman" w:cs="Times New Roman" w:eastAsia="Times New Roman" w:hAnsi="Times New Roman"/>
                <w:sz w:val="11"/>
                <w:szCs w:val="11"/>
                <w:b w:val="1"/>
                <w:bCs w:val="1"/>
                <w:color w:val="auto"/>
              </w:rPr>
              <w:t>Borrowings</w:t>
            </w: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jc w:val="right"/>
              <w:ind w:right="119"/>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9"/>
        </w:trPr>
        <w:tc>
          <w:tcPr>
            <w:tcW w:w="400" w:type="dxa"/>
            <w:vAlign w:val="bottom"/>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0" w:type="dxa"/>
            <w:vAlign w:val="bottom"/>
          </w:tcPr>
          <w:p>
            <w:pPr>
              <w:spacing w:after="0"/>
              <w:rPr>
                <w:sz w:val="1"/>
                <w:szCs w:val="1"/>
                <w:color w:val="auto"/>
              </w:rPr>
            </w:pPr>
          </w:p>
        </w:tc>
      </w:tr>
      <w:tr>
        <w:trPr>
          <w:trHeight w:val="160"/>
        </w:trPr>
        <w:tc>
          <w:tcPr>
            <w:tcW w:w="37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color w:val="auto"/>
              </w:rPr>
              <w:t>Bank Lines of Credit</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7.94 %</w:t>
            </w:r>
          </w:p>
        </w:tc>
        <w:tc>
          <w:tcPr>
            <w:tcW w:w="0" w:type="dxa"/>
            <w:vAlign w:val="bottom"/>
          </w:tcPr>
          <w:p>
            <w:pPr>
              <w:spacing w:after="0"/>
              <w:rPr>
                <w:sz w:val="1"/>
                <w:szCs w:val="1"/>
                <w:color w:val="auto"/>
              </w:rPr>
            </w:pPr>
          </w:p>
        </w:tc>
      </w:tr>
      <w:tr>
        <w:trPr>
          <w:trHeight w:val="180"/>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8.18 %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8.20 %</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10.04 %</w:t>
            </w:r>
          </w:p>
        </w:tc>
        <w:tc>
          <w:tcPr>
            <w:tcW w:w="0" w:type="dxa"/>
            <w:vAlign w:val="bottom"/>
          </w:tcPr>
          <w:p>
            <w:pPr>
              <w:spacing w:after="0"/>
              <w:rPr>
                <w:sz w:val="1"/>
                <w:szCs w:val="1"/>
                <w:color w:val="auto"/>
              </w:rPr>
            </w:pPr>
          </w:p>
        </w:tc>
      </w:tr>
      <w:tr>
        <w:trPr>
          <w:trHeight w:val="180"/>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FHLB Advances</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80"/>
        </w:trPr>
        <w:tc>
          <w:tcPr>
            <w:tcW w:w="3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issued by Parent Company</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0" w:type="dxa"/>
            <w:vAlign w:val="bottom"/>
          </w:tcPr>
          <w:p>
            <w:pPr>
              <w:spacing w:after="0"/>
              <w:rPr>
                <w:sz w:val="1"/>
                <w:szCs w:val="1"/>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5.50 %</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2028 Notes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80"/>
        </w:trPr>
        <w:tc>
          <w:tcPr>
            <w:tcW w:w="3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2029 Notes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37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2</w:t>
            </w: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246,841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243,446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7.86 %</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296,223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7.84 %</w:t>
            </w:r>
          </w:p>
        </w:tc>
        <w:tc>
          <w:tcPr>
            <w:tcW w:w="0" w:type="dxa"/>
            <w:vAlign w:val="bottom"/>
          </w:tcPr>
          <w:p>
            <w:pPr>
              <w:spacing w:after="0"/>
              <w:rPr>
                <w:sz w:val="1"/>
                <w:szCs w:val="1"/>
                <w:color w:val="auto"/>
              </w:rPr>
            </w:pPr>
          </w:p>
        </w:tc>
      </w:tr>
      <w:tr>
        <w:trPr>
          <w:trHeight w:val="17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3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896,809</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651,972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7.18 %</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878,235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7.04 %</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ind w:left="80" w:hanging="75"/>
        <w:spacing w:after="0" w:line="196" w:lineRule="auto"/>
        <w:tabs>
          <w:tab w:leader="none" w:pos="80" w:val="left"/>
        </w:tabs>
        <w:numPr>
          <w:ilvl w:val="0"/>
          <w:numId w:val="2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June 30, 2024 and December 31, 2023, the carrying amount of Newtek Bank’s FHLB borrowings includes a $0.1 million and $0.2 million purchase accounting adjustment, respectively.</w:t>
      </w:r>
    </w:p>
    <w:p>
      <w:pPr>
        <w:spacing w:after="0" w:line="2" w:lineRule="exact"/>
        <w:rPr>
          <w:rFonts w:ascii="Times New Roman" w:cs="Times New Roman" w:eastAsia="Times New Roman" w:hAnsi="Times New Roman"/>
          <w:sz w:val="18"/>
          <w:szCs w:val="18"/>
          <w:color w:val="auto"/>
          <w:vertAlign w:val="superscript"/>
        </w:rPr>
      </w:pPr>
    </w:p>
    <w:p>
      <w:pPr>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At June 30, 2024 and December 31, 2023, the net assets of the consolidated Trusts totaled $14.1 million and $14.8 million, respectively.</w:t>
      </w:r>
    </w:p>
    <w:p>
      <w:pPr>
        <w:spacing w:after="0" w:line="13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Outstanding borrowings that are presented net of deferred financing costs, which include the bank lines of credit, the 2024, 2025, 2026, 2028, and 2029 Notes, and the Notes payable - Securitization Trusts, consisted of the following:</w:t>
      </w:r>
    </w:p>
    <w:p>
      <w:pPr>
        <w:spacing w:after="0" w:line="56"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400" w:type="dxa"/>
            <w:vAlign w:val="bottom"/>
            <w:tcBorders>
              <w:bottom w:val="single" w:sz="8" w:color="CCEEFF"/>
            </w:tcBorders>
          </w:tcPr>
          <w:p>
            <w:pPr>
              <w:spacing w:after="0"/>
              <w:rPr>
                <w:sz w:val="13"/>
                <w:szCs w:val="13"/>
                <w:color w:val="auto"/>
              </w:rPr>
            </w:pPr>
          </w:p>
        </w:tc>
        <w:tc>
          <w:tcPr>
            <w:tcW w:w="3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38"/>
        </w:trPr>
        <w:tc>
          <w:tcPr>
            <w:tcW w:w="40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center"/>
              <w:ind w:right="49"/>
              <w:spacing w:after="0" w:line="138" w:lineRule="exact"/>
              <w:rPr>
                <w:sz w:val="20"/>
                <w:szCs w:val="20"/>
                <w:color w:val="auto"/>
              </w:rPr>
            </w:pPr>
            <w:r>
              <w:rPr>
                <w:rFonts w:ascii="Times New Roman" w:cs="Times New Roman" w:eastAsia="Times New Roman" w:hAnsi="Times New Roman"/>
                <w:sz w:val="14"/>
                <w:szCs w:val="14"/>
                <w:color w:val="auto"/>
                <w:w w:val="99"/>
              </w:rPr>
              <w:t>Net carrying</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80"/>
              <w:spacing w:after="0" w:line="138" w:lineRule="exact"/>
              <w:rPr>
                <w:sz w:val="20"/>
                <w:szCs w:val="20"/>
                <w:color w:val="auto"/>
              </w:rPr>
            </w:pPr>
            <w:r>
              <w:rPr>
                <w:rFonts w:ascii="Times New Roman" w:cs="Times New Roman" w:eastAsia="Times New Roman" w:hAnsi="Times New Roman"/>
                <w:sz w:val="14"/>
                <w:szCs w:val="14"/>
                <w:color w:val="auto"/>
              </w:rPr>
              <w:t>Unamortized deferred</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9"/>
              <w:spacing w:after="0" w:line="138" w:lineRule="exact"/>
              <w:rPr>
                <w:sz w:val="20"/>
                <w:szCs w:val="20"/>
                <w:color w:val="auto"/>
              </w:rPr>
            </w:pPr>
            <w:r>
              <w:rPr>
                <w:rFonts w:ascii="Times New Roman" w:cs="Times New Roman" w:eastAsia="Times New Roman" w:hAnsi="Times New Roman"/>
                <w:sz w:val="14"/>
                <w:szCs w:val="14"/>
                <w:color w:val="auto"/>
              </w:rPr>
              <w:t>Net carrying</w:t>
            </w:r>
          </w:p>
        </w:tc>
      </w:tr>
      <w:tr>
        <w:trPr>
          <w:trHeight w:val="191"/>
        </w:trPr>
        <w:tc>
          <w:tcPr>
            <w:tcW w:w="40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99"/>
              </w:rPr>
              <w:t>Principal balance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financing costs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20"/>
              <w:spacing w:after="0" w:line="191" w:lineRule="exact"/>
              <w:rPr>
                <w:sz w:val="20"/>
                <w:szCs w:val="20"/>
                <w:color w:val="auto"/>
              </w:rPr>
            </w:pPr>
            <w:r>
              <w:rPr>
                <w:rFonts w:ascii="Times New Roman" w:cs="Times New Roman" w:eastAsia="Times New Roman" w:hAnsi="Times New Roman"/>
                <w:sz w:val="14"/>
                <w:szCs w:val="14"/>
                <w:color w:val="auto"/>
                <w:w w:val="95"/>
              </w:rPr>
              <w:t>amount</w:t>
            </w:r>
            <w:r>
              <w:rPr>
                <w:rFonts w:ascii="Times New Roman" w:cs="Times New Roman" w:eastAsia="Times New Roman" w:hAnsi="Times New Roman"/>
                <w:sz w:val="18"/>
                <w:szCs w:val="18"/>
                <w:color w:val="auto"/>
                <w:w w:val="95"/>
                <w:vertAlign w:val="superscript"/>
              </w:rPr>
              <w:t>1</w:t>
            </w:r>
          </w:p>
        </w:tc>
        <w:tc>
          <w:tcPr>
            <w:tcW w:w="11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Principal balance</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financing costs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09"/>
              <w:spacing w:after="0" w:line="191" w:lineRule="exact"/>
              <w:rPr>
                <w:sz w:val="20"/>
                <w:szCs w:val="20"/>
                <w:color w:val="auto"/>
              </w:rPr>
            </w:pPr>
            <w:r>
              <w:rPr>
                <w:rFonts w:ascii="Times New Roman" w:cs="Times New Roman" w:eastAsia="Times New Roman" w:hAnsi="Times New Roman"/>
                <w:sz w:val="14"/>
                <w:szCs w:val="14"/>
                <w:color w:val="auto"/>
              </w:rPr>
              <w:t>amount</w:t>
            </w:r>
            <w:r>
              <w:rPr>
                <w:rFonts w:ascii="Times New Roman" w:cs="Times New Roman" w:eastAsia="Times New Roman" w:hAnsi="Times New Roman"/>
                <w:sz w:val="18"/>
                <w:szCs w:val="18"/>
                <w:color w:val="auto"/>
                <w:vertAlign w:val="superscript"/>
              </w:rPr>
              <w:t>1</w:t>
            </w:r>
          </w:p>
        </w:tc>
      </w:tr>
      <w:tr>
        <w:trPr>
          <w:trHeight w:val="180"/>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 Lines of Credit:</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34,887</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36,881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r>
      <w:tr>
        <w:trPr>
          <w:trHeight w:val="180"/>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2,600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16,300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w:t>
            </w:r>
          </w:p>
        </w:tc>
      </w:tr>
      <w:tr>
        <w:trPr>
          <w:trHeight w:val="180"/>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11,646</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6,900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r>
      <w:tr>
        <w:trPr>
          <w:trHeight w:val="180"/>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1,131</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375</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issued by Parent Company:</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38,250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38,250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38,124</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30,000</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30,000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115,000</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115,000</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113,564</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40,000</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40,000</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r>
      <w:tr>
        <w:trPr>
          <w:trHeight w:val="180"/>
        </w:trPr>
        <w:tc>
          <w:tcPr>
            <w:tcW w:w="3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2029 Notes</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71,875</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8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246,841</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296,223</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292,112</w:t>
            </w:r>
          </w:p>
        </w:tc>
      </w:tr>
    </w:tbl>
    <w:p>
      <w:pPr>
        <w:spacing w:after="0" w:line="97" w:lineRule="exact"/>
        <w:rPr>
          <w:sz w:val="20"/>
          <w:szCs w:val="20"/>
          <w:color w:val="auto"/>
        </w:rPr>
      </w:pPr>
    </w:p>
    <w:p>
      <w:pPr>
        <w:ind w:left="80" w:hanging="75"/>
        <w:spacing w:after="0"/>
        <w:tabs>
          <w:tab w:leader="none" w:pos="8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At June 30, 2024 and December 31, 2023, the carrying amount of the Company’s borrowings under the Capital One, Deutsche Bank, Webster, and One Florida lines of credit, and the Notes payable - Securitization Trusts, approximates fair value due to their variable interest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of the fixed rate 2029 Notes, 2028 Notes, 2026 Notes and 2024 Notes are based on the closing public share price on the date of measurement as included in the chart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tcBorders>
              <w:bottom w:val="single" w:sz="8" w:color="auto"/>
            </w:tcBorders>
          </w:tcPr>
          <w:p>
            <w:pPr>
              <w:spacing w:after="0"/>
              <w:rPr>
                <w:sz w:val="16"/>
                <w:szCs w:val="16"/>
                <w:color w:val="auto"/>
              </w:rPr>
            </w:pPr>
          </w:p>
        </w:tc>
      </w:tr>
      <w:tr>
        <w:trPr>
          <w:trHeight w:val="171"/>
        </w:trPr>
        <w:tc>
          <w:tcPr>
            <w:tcW w:w="3040" w:type="dxa"/>
            <w:vAlign w:val="bottom"/>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Closing Price</w:t>
            </w:r>
          </w:p>
        </w:tc>
        <w:tc>
          <w:tcPr>
            <w:tcW w:w="5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Fair Value</w:t>
            </w:r>
          </w:p>
        </w:tc>
        <w:tc>
          <w:tcPr>
            <w:tcW w:w="6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Closing Price</w:t>
            </w:r>
          </w:p>
        </w:tc>
        <w:tc>
          <w:tcPr>
            <w:tcW w:w="5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Fair Value</w:t>
            </w:r>
          </w:p>
        </w:tc>
      </w:tr>
      <w:tr>
        <w:trPr>
          <w:trHeight w:val="171"/>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Notes</w:t>
            </w:r>
          </w:p>
        </w:tc>
        <w:tc>
          <w:tcPr>
            <w:tcW w:w="1500" w:type="dxa"/>
            <w:vAlign w:val="bottom"/>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tcPr>
          <w:p>
            <w:pPr>
              <w:spacing w:after="0"/>
              <w:rPr>
                <w:sz w:val="14"/>
                <w:szCs w:val="14"/>
                <w:color w:val="auto"/>
              </w:rPr>
            </w:pPr>
          </w:p>
        </w:tc>
        <w:tc>
          <w:tcPr>
            <w:tcW w:w="138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71,789</w:t>
            </w:r>
          </w:p>
        </w:tc>
        <w:tc>
          <w:tcPr>
            <w:tcW w:w="80" w:type="dxa"/>
            <w:vAlign w:val="bottom"/>
          </w:tcPr>
          <w:p>
            <w:pPr>
              <w:spacing w:after="0"/>
              <w:rPr>
                <w:sz w:val="14"/>
                <w:szCs w:val="14"/>
                <w:color w:val="auto"/>
              </w:rPr>
            </w:pPr>
          </w:p>
        </w:tc>
        <w:tc>
          <w:tcPr>
            <w:tcW w:w="1420" w:type="dxa"/>
            <w:vAlign w:val="bottom"/>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 Notes</w:t>
            </w: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24.88</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39,808</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40,070</w:t>
            </w:r>
          </w:p>
        </w:tc>
      </w:tr>
      <w:tr>
        <w:trPr>
          <w:trHeight w:val="18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500" w:type="dxa"/>
            <w:vAlign w:val="bottom"/>
          </w:tcPr>
          <w:p>
            <w:pPr>
              <w:spacing w:after="0"/>
              <w:rPr>
                <w:sz w:val="15"/>
                <w:szCs w:val="15"/>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24.24</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111,504</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109,250</w:t>
            </w:r>
          </w:p>
        </w:tc>
      </w:tr>
      <w:tr>
        <w:trPr>
          <w:trHeight w:val="18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Notes</w:t>
            </w: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25.20</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38,556</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38,235</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borrowings are not recorded at fair value on a recurring basis. The fixed rate 2025 Notes are held at par as of June 30, 2024 and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interest expense including unused line fees and amortization of deferred financing costs related to borrowings for the three and six months ended June 30, 2024 and 2023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34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3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4500" w:type="dxa"/>
            <w:vAlign w:val="bottom"/>
            <w:tcBorders>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66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$13,362</w:t>
            </w:r>
          </w:p>
        </w:tc>
        <w:tc>
          <w:tcPr>
            <w:tcW w:w="1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$12,829</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$25,947</w:t>
            </w:r>
          </w:p>
        </w:tc>
        <w:tc>
          <w:tcPr>
            <w:tcW w:w="1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$25,486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12—DERIVATIVE INSTRUMENTS: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June 30, 2024 and December 31, 2023:</w:t>
      </w: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20" w:type="dxa"/>
            <w:vAlign w:val="bottom"/>
            <w:tcBorders>
              <w:bottom w:val="single" w:sz="8" w:color="auto"/>
            </w:tcBorders>
          </w:tcPr>
          <w:p>
            <w:pPr>
              <w:spacing w:after="0"/>
              <w:rPr>
                <w:sz w:val="13"/>
                <w:szCs w:val="13"/>
                <w:color w:val="auto"/>
              </w:rPr>
            </w:pPr>
          </w:p>
        </w:tc>
      </w:tr>
      <w:tr>
        <w:trPr>
          <w:trHeight w:val="150"/>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r>
      <w:tr>
        <w:trPr>
          <w:trHeight w:val="159"/>
        </w:trPr>
        <w:tc>
          <w:tcPr>
            <w:tcW w:w="2340" w:type="dxa"/>
            <w:vAlign w:val="bottom"/>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160" w:type="dxa"/>
            <w:vAlign w:val="bottom"/>
          </w:tcPr>
          <w:p>
            <w:pPr>
              <w:spacing w:after="0"/>
              <w:rPr>
                <w:sz w:val="13"/>
                <w:szCs w:val="13"/>
                <w:color w:val="auto"/>
              </w:rPr>
            </w:pPr>
          </w:p>
        </w:tc>
        <w:tc>
          <w:tcPr>
            <w:tcW w:w="90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13"/>
                <w:szCs w:val="13"/>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740" w:type="dxa"/>
            <w:vAlign w:val="bottom"/>
          </w:tcPr>
          <w:p>
            <w:pPr>
              <w:jc w:val="right"/>
              <w:ind w:right="196"/>
              <w:spacing w:after="0" w:line="159" w:lineRule="exact"/>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13"/>
                <w:szCs w:val="13"/>
                <w:color w:val="auto"/>
              </w:rPr>
            </w:pPr>
          </w:p>
        </w:tc>
        <w:tc>
          <w:tcPr>
            <w:tcW w:w="1460" w:type="dxa"/>
            <w:vAlign w:val="bottom"/>
            <w:gridSpan w:val="3"/>
          </w:tcPr>
          <w:p>
            <w:pPr>
              <w:jc w:val="center"/>
              <w:ind w:right="189"/>
              <w:spacing w:after="0"/>
              <w:rPr>
                <w:sz w:val="20"/>
                <w:szCs w:val="20"/>
                <w:color w:val="auto"/>
              </w:rPr>
            </w:pPr>
            <w:r>
              <w:rPr>
                <w:rFonts w:ascii="Times New Roman" w:cs="Times New Roman" w:eastAsia="Times New Roman" w:hAnsi="Times New Roman"/>
                <w:sz w:val="11"/>
                <w:szCs w:val="11"/>
                <w:b w:val="1"/>
                <w:bCs w:val="1"/>
                <w:color w:val="auto"/>
              </w:rPr>
              <w:t>Maturity (years)</w:t>
            </w:r>
          </w:p>
        </w:tc>
        <w:tc>
          <w:tcPr>
            <w:tcW w:w="880" w:type="dxa"/>
            <w:vAlign w:val="bottom"/>
            <w:gridSpan w:val="2"/>
          </w:tcPr>
          <w:p>
            <w:pPr>
              <w:ind w:left="100"/>
              <w:spacing w:after="0" w:line="159" w:lineRule="exact"/>
              <w:rPr>
                <w:sz w:val="20"/>
                <w:szCs w:val="20"/>
                <w:color w:val="auto"/>
              </w:rPr>
            </w:pPr>
            <w:r>
              <w:rPr>
                <w:rFonts w:ascii="Times New Roman" w:cs="Times New Roman" w:eastAsia="Times New Roman" w:hAnsi="Times New Roman"/>
                <w:sz w:val="11"/>
                <w:szCs w:val="11"/>
                <w:b w:val="1"/>
                <w:bCs w:val="1"/>
                <w:color w:val="auto"/>
              </w:rPr>
              <w:t>Notional</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3"/>
                <w:szCs w:val="13"/>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740" w:type="dxa"/>
            <w:vAlign w:val="bottom"/>
          </w:tcPr>
          <w:p>
            <w:pPr>
              <w:jc w:val="right"/>
              <w:ind w:right="196"/>
              <w:spacing w:after="0" w:line="159" w:lineRule="exact"/>
              <w:rPr>
                <w:sz w:val="20"/>
                <w:szCs w:val="20"/>
                <w:color w:val="auto"/>
              </w:rPr>
            </w:pPr>
            <w:r>
              <w:rPr>
                <w:rFonts w:ascii="Times New Roman" w:cs="Times New Roman" w:eastAsia="Times New Roman" w:hAnsi="Times New Roman"/>
                <w:sz w:val="11"/>
                <w:szCs w:val="11"/>
                <w:b w:val="1"/>
                <w:bCs w:val="1"/>
                <w:color w:val="auto"/>
              </w:rPr>
              <w:t>Liability</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(years)</w:t>
            </w:r>
          </w:p>
        </w:tc>
      </w:tr>
      <w:tr>
        <w:trPr>
          <w:trHeight w:val="171"/>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5-year Treasury Futures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0.25 years</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0.25 years</w:t>
            </w:r>
          </w:p>
        </w:tc>
      </w:tr>
    </w:tbl>
    <w:p>
      <w:pPr>
        <w:spacing w:after="0" w:line="26" w:lineRule="exact"/>
        <w:rPr>
          <w:sz w:val="20"/>
          <w:szCs w:val="20"/>
          <w:color w:val="auto"/>
        </w:rPr>
      </w:pPr>
    </w:p>
    <w:p>
      <w:pPr>
        <w:ind w:left="80" w:hanging="75"/>
        <w:spacing w:after="0"/>
        <w:tabs>
          <w:tab w:leader="none" w:pos="8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as a negative number when the position is sold short.</w:t>
      </w:r>
    </w:p>
    <w:p>
      <w:pPr>
        <w:ind w:left="80" w:hanging="75"/>
        <w:spacing w:after="0" w:line="196" w:lineRule="auto"/>
        <w:tabs>
          <w:tab w:leader="none" w:pos="80" w:val="left"/>
        </w:tabs>
        <w:numPr>
          <w:ilvl w:val="0"/>
          <w:numId w:val="2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Shown in Accounts payable, accrued expenses, and other liabilities in the accompanying Consolidated Statements of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indicates the net realized gains (losses) and unrealized appreciation (depreciation) on derivatives as included in Other noninterest income in the Consolidated Statements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for the three and six months ended June 30, 2024 and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Contract Type</w:t>
            </w:r>
          </w:p>
        </w:tc>
        <w:tc>
          <w:tcPr>
            <w:tcW w:w="260" w:type="dxa"/>
            <w:vAlign w:val="bottom"/>
          </w:tcPr>
          <w:p>
            <w:pPr>
              <w:spacing w:after="0"/>
              <w:rPr>
                <w:sz w:val="9"/>
                <w:szCs w:val="9"/>
                <w:color w:val="auto"/>
              </w:rPr>
            </w:pPr>
          </w:p>
        </w:tc>
        <w:tc>
          <w:tcPr>
            <w:tcW w:w="1220" w:type="dxa"/>
            <w:vAlign w:val="bottom"/>
            <w:gridSpan w:val="2"/>
          </w:tcPr>
          <w:p>
            <w:pPr>
              <w:ind w:left="18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9"/>
                <w:szCs w:val="9"/>
                <w:color w:val="auto"/>
              </w:rPr>
            </w:pPr>
          </w:p>
        </w:tc>
        <w:tc>
          <w:tcPr>
            <w:tcW w:w="800" w:type="dxa"/>
            <w:vAlign w:val="bottom"/>
          </w:tcPr>
          <w:p>
            <w:pPr>
              <w:jc w:val="center"/>
              <w:ind w:right="80"/>
              <w:spacing w:after="0" w:line="104"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2"/>
          </w:tcPr>
          <w:p>
            <w:pPr>
              <w:ind w:left="18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20" w:type="dxa"/>
            <w:vAlign w:val="bottom"/>
          </w:tcPr>
          <w:p>
            <w:pPr>
              <w:spacing w:after="0"/>
              <w:rPr>
                <w:sz w:val="9"/>
                <w:szCs w:val="9"/>
                <w:color w:val="auto"/>
              </w:rPr>
            </w:pPr>
          </w:p>
        </w:tc>
        <w:tc>
          <w:tcPr>
            <w:tcW w:w="800" w:type="dxa"/>
            <w:vAlign w:val="bottom"/>
          </w:tcPr>
          <w:p>
            <w:pPr>
              <w:ind w:left="140"/>
              <w:spacing w:after="0" w:line="104"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tcPr>
          <w:p>
            <w:pPr>
              <w:ind w:left="16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9"/>
                <w:szCs w:val="9"/>
                <w:color w:val="auto"/>
              </w:rPr>
            </w:pPr>
          </w:p>
        </w:tc>
        <w:tc>
          <w:tcPr>
            <w:tcW w:w="780" w:type="dxa"/>
            <w:vAlign w:val="bottom"/>
          </w:tcPr>
          <w:p>
            <w:pPr>
              <w:jc w:val="center"/>
              <w:ind w:right="60"/>
              <w:spacing w:after="0" w:line="104" w:lineRule="exact"/>
              <w:rPr>
                <w:sz w:val="20"/>
                <w:szCs w:val="20"/>
                <w:color w:val="auto"/>
              </w:rPr>
            </w:pPr>
            <w:r>
              <w:rPr>
                <w:rFonts w:ascii="Times New Roman" w:cs="Times New Roman" w:eastAsia="Times New Roman" w:hAnsi="Times New Roman"/>
                <w:sz w:val="11"/>
                <w:szCs w:val="11"/>
                <w:b w:val="1"/>
                <w:bCs w:val="1"/>
                <w:color w:val="auto"/>
              </w:rPr>
              <w:t>Realized</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9"/>
                <w:szCs w:val="9"/>
                <w:color w:val="auto"/>
              </w:rPr>
            </w:pPr>
          </w:p>
        </w:tc>
        <w:tc>
          <w:tcPr>
            <w:tcW w:w="780" w:type="dxa"/>
            <w:vAlign w:val="bottom"/>
          </w:tcPr>
          <w:p>
            <w:pPr>
              <w:jc w:val="center"/>
              <w:ind w:right="79"/>
              <w:spacing w:after="0" w:line="104" w:lineRule="exact"/>
              <w:rPr>
                <w:sz w:val="20"/>
                <w:szCs w:val="20"/>
                <w:color w:val="auto"/>
              </w:rPr>
            </w:pPr>
            <w:r>
              <w:rPr>
                <w:rFonts w:ascii="Times New Roman" w:cs="Times New Roman" w:eastAsia="Times New Roman" w:hAnsi="Times New Roman"/>
                <w:sz w:val="11"/>
                <w:szCs w:val="11"/>
                <w:b w:val="1"/>
                <w:bCs w:val="1"/>
                <w:color w:val="auto"/>
                <w:w w:val="99"/>
              </w:rPr>
              <w:t>Realized</w:t>
            </w:r>
          </w:p>
        </w:tc>
        <w:tc>
          <w:tcPr>
            <w:tcW w:w="0" w:type="dxa"/>
            <w:vAlign w:val="bottom"/>
          </w:tcPr>
          <w:p>
            <w:pPr>
              <w:spacing w:after="0"/>
              <w:rPr>
                <w:sz w:val="1"/>
                <w:szCs w:val="1"/>
                <w:color w:val="auto"/>
              </w:rPr>
            </w:pPr>
          </w:p>
        </w:tc>
      </w:tr>
      <w:tr>
        <w:trPr>
          <w:trHeight w:val="153"/>
        </w:trPr>
        <w:tc>
          <w:tcPr>
            <w:tcW w:w="1420" w:type="dxa"/>
            <w:vAlign w:val="bottom"/>
            <w:gridSpan w:val="2"/>
            <w:vMerge w:val="continue"/>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4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1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4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Appreciation/(Depreciation)</w:t>
            </w:r>
          </w:p>
        </w:tc>
        <w:tc>
          <w:tcPr>
            <w:tcW w:w="140" w:type="dxa"/>
            <w:vAlign w:val="bottom"/>
          </w:tcPr>
          <w:p>
            <w:pPr>
              <w:spacing w:after="0"/>
              <w:rPr>
                <w:sz w:val="13"/>
                <w:szCs w:val="13"/>
                <w:color w:val="auto"/>
              </w:rPr>
            </w:pPr>
          </w:p>
        </w:tc>
        <w:tc>
          <w:tcPr>
            <w:tcW w:w="780" w:type="dxa"/>
            <w:vAlign w:val="bottom"/>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rPr>
              <w:t>Gain/(Loss)</w:t>
            </w:r>
          </w:p>
        </w:tc>
        <w:tc>
          <w:tcPr>
            <w:tcW w:w="0" w:type="dxa"/>
            <w:vAlign w:val="bottom"/>
          </w:tcPr>
          <w:p>
            <w:pPr>
              <w:spacing w:after="0"/>
              <w:rPr>
                <w:sz w:val="1"/>
                <w:szCs w:val="1"/>
                <w:color w:val="auto"/>
              </w:rPr>
            </w:pPr>
          </w:p>
        </w:tc>
      </w:tr>
      <w:tr>
        <w:trPr>
          <w:trHeight w:val="133"/>
        </w:trPr>
        <w:tc>
          <w:tcPr>
            <w:tcW w:w="134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5-year Treasury</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679"/>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and Employment Commitments</w:t>
      </w:r>
    </w:p>
    <w:p>
      <w:pPr>
        <w:spacing w:after="0" w:line="18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2024, the Company entered into one-year employment agreements with its named executive officers.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the Company’s obligations and commitments, as of June 30, 2024 for future minimum cash payments required under operating lease and employment agreements: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Employment Agreements</w:t>
            </w:r>
            <w:r>
              <w:rPr>
                <w:rFonts w:ascii="Times New Roman" w:cs="Times New Roman" w:eastAsia="Times New Roman" w:hAnsi="Times New Roman"/>
                <w:sz w:val="7"/>
                <w:szCs w:val="7"/>
                <w:b w:val="1"/>
                <w:bCs w:val="1"/>
                <w:color w:val="auto"/>
              </w:rPr>
              <w:t>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00" w:type="dxa"/>
            <w:vAlign w:val="bottom"/>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18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r>
      <w:tr>
        <w:trPr>
          <w:trHeight w:val="18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6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top w:val="single" w:sz="8" w:color="auto"/>
              <w:bottom w:val="single" w:sz="8" w:color="auto"/>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auto"/>
            </w:tcBorders>
            <w:shd w:val="clear" w:color="auto" w:fill="CCEEFF"/>
          </w:tcPr>
          <w:p>
            <w:pPr>
              <w:jc w:val="right"/>
              <w:ind w:right="153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80" w:hanging="75"/>
        <w:spacing w:after="0"/>
        <w:tabs>
          <w:tab w:leader="none" w:pos="8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Employment agreements with certain of the Company’s named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spacing w:after="0" w:line="16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4"/>
          <w:szCs w:val="14"/>
          <w:color w:val="auto"/>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spacing w:after="0" w:line="16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continues to operate under, a permanent injunction with respect to certain of its business practices.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At June 30, 2024, the Company had $109.7 million of unfunded commitments, consisting of $15.0 million in connection with its SBA 7(a) loans, $83.5 million in connection with its SBA 504 loans, and $11.2 million relating to commercial and industrial loans. There were no unfunded commitments in connection with the Company’s ALP loans. The Company anticipates these commitments will be funded from the same sources it used to fund its other loan commitments.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On February 3, 2023, we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is convertible at the holder’s option into 47.54053782 shares of the Company’s Common Stock. The Company had not issued preferred stock prior to February 3,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 for Common Stock</w:t>
      </w:r>
    </w:p>
    <w:p>
      <w:pPr>
        <w:spacing w:after="0" w:line="20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4"/>
          <w:szCs w:val="14"/>
          <w:color w:val="auto"/>
        </w:rPr>
        <w:t>On February 3, 2023, pursuant to the Securities Purchase Agreement, the Company issued warrants to Patriot to purchase, in the aggregate, 47.54 thousand shares of Common Stock for $21.03468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Program</w:t>
      </w:r>
    </w:p>
    <w:p>
      <w:pPr>
        <w:spacing w:after="0" w:line="191"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2023 ATM Equity Distribution Agreement. The 2023 ATM Equity Distribution Agreement provides that the Company may offer and sell up to 3.0 million shares of Common Stock from time to time through the placement agents (the “ATM Program”). The Company may, subject to market conditions, engage in activity under the ATM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sold and net proceeds received under the 2023 ATM Equity Distribution Agreement:</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160" w:type="dxa"/>
            <w:vAlign w:val="bottom"/>
          </w:tcPr>
          <w:p>
            <w:pPr>
              <w:spacing w:after="0"/>
              <w:rPr>
                <w:sz w:val="13"/>
                <w:szCs w:val="13"/>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r>
      <w:tr>
        <w:trPr>
          <w:trHeight w:val="180"/>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sold</w:t>
            </w:r>
          </w:p>
        </w:tc>
        <w:tc>
          <w:tcPr>
            <w:tcW w:w="14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Placement agent fees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r>
    </w:tbl>
    <w:p>
      <w:pPr>
        <w:spacing w:after="0" w:line="247"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4"/>
          <w:szCs w:val="14"/>
          <w:color w:val="auto"/>
        </w:rPr>
        <w:t>We used the net proceeds for funding investments in accordance with our investment objective and strategies and for general corporate purposes including funding investments, repaying outstanding indebtedness and other general corporate purposes.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Distributions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On February 3, 2023, the Company issued 20 thousand shares of the Company’s Series A Convertible Preferred Stock, par value $0.02 per share, in a private placement transaction. The aggregate purchase price was $20.0 million. Each share of Series A Preferred Stock was issued at a price of $1.0 thousand per share and is convertible at the holder’s option into 47.54 shares of the Company’s Common Stock. The following table summarizes the Company’s preferred share dividend declarations and distributions during the six months ended June 30, 2024 and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8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18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Cash Distribution</w:t>
            </w:r>
          </w:p>
        </w:tc>
      </w:tr>
      <w:tr>
        <w:trPr>
          <w:trHeight w:val="139"/>
        </w:trPr>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540" w:type="dxa"/>
            <w:vAlign w:val="bottom"/>
            <w:tcBorders>
              <w:top w:val="single" w:sz="8" w:color="auto"/>
              <w:bottom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20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12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March 19, 2024</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28, 2024</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 2024</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27, 2024</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28, 2024</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1, 2024</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12"/>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Six months ended June 30, 2023</w:t>
            </w:r>
          </w:p>
        </w:tc>
        <w:tc>
          <w:tcPr>
            <w:tcW w:w="2140" w:type="dxa"/>
            <w:vAlign w:val="bottom"/>
            <w:tcBorders>
              <w:bottom w:val="single" w:sz="8" w:color="CCEEFF"/>
            </w:tcBorders>
            <w:gridSpan w:val="2"/>
            <w:shd w:val="clear" w:color="auto" w:fill="CCEEFF"/>
          </w:tcPr>
          <w:p>
            <w:pPr>
              <w:spacing w:after="0"/>
              <w:rPr>
                <w:sz w:val="12"/>
                <w:szCs w:val="12"/>
                <w:color w:val="auto"/>
              </w:rPr>
            </w:pPr>
          </w:p>
        </w:tc>
        <w:tc>
          <w:tcPr>
            <w:tcW w:w="2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April 13, 2023</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20, 2023</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14, 2023</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180"/>
        </w:trPr>
        <w:tc>
          <w:tcPr>
            <w:tcW w:w="20" w:type="dxa"/>
            <w:vAlign w:val="bottom"/>
            <w:shd w:val="clear" w:color="auto" w:fill="CCEEFF"/>
          </w:tcPr>
          <w:p>
            <w:pPr>
              <w:spacing w:after="0"/>
              <w:rPr>
                <w:sz w:val="15"/>
                <w:szCs w:val="15"/>
                <w:color w:val="auto"/>
              </w:rPr>
            </w:pPr>
          </w:p>
        </w:tc>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27, 2023</w:t>
            </w: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June 27, 2023</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1, 2023</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bl>
    <w:p>
      <w:pPr>
        <w:spacing w:after="0" w:line="25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Company’s dividends and distributions on the Company’s common shares are recorded on the declaration date. Effective December 8, 2023, the Company terminated the DRIP. The following table summarizes the Company’s dividend declarations and distributions, including DRIP shares and dividend shares issued on vested restricted stock awards, during the six months ended June 30, 2024 and 2023:</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w w:val="99"/>
              </w:rPr>
              <w:t>DRIP Shares Issued</w:t>
            </w:r>
          </w:p>
        </w:tc>
        <w:tc>
          <w:tcPr>
            <w:tcW w:w="440" w:type="dxa"/>
            <w:vAlign w:val="bottom"/>
          </w:tcPr>
          <w:p>
            <w:pPr>
              <w:spacing w:after="0"/>
              <w:rPr>
                <w:sz w:val="11"/>
                <w:szCs w:val="11"/>
                <w:color w:val="auto"/>
              </w:rPr>
            </w:pPr>
          </w:p>
        </w:tc>
        <w:tc>
          <w:tcPr>
            <w:tcW w:w="1580" w:type="dxa"/>
            <w:vAlign w:val="bottom"/>
            <w:gridSpan w:val="3"/>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Dividend Shares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on Unvested RSAs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Date Declared</w:t>
            </w:r>
          </w:p>
        </w:tc>
        <w:tc>
          <w:tcPr>
            <w:tcW w:w="1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Record Date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Payment Date</w:t>
            </w:r>
          </w:p>
        </w:tc>
        <w:tc>
          <w:tcPr>
            <w:tcW w:w="10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 Per Share</w:t>
            </w: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Distribution</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spacing w:after="0"/>
              <w:rPr>
                <w:sz w:val="14"/>
                <w:szCs w:val="14"/>
                <w:color w:val="auto"/>
              </w:rPr>
            </w:pPr>
          </w:p>
        </w:tc>
        <w:tc>
          <w:tcPr>
            <w:tcW w:w="560" w:type="dxa"/>
            <w:vAlign w:val="bottom"/>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4"/>
                <w:szCs w:val="14"/>
                <w:color w:val="auto"/>
              </w:rPr>
            </w:pPr>
          </w:p>
        </w:tc>
        <w:tc>
          <w:tcPr>
            <w:tcW w:w="66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9"/>
        </w:trPr>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540" w:type="dxa"/>
            <w:vAlign w:val="bottom"/>
            <w:tcBorders>
              <w:top w:val="single" w:sz="8" w:color="auto"/>
              <w:bottom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94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19, 2024</w:t>
            </w: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 2024</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15, 2024</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27, 2024</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9, 2024</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19, 2024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Six months ended June 30, 2023</w:t>
            </w: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27, 2023</w:t>
            </w: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4, 2023</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April 14, 2023</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660" w:type="dxa"/>
            <w:vAlign w:val="bottom"/>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72</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27, 2023</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10, 2023</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21, 2023</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73</w:t>
            </w:r>
          </w:p>
        </w:tc>
        <w:tc>
          <w:tcPr>
            <w:tcW w:w="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15—EARNINGS PER SHARE:</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1"/>
        </w:trPr>
        <w:tc>
          <w:tcPr>
            <w:tcW w:w="54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9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19,795</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24,912</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basic shares outstanding</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24,599</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420" w:type="dxa"/>
            <w:vAlign w:val="bottom"/>
          </w:tcPr>
          <w:p>
            <w:pPr>
              <w:ind w:left="180"/>
              <w:spacing w:after="0" w:line="143" w:lineRule="exact"/>
              <w:rPr>
                <w:sz w:val="20"/>
                <w:szCs w:val="20"/>
                <w:color w:val="auto"/>
              </w:rPr>
            </w:pPr>
            <w:r>
              <w:rPr>
                <w:rFonts w:ascii="Times New Roman" w:cs="Times New Roman" w:eastAsia="Times New Roman" w:hAnsi="Times New Roman"/>
                <w:sz w:val="14"/>
                <w:szCs w:val="14"/>
                <w:color w:val="auto"/>
              </w:rPr>
              <w:t>Basic earnings per share</w:t>
            </w:r>
          </w:p>
        </w:tc>
        <w:tc>
          <w:tcPr>
            <w:tcW w:w="960" w:type="dxa"/>
            <w:vAlign w:val="bottom"/>
            <w:tcBorders>
              <w:bottom w:val="single" w:sz="8" w:color="auto"/>
            </w:tcBorders>
          </w:tcPr>
          <w:p>
            <w:pPr>
              <w:jc w:val="right"/>
              <w:ind w:right="7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7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0.81</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1.03</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54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80"/>
        </w:trPr>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for diluted earnings per share</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19,795</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24,912</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weighted-average basic shares outstanding</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24,599</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24,244</w:t>
            </w:r>
          </w:p>
        </w:tc>
      </w:tr>
      <w:tr>
        <w:trPr>
          <w:trHeight w:val="180"/>
        </w:trPr>
        <w:tc>
          <w:tcPr>
            <w:tcW w:w="542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Add effect of dilutive warrants and restricted stock awards</w:t>
            </w:r>
            <w:r>
              <w:rPr>
                <w:rFonts w:ascii="Times New Roman" w:cs="Times New Roman" w:eastAsia="Times New Roman" w:hAnsi="Times New Roman"/>
                <w:sz w:val="18"/>
                <w:szCs w:val="18"/>
                <w:color w:val="auto"/>
                <w:vertAlign w:val="superscript"/>
              </w:rPr>
              <w:t>2</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weighted-average diluted shares outstanding</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24,706</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24,298</w:t>
            </w:r>
          </w:p>
        </w:tc>
      </w:tr>
      <w:tr>
        <w:trPr>
          <w:trHeight w:val="171"/>
        </w:trPr>
        <w:tc>
          <w:tcPr>
            <w:tcW w:w="5420" w:type="dxa"/>
            <w:vAlign w:val="bottom"/>
          </w:tcPr>
          <w:p>
            <w:pPr>
              <w:ind w:left="180"/>
              <w:spacing w:after="0" w:line="171" w:lineRule="exact"/>
              <w:rPr>
                <w:sz w:val="20"/>
                <w:szCs w:val="20"/>
                <w:color w:val="auto"/>
              </w:rPr>
            </w:pPr>
            <w:r>
              <w:rPr>
                <w:rFonts w:ascii="Times New Roman" w:cs="Times New Roman" w:eastAsia="Times New Roman" w:hAnsi="Times New Roman"/>
                <w:sz w:val="14"/>
                <w:szCs w:val="14"/>
                <w:color w:val="auto"/>
              </w:rPr>
              <w:t>Diluted earnings per share</w:t>
            </w:r>
            <w:r>
              <w:rPr>
                <w:rFonts w:ascii="Times New Roman" w:cs="Times New Roman" w:eastAsia="Times New Roman" w:hAnsi="Times New Roman"/>
                <w:sz w:val="18"/>
                <w:szCs w:val="18"/>
                <w:color w:val="auto"/>
                <w:vertAlign w:val="superscript"/>
              </w:rPr>
              <w:t>1</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Anti-dilutive warrants and restricted stock awards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40" w:right="120" w:hanging="135"/>
        <w:spacing w:after="0" w:line="230" w:lineRule="auto"/>
        <w:tabs>
          <w:tab w:leader="none" w:pos="94"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three and six months ended June 30, 2024 and 2023, the convertible preferred stock and the Warrants were not included in the diluted share count because the results would have been anti-dilutive under the if-converted method.</w:t>
      </w:r>
    </w:p>
    <w:p>
      <w:pPr>
        <w:ind w:left="80" w:hanging="75"/>
        <w:spacing w:after="0" w:line="198" w:lineRule="auto"/>
        <w:tabs>
          <w:tab w:leader="none" w:pos="8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Incremental diluted shares from restricted stock awards under the treasury stock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18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spacing w:after="0" w:line="13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Compensation, Corporate Governance and Nominating Committee of the Board approves the issuance of awards of restricted stock to employees and directors pursuant to the 2023 Stock Incentive Plan, which was approved by the Board in April 2023 and the Company’s shareholders on June 14, 2023. No new awards may be granted under the 2015 Stock Incentive Plan, which was terminated by the Board in April 2023. The following table summarizes the restricted stock issuances under the 2015 and 2023 Stock Incentive Plans, net of shares forfeited, if any: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50" w:name="page51"/>
    <w:bookmarkEnd w:id="50"/>
    <w:tbl>
      <w:tblPr>
        <w:tblLayout w:type="fixed"/>
        <w:tblInd w:w="80" w:type="dxa"/>
        <w:tblCellMar>
          <w:top w:w="0" w:type="dxa"/>
          <w:left w:w="0" w:type="dxa"/>
          <w:bottom w:w="0" w:type="dxa"/>
          <w:right w:w="0" w:type="dxa"/>
        </w:tblCellMar>
      </w:tblPr>
      <w:tr>
        <w:trPr>
          <w:trHeight w:val="207"/>
        </w:trPr>
        <w:tc>
          <w:tcPr>
            <w:tcW w:w="70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2023 Plan</w:t>
            </w:r>
            <w:r>
              <w:rPr>
                <w:rFonts w:ascii="Times New Roman" w:cs="Times New Roman" w:eastAsia="Times New Roman" w:hAnsi="Times New Roman"/>
                <w:sz w:val="18"/>
                <w:szCs w:val="18"/>
                <w:b w:val="1"/>
                <w:bCs w:val="1"/>
                <w:color w:val="auto"/>
                <w:vertAlign w:val="superscript"/>
              </w:rPr>
              <w:t>2</w:t>
            </w:r>
          </w:p>
        </w:tc>
        <w:tc>
          <w:tcPr>
            <w:tcW w:w="2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b w:val="1"/>
                <w:bCs w:val="1"/>
                <w:color w:val="auto"/>
              </w:rPr>
              <w:t>2015 Plan</w:t>
            </w:r>
          </w:p>
        </w:tc>
      </w:tr>
      <w:tr>
        <w:trPr>
          <w:trHeight w:val="171"/>
        </w:trPr>
        <w:tc>
          <w:tcPr>
            <w:tcW w:w="7000" w:type="dxa"/>
            <w:vAlign w:val="bottom"/>
          </w:tcPr>
          <w:p>
            <w:pPr>
              <w:spacing w:after="0" w:line="171" w:lineRule="exact"/>
              <w:rPr>
                <w:sz w:val="20"/>
                <w:szCs w:val="20"/>
                <w:color w:val="auto"/>
              </w:rPr>
            </w:pPr>
            <w:r>
              <w:rPr>
                <w:rFonts w:ascii="Times New Roman" w:cs="Times New Roman" w:eastAsia="Times New Roman" w:hAnsi="Times New Roman"/>
                <w:sz w:val="14"/>
                <w:szCs w:val="14"/>
                <w:color w:val="auto"/>
              </w:rPr>
              <w:t>Restricted Stock authorized under the plan</w:t>
            </w:r>
            <w:r>
              <w:rPr>
                <w:rFonts w:ascii="Times New Roman" w:cs="Times New Roman" w:eastAsia="Times New Roman" w:hAnsi="Times New Roman"/>
                <w:sz w:val="18"/>
                <w:szCs w:val="18"/>
                <w:color w:val="auto"/>
                <w:vertAlign w:val="superscript"/>
              </w:rPr>
              <w:t>1</w:t>
            </w:r>
          </w:p>
        </w:tc>
        <w:tc>
          <w:tcPr>
            <w:tcW w:w="2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3.0 million</w:t>
            </w:r>
          </w:p>
        </w:tc>
        <w:tc>
          <w:tcPr>
            <w:tcW w:w="100" w:type="dxa"/>
            <w:vAlign w:val="bottom"/>
          </w:tcPr>
          <w:p>
            <w:pPr>
              <w:spacing w:after="0"/>
              <w:rPr>
                <w:sz w:val="14"/>
                <w:szCs w:val="14"/>
                <w:color w:val="auto"/>
              </w:rPr>
            </w:pPr>
          </w:p>
        </w:tc>
        <w:tc>
          <w:tcPr>
            <w:tcW w:w="20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1.5 million</w:t>
            </w:r>
          </w:p>
        </w:tc>
      </w:tr>
      <w:tr>
        <w:trPr>
          <w:trHeight w:val="18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restricted stock (granted)/forfeited during:</w:t>
            </w: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2020 and prior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2021</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(215)</w:t>
            </w:r>
          </w:p>
        </w:tc>
      </w:tr>
      <w:tr>
        <w:trPr>
          <w:trHeight w:val="180"/>
        </w:trPr>
        <w:tc>
          <w:tcPr>
            <w:tcW w:w="7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(251)</w:t>
            </w:r>
          </w:p>
        </w:tc>
      </w:tr>
      <w:tr>
        <w:trPr>
          <w:trHeight w:val="180"/>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(82)</w:t>
            </w: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r>
      <w:tr>
        <w:trPr>
          <w:trHeight w:val="180"/>
        </w:trPr>
        <w:tc>
          <w:tcPr>
            <w:tcW w:w="7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(77)</w:t>
            </w:r>
          </w:p>
        </w:tc>
        <w:tc>
          <w:tcPr>
            <w:tcW w:w="100" w:type="dxa"/>
            <w:vAlign w:val="bottom"/>
            <w:tcBorders>
              <w:bottom w:val="single" w:sz="8" w:color="CCEEFF"/>
            </w:tcBorders>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9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restricted stock (granted)/forfeited</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29" w:lineRule="exact"/>
        <w:rPr>
          <w:sz w:val="20"/>
          <w:szCs w:val="20"/>
          <w:color w:val="auto"/>
        </w:rPr>
      </w:pPr>
    </w:p>
    <w:p>
      <w:pPr>
        <w:ind w:left="80" w:hanging="75"/>
        <w:spacing w:after="0"/>
        <w:tabs>
          <w:tab w:leader="none" w:pos="8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 stock options were granted under the 2015 or 2023 Stock Incentive Plans.</w:t>
      </w:r>
    </w:p>
    <w:p>
      <w:pPr>
        <w:ind w:left="80" w:hanging="75"/>
        <w:spacing w:after="0" w:line="205" w:lineRule="auto"/>
        <w:tabs>
          <w:tab w:leader="none" w:pos="80"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2023 Stock Incentive Plan provides for an initial share reserve of up to 3.0 million shares of Common Stock.</w:t>
      </w:r>
    </w:p>
    <w:p>
      <w:pPr>
        <w:spacing w:after="0" w:line="17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Awards of restricted stock granted under the 2015 and 2023 Stock Incentive Plans generally vest over a one- to three-year period from the grant date; awards of restricted stock granted under the 2023 Stock Incentive Plan to non-employee directors generally vest over a one-year period. The grant date fair value is expensed over the service period, starting on the grant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Details of the Company’s outstanding shares related to restricted stock awards as of June 30, 2024 and December 31, 2023 are outlined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8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outstanding related to grants of restricted stock awards</w:t>
            </w: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4"/>
                <w:szCs w:val="14"/>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345</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awards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$17.37</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$19.18</w:t>
            </w:r>
          </w:p>
        </w:tc>
      </w:tr>
      <w:tr>
        <w:trPr>
          <w:trHeight w:val="184"/>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shares outstanding related to dividends on awards</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June 30, 2024 and December 31, 2023, the Company’s total unrecognized compensation expense related to unvested shares of restricted stock granted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4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compensation expense on unvested awards</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$3,217</w:t>
            </w:r>
          </w:p>
        </w:tc>
        <w:tc>
          <w:tcPr>
            <w:tcW w:w="8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$3,610</w:t>
            </w:r>
          </w:p>
        </w:tc>
      </w:tr>
      <w:tr>
        <w:trPr>
          <w:trHeight w:val="18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period of unrecognized compensation expense</w:t>
            </w:r>
          </w:p>
        </w:tc>
        <w:tc>
          <w:tcPr>
            <w:tcW w:w="2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1.6 years</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 years</w:t>
            </w:r>
          </w:p>
        </w:tc>
      </w:tr>
      <w:tr>
        <w:trPr>
          <w:trHeight w:val="413"/>
        </w:trPr>
        <w:tc>
          <w:tcPr>
            <w:tcW w:w="7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 (ESPP)</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7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of Directors,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ESPP activity from inception through June 30,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Period Ended June 30, 2024</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840" w:type="dxa"/>
            <w:vAlign w:val="bottom"/>
            <w:tcBorders>
              <w:bottom w:val="single" w:sz="8" w:color="auto"/>
            </w:tcBorders>
          </w:tcPr>
          <w:p>
            <w:pPr>
              <w:spacing w:after="0"/>
              <w:rPr>
                <w:sz w:val="16"/>
                <w:szCs w:val="16"/>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2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Offering Period 2</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Offering Period 1</w:t>
            </w:r>
          </w:p>
        </w:tc>
        <w:tc>
          <w:tcPr>
            <w:tcW w:w="840" w:type="dxa"/>
            <w:vAlign w:val="bottom"/>
            <w:tcBorders>
              <w:bottom w:val="single" w:sz="8" w:color="auto"/>
            </w:tcBorders>
          </w:tcPr>
          <w:p>
            <w:pPr>
              <w:spacing w:after="0"/>
              <w:rPr>
                <w:sz w:val="14"/>
                <w:szCs w:val="14"/>
                <w:color w:val="auto"/>
              </w:rPr>
            </w:pPr>
          </w:p>
        </w:tc>
      </w:tr>
      <w:tr>
        <w:trPr>
          <w:trHeight w:val="17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Commencement date</w:t>
            </w:r>
          </w:p>
        </w:tc>
        <w:tc>
          <w:tcPr>
            <w:tcW w:w="24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10/1/2023</w:t>
            </w: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date</w:t>
            </w:r>
          </w:p>
        </w:tc>
        <w:tc>
          <w:tcPr>
            <w:tcW w:w="24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6/15/2024</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12/15/2023</w:t>
            </w:r>
          </w:p>
        </w:tc>
      </w:tr>
      <w:tr>
        <w:trPr>
          <w:trHeight w:val="18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purchased</w:t>
            </w:r>
          </w:p>
        </w:tc>
        <w:tc>
          <w:tcPr>
            <w:tcW w:w="24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 price</w:t>
            </w:r>
          </w:p>
        </w:tc>
        <w:tc>
          <w:tcPr>
            <w:tcW w:w="2480" w:type="dxa"/>
            <w:vAlign w:val="bottom"/>
          </w:tcPr>
          <w:p>
            <w:pPr>
              <w:jc w:val="right"/>
              <w:ind w:right="23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r>
      <w:tr>
        <w:trPr>
          <w:trHeight w:val="18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purchased, net of discount</w:t>
            </w:r>
          </w:p>
        </w:tc>
        <w:tc>
          <w:tcPr>
            <w:tcW w:w="2480" w:type="dxa"/>
            <w:vAlign w:val="bottom"/>
            <w:shd w:val="clear" w:color="auto" w:fill="CCEEFF"/>
          </w:tcPr>
          <w:p>
            <w:pPr>
              <w:jc w:val="right"/>
              <w:ind w:right="23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870"/>
        </w:trPr>
        <w:tc>
          <w:tcPr>
            <w:tcW w:w="4940" w:type="dxa"/>
            <w:vAlign w:val="bottom"/>
          </w:tcPr>
          <w:p>
            <w:pPr>
              <w:spacing w:after="0"/>
              <w:rPr>
                <w:sz w:val="24"/>
                <w:szCs w:val="24"/>
                <w:color w:val="auto"/>
              </w:rPr>
            </w:pPr>
          </w:p>
        </w:tc>
        <w:tc>
          <w:tcPr>
            <w:tcW w:w="2480" w:type="dxa"/>
            <w:vAlign w:val="bottom"/>
          </w:tcPr>
          <w:p>
            <w:pPr>
              <w:jc w:val="right"/>
              <w:ind w:right="1629"/>
              <w:spacing w:after="0"/>
              <w:rPr>
                <w:sz w:val="20"/>
                <w:szCs w:val="20"/>
                <w:color w:val="auto"/>
              </w:rPr>
            </w:pPr>
            <w:r>
              <w:rPr>
                <w:rFonts w:ascii="Times New Roman" w:cs="Times New Roman" w:eastAsia="Times New Roman" w:hAnsi="Times New Roman"/>
                <w:sz w:val="14"/>
                <w:szCs w:val="14"/>
                <w:color w:val="auto"/>
              </w:rPr>
              <w:t>51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7"/>
        </w:trPr>
        <w:tc>
          <w:tcPr>
            <w:tcW w:w="494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For the period ended June 30, 2024, the ESPP share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121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Available for future purchases, January 1,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Available for future purchases, June 30, 2024</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196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34925</wp:posOffset>
            </wp:positionV>
            <wp:extent cx="14217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9240" w:space="720"/>
            <w:col w:w="1320"/>
          </w:cols>
          <w:pgMar w:left="300" w:top="729" w:right="319" w:bottom="1440" w:gutter="0" w:footer="0" w:header="0"/>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total stock-based compensation expense included within Salaries and employee benefits expense in the Consolidated Statements of Income for the three and six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30, 2024 and 2023 is summarized below:</w:t>
      </w:r>
    </w:p>
    <w:p>
      <w:pPr>
        <w:sectPr>
          <w:pgSz w:w="11900" w:h="16838" w:orient="portrait"/>
          <w:cols w:equalWidth="0" w:num="1">
            <w:col w:w="11280"/>
          </w:cols>
          <w:pgMar w:left="300" w:top="729" w:right="319" w:bottom="1440" w:gutter="0" w:footer="0" w:header="0"/>
          <w:type w:val="continuous"/>
        </w:sectPr>
      </w:pPr>
    </w:p>
    <w:p>
      <w:pPr>
        <w:spacing w:after="0" w:line="215"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15875</wp:posOffset>
            </wp:positionV>
            <wp:extent cx="145542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spacing w:after="0" w:line="10" w:lineRule="exact"/>
        <w:rPr>
          <w:sz w:val="20"/>
          <w:szCs w:val="20"/>
          <w:color w:val="auto"/>
        </w:rPr>
      </w:pPr>
    </w:p>
    <w:p>
      <w:pPr>
        <w:ind w:left="7020"/>
        <w:spacing w:after="0"/>
        <w:tabs>
          <w:tab w:leader="none" w:pos="8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15875</wp:posOffset>
            </wp:positionV>
            <wp:extent cx="145542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spacing w:after="0" w:line="10" w:lineRule="exact"/>
        <w:rPr>
          <w:sz w:val="20"/>
          <w:szCs w:val="20"/>
          <w:color w:val="auto"/>
        </w:rPr>
      </w:pPr>
    </w:p>
    <w:p>
      <w:pPr>
        <w:ind w:left="80"/>
        <w:spacing w:after="0"/>
        <w:tabs>
          <w:tab w:leader="none" w:pos="12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5" w:lineRule="exact"/>
        <w:rPr>
          <w:sz w:val="20"/>
          <w:szCs w:val="20"/>
          <w:color w:val="auto"/>
        </w:rPr>
      </w:pPr>
    </w:p>
    <w:p>
      <w:pPr>
        <w:sectPr>
          <w:pgSz w:w="11900" w:h="16838" w:orient="portrait"/>
          <w:cols w:equalWidth="0" w:num="2">
            <w:col w:w="8660" w:space="660"/>
            <w:col w:w="1960"/>
          </w:cols>
          <w:pgMar w:left="300" w:top="729"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awards</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r>
      <w:tr>
        <w:trPr>
          <w:trHeight w:val="18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17—INCOME TAXES:</w:t>
      </w:r>
    </w:p>
    <w:p>
      <w:pPr>
        <w:spacing w:after="0" w:line="20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The Company elected to be treated as a RIC under the Code beginning with the 2015 tax year and, through the year ended December 31, 2022, operated in a manner so as to continue to qualify for the tax treatment applicable to RICs. The Company filed its final RIC tax return for the year ended December 31, 2022. Beginning with 2023, the Company no longer qualifies as a RIC and instead will file a consolidated U.S. federal income tax return. Financial holding companies are subject to federal and state income taxes in essentially the same manner as other corporations.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of the Company’s former consolidated holding companies is undergoing a NYS tax audit for the fiscal years ended December 31, 2020 and December 31,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Tax Rate and Net Operating Losses</w:t>
      </w:r>
    </w:p>
    <w:p>
      <w:pPr>
        <w:spacing w:after="0" w:line="202"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4"/>
          <w:szCs w:val="14"/>
          <w:color w:val="auto"/>
        </w:rPr>
        <w:t>The effective tax rate was 26.15% for the six months ended June 30, 2024. The effective tax rate differs from the federal tax rate of 21% for the six months ended June 30, 2024 due primarily to the addition of estimated state tax.</w:t>
      </w:r>
    </w:p>
    <w:p>
      <w:pPr>
        <w:spacing w:after="0" w:line="145"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At December 31, 2022, the Company had NOLs in the amount of $35.4 million. Of these NOLs, $4.6 million expire in 2029 through 2037, while the remaining $30.8 million have indefinite lives. The Company expects to apply all $35.4 million of the NOLs against 2023 taxable income and will have no remaining balance to apply against future taxable income. The Tax Cuts &amp; Jobs Act of 2017 limits the amount of NOLs utilized each year after December 31, 2020 to 80% of taxable income.</w:t>
      </w:r>
    </w:p>
    <w:p>
      <w:pPr>
        <w:spacing w:after="0" w:line="15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Company’s and its subsidiaries’ federal income tax returns are generally open to review by the tax authorities for the tax years ended in 2020 and beyond. However, the Company’s NOLs continue to be subject to review by tax authorities in the period utilized notwithstanding origination in closed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any material interest and penalties recorded in the income statement for the periods ended June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18—SEGMENTS:</w:t>
      </w:r>
    </w:p>
    <w:p>
      <w:pPr>
        <w:spacing w:after="0" w:line="19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The Company's management reporting process measures the performance of its operating segments based on internal operating structure, which is subject to change from time to time. Accordingly, the Company operates four reportable segments for management reporting purposes as discussed below:</w:t>
      </w:r>
    </w:p>
    <w:p>
      <w:pPr>
        <w:spacing w:after="0" w:line="13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4"/>
          <w:szCs w:val="14"/>
          <w:u w:val="single" w:color="auto"/>
          <w:color w:val="auto"/>
        </w:rPr>
        <w:t>Banking</w:t>
      </w:r>
      <w:r>
        <w:rPr>
          <w:rFonts w:ascii="Times New Roman" w:cs="Times New Roman" w:eastAsia="Times New Roman" w:hAnsi="Times New Roman"/>
          <w:sz w:val="14"/>
          <w:szCs w:val="14"/>
          <w:color w:val="auto"/>
        </w:rPr>
        <w:t xml:space="preserve"> - Newtek Bank originates, services and sells SBA 7(a) loans in a similar manner to NSBF’s historic business model (see Non-Bank Lending below) and originates and services SBA 504 loans, C&amp;I loans, CRE loans and ABL loans. In addition, Newtek Bank offers depository services.</w:t>
      </w:r>
    </w:p>
    <w:p>
      <w:pPr>
        <w:spacing w:after="0" w:line="146"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u w:val="single" w:color="auto"/>
          <w:color w:val="auto"/>
        </w:rPr>
        <w:t>NSBF</w:t>
      </w:r>
      <w:r>
        <w:rPr>
          <w:rFonts w:ascii="Times New Roman" w:cs="Times New Roman" w:eastAsia="Times New Roman" w:hAnsi="Times New Roman"/>
          <w:sz w:val="14"/>
          <w:szCs w:val="14"/>
          <w:color w:val="auto"/>
        </w:rPr>
        <w:t xml:space="preserve"> - relates to NSBF’s legacy portfolio of SBA 7(a) loans held outside Newtek Bank; no new loan origination activity takes place. A material portion of NSBF’s legacy portfolio of SBA 7(a) loans reside in securitization trusts.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 Includes NMS, POS and Mobil Money. NMS markets credit and debit card processing services, check approval services, processing equipment, and software and:</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Assist merchants with initial installation of equipment and on-going service, as well as any other special processing needs that they may have.</w:t>
      </w:r>
    </w:p>
    <w:p>
      <w:pPr>
        <w:ind w:left="260"/>
        <w:spacing w:after="0"/>
        <w:rPr>
          <w:sz w:val="20"/>
          <w:szCs w:val="20"/>
          <w:color w:val="auto"/>
        </w:rPr>
      </w:pPr>
      <w:r>
        <w:rPr>
          <w:rFonts w:ascii="Times New Roman" w:cs="Times New Roman" w:eastAsia="Times New Roman" w:hAnsi="Times New Roman"/>
          <w:sz w:val="14"/>
          <w:szCs w:val="14"/>
          <w:color w:val="auto"/>
        </w:rPr>
        <w:t>–   Handles payment processing for Mobil Money’s merchant portfolio of taxi cabs and related licensed payment processing software.</w:t>
      </w:r>
    </w:p>
    <w:p>
      <w:pPr>
        <w:spacing w:after="0" w:line="7" w:lineRule="exact"/>
        <w:rPr>
          <w:sz w:val="20"/>
          <w:szCs w:val="20"/>
          <w:color w:val="auto"/>
        </w:rPr>
      </w:pPr>
    </w:p>
    <w:p>
      <w:pPr>
        <w:ind w:left="520" w:right="120" w:hanging="255"/>
        <w:spacing w:after="0" w:line="243" w:lineRule="auto"/>
        <w:rPr>
          <w:sz w:val="20"/>
          <w:szCs w:val="20"/>
          <w:color w:val="auto"/>
        </w:rPr>
      </w:pPr>
      <w:r>
        <w:rPr>
          <w:rFonts w:ascii="Times New Roman" w:cs="Times New Roman" w:eastAsia="Times New Roman" w:hAnsi="Times New Roman"/>
          <w:sz w:val="14"/>
          <w:szCs w:val="14"/>
          <w:color w:val="auto"/>
        </w:rPr>
        <w:t>– 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spacing w:after="0" w:line="165" w:lineRule="exact"/>
        <w:rPr>
          <w:sz w:val="20"/>
          <w:szCs w:val="20"/>
          <w:color w:val="auto"/>
        </w:rPr>
      </w:pPr>
    </w:p>
    <w:p>
      <w:pPr>
        <w:jc w:val="both"/>
        <w:ind w:right="200"/>
        <w:spacing w:after="0" w:line="246" w:lineRule="auto"/>
        <w:rPr>
          <w:sz w:val="20"/>
          <w:szCs w:val="20"/>
          <w:color w:val="auto"/>
        </w:rPr>
      </w:pPr>
      <w:r>
        <w:rPr>
          <w:rFonts w:ascii="Times New Roman" w:cs="Times New Roman" w:eastAsia="Times New Roman" w:hAnsi="Times New Roman"/>
          <w:sz w:val="14"/>
          <w:szCs w:val="14"/>
          <w:u w:val="single" w:color="auto"/>
          <w:color w:val="auto"/>
        </w:rPr>
        <w:t>Technology</w:t>
      </w:r>
      <w:r>
        <w:rPr>
          <w:rFonts w:ascii="Times New Roman" w:cs="Times New Roman" w:eastAsia="Times New Roman" w:hAnsi="Times New Roman"/>
          <w:sz w:val="14"/>
          <w:szCs w:val="14"/>
          <w:color w:val="auto"/>
        </w:rPr>
        <w:t xml:space="preserve"> - NTS provides website hosting, web design and development, dedicated server hosting, cloud hosting, internet marketing, ecommerce, data storage, backup and disaster recovery, and other related services including consulting and implementing technology solutions for enterprise and commercial clients across the U.S. As a result of commitments made to the Federal Reserve in connection with the Acquisition, the Company will divest or otherwise terminate the activities conducted by NTS by January 6, 2025, subject to any extension.</w:t>
      </w:r>
    </w:p>
    <w:p>
      <w:pPr>
        <w:spacing w:after="0" w:line="163"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4"/>
          <w:szCs w:val="14"/>
          <w:u w:val="single" w:color="auto"/>
          <w:color w:val="auto"/>
        </w:rPr>
        <w:t>Corporate and Other</w:t>
      </w:r>
      <w:r>
        <w:rPr>
          <w:rFonts w:ascii="Times New Roman" w:cs="Times New Roman" w:eastAsia="Times New Roman" w:hAnsi="Times New Roman"/>
          <w:sz w:val="14"/>
          <w:szCs w:val="14"/>
          <w:color w:val="auto"/>
        </w:rPr>
        <w:t xml:space="preserve"> - The information provided under the caption “Corporate and Other” represents operations not considered to be reportable segments and/or general operating expenses of the Company, and includes the parent company, other non-bank subsidiaries including Newtek Insurance and Newtek Payroll, and elimination adjustments to reconcile the results of the operating segments to the condensed consolidated financial statements prepared in conformity with GAAP.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 financial information for the Company's segments: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six months ended June 30, 2024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Corporate and</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Banking</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Technology</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NSBF</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Eliminations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Consolidated</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30,064</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20,023</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7,506</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income/(loss)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17,032</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8,369</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60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color w:val="auto"/>
              </w:rPr>
              <w:t>Net interest income after provision for loan</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(6,630)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40,891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14,360</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8,909</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18,476</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(7,170)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(7,170)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600" w:type="dxa"/>
            <w:vAlign w:val="bottom"/>
            <w:vMerge w:val="continue"/>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840,749</w:t>
            </w:r>
          </w:p>
        </w:tc>
        <w:tc>
          <w:tcPr>
            <w:tcW w:w="8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21,848</w:t>
            </w:r>
          </w:p>
        </w:tc>
        <w:tc>
          <w:tcPr>
            <w:tcW w:w="80" w:type="dxa"/>
            <w:vAlign w:val="bottom"/>
          </w:tcPr>
          <w:p>
            <w:pPr>
              <w:spacing w:after="0"/>
              <w:rPr>
                <w:sz w:val="12"/>
                <w:szCs w:val="12"/>
                <w:color w:val="auto"/>
              </w:rPr>
            </w:pPr>
          </w:p>
        </w:tc>
        <w:tc>
          <w:tcPr>
            <w:tcW w:w="220" w:type="dxa"/>
            <w:vAlign w:val="bottom"/>
          </w:tcPr>
          <w:p>
            <w:pPr>
              <w:jc w:val="right"/>
              <w:ind w:right="6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567,783</w:t>
            </w:r>
          </w:p>
        </w:tc>
        <w:tc>
          <w:tcPr>
            <w:tcW w:w="80" w:type="dxa"/>
            <w:vAlign w:val="bottom"/>
          </w:tcPr>
          <w:p>
            <w:pPr>
              <w:spacing w:after="0"/>
              <w:rPr>
                <w:sz w:val="12"/>
                <w:szCs w:val="12"/>
                <w:color w:val="auto"/>
              </w:rPr>
            </w:pPr>
          </w:p>
        </w:tc>
        <w:tc>
          <w:tcPr>
            <w:tcW w:w="160" w:type="dxa"/>
            <w:vAlign w:val="bottom"/>
          </w:tcPr>
          <w:p>
            <w:pPr>
              <w:jc w:val="right"/>
              <w:ind w:right="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58,316</w:t>
            </w:r>
          </w:p>
        </w:tc>
        <w:tc>
          <w:tcPr>
            <w:tcW w:w="8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905,718</w:t>
            </w:r>
          </w:p>
        </w:tc>
        <w:tc>
          <w:tcPr>
            <w:tcW w:w="80" w:type="dxa"/>
            <w:vAlign w:val="bottom"/>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(777,410)</w:t>
            </w:r>
          </w:p>
        </w:tc>
        <w:tc>
          <w:tcPr>
            <w:tcW w:w="80" w:type="dxa"/>
            <w:vAlign w:val="bottom"/>
          </w:tcPr>
          <w:p>
            <w:pPr>
              <w:spacing w:after="0"/>
              <w:rPr>
                <w:sz w:val="12"/>
                <w:szCs w:val="12"/>
                <w:color w:val="auto"/>
              </w:rPr>
            </w:pPr>
          </w:p>
        </w:tc>
        <w:tc>
          <w:tcPr>
            <w:tcW w:w="180" w:type="dxa"/>
            <w:vAlign w:val="bottom"/>
          </w:tcPr>
          <w:p>
            <w:pPr>
              <w:jc w:val="right"/>
              <w:ind w:right="29"/>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1,617,004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6"/>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 June 30,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Corporate and</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91"/>
        </w:trPr>
        <w:tc>
          <w:tcPr>
            <w:tcW w:w="2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Banking</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Technology</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NSBF</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Payments</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Eliminations</w:t>
            </w: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Consolidated</w:t>
            </w:r>
          </w:p>
        </w:tc>
      </w:tr>
      <w:tr>
        <w:trPr>
          <w:trHeight w:val="17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29,353</w:t>
            </w:r>
          </w:p>
        </w:tc>
      </w:tr>
      <w:tr>
        <w:trPr>
          <w:trHeight w:val="18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20,227</w:t>
            </w:r>
          </w:p>
        </w:tc>
      </w:tr>
      <w:tr>
        <w:trPr>
          <w:trHeight w:val="171"/>
        </w:trPr>
        <w:tc>
          <w:tcPr>
            <w:tcW w:w="2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9,314</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9,126</w:t>
            </w:r>
          </w:p>
        </w:tc>
      </w:tr>
      <w:tr>
        <w:trPr>
          <w:trHeight w:val="18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loan credit losses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r>
      <w:tr>
        <w:trPr>
          <w:trHeight w:val="118"/>
        </w:trPr>
        <w:tc>
          <w:tcPr>
            <w:tcW w:w="25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color w:val="auto"/>
              </w:rPr>
              <w:t>Net interest income after provision for loan</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r>
        <w:trPr>
          <w:trHeight w:val="19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losses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w:t>
            </w:r>
          </w:p>
        </w:tc>
      </w:tr>
      <w:tr>
        <w:trPr>
          <w:trHeight w:val="18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w:t>
            </w: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40,564</w:t>
            </w:r>
          </w:p>
        </w:tc>
      </w:tr>
      <w:tr>
        <w:trPr>
          <w:trHeight w:val="18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r>
      <w:tr>
        <w:trPr>
          <w:trHeight w:val="17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10,945</w:t>
            </w: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840,749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905,718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(777,410)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1,617,004</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TSO JV Securitization</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On July 23, 2024, the Company’s joint venture, TSO JV, closed a securitization backed by ALP loans, selling $137.2 million of Class A Notes and $17.2 million of Class B Notes (collectively, the “TSO Notes”) issued by NALP Business Loan Trust 2024-1. The TSO Notes are backed by $190.5 million of collateral, consisting of $159.8 million of Company originated ALP loans and a $30.8 million prefunding account to acquire additional ALP loans originated by the Company in May 2024. The Class A and Class B Notes received Morningstar DBRS ratings of “A (sf)” and “BBB (high) (sf),”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NTS Divestiture</w:t>
      </w:r>
    </w:p>
    <w:p>
      <w:pPr>
        <w:spacing w:after="0" w:line="191"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4"/>
          <w:szCs w:val="14"/>
          <w:color w:val="auto"/>
        </w:rPr>
        <w:t>As a result of our anticipation to divest of NTS (consistent with our commitments to the Federal Reserve), we expect NTS’s net assets to be presented as a held-for-sale in the third quarter of 2024, and are evaluating ASC Subtopic 205-20 - Presenting Discontinued Operations for any additional requirements. Although we anticipate entering into an agreement to divest NTS in the short term, there can be no assurance that we will enter into 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759"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Forward-Looking Statements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spacing w:after="0" w:line="4"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subsidiaries;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business to achieve its objectives;</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as a financial holding company and increased compliance and other costs associated with such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manage liquidity, deposits, capital levels and interest rate risk;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our subsidiary Newtek Bank, a national bank regulated and supervised by the OCC, and increased compliance and other costs associated with such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subsidiaries;</w:t>
      </w:r>
    </w:p>
    <w:p>
      <w:pPr>
        <w:spacing w:after="0" w:line="9" w:lineRule="exact"/>
        <w:rPr>
          <w:sz w:val="20"/>
          <w:szCs w:val="20"/>
          <w:color w:val="auto"/>
        </w:rPr>
      </w:pPr>
    </w:p>
    <w:p>
      <w:pPr>
        <w:ind w:right="40" w:firstLine="287"/>
        <w:spacing w:after="0" w:line="266"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any and all of the forward-looking statements, including without limitation:</w:t>
      </w:r>
    </w:p>
    <w:p>
      <w:pPr>
        <w:spacing w:after="0" w:line="159"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downturn, which could impair our subsidiaries’ ability to continue to operate or repay their borrowings, which could adversely affect our results;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business activities;</w:t>
      </w:r>
    </w:p>
    <w:p>
      <w:pPr>
        <w:spacing w:after="0" w:line="8" w:lineRule="exact"/>
        <w:rPr>
          <w:rFonts w:ascii="Times New Roman" w:cs="Times New Roman" w:eastAsia="Times New Roman" w:hAnsi="Times New Roman"/>
          <w:sz w:val="14"/>
          <w:szCs w:val="14"/>
          <w:color w:val="auto"/>
        </w:rPr>
      </w:pPr>
    </w:p>
    <w:p>
      <w:pPr>
        <w:ind w:left="520" w:right="260" w:hanging="260"/>
        <w:spacing w:after="0" w:line="246"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interest rates (including credit spreads) and the impacts on macroeconomic conditions and Company’s profitability, returns, and results of operations, which include but are not limited to, interest income and expense and valuations of assets measured at fair value;</w:t>
      </w:r>
    </w:p>
    <w:p>
      <w:pPr>
        <w:ind w:left="520" w:hanging="260"/>
        <w:spacing w:after="0" w:line="236" w:lineRule="auto"/>
        <w:tabs>
          <w:tab w:leader="none" w:pos="520" w:val="left"/>
        </w:tabs>
        <w:numPr>
          <w:ilvl w:val="0"/>
          <w:numId w:val="33"/>
        </w:numPr>
        <w:rPr>
          <w:rFonts w:ascii="Arial" w:cs="Arial" w:eastAsia="Arial" w:hAnsi="Arial"/>
          <w:sz w:val="14"/>
          <w:szCs w:val="14"/>
          <w:color w:val="auto"/>
        </w:rPr>
      </w:pPr>
      <w:r>
        <w:rPr>
          <w:rFonts w:ascii="Times New Roman" w:cs="Times New Roman" w:eastAsia="Times New Roman" w:hAnsi="Times New Roman"/>
          <w:sz w:val="14"/>
          <w:szCs w:val="14"/>
          <w:color w:val="auto"/>
        </w:rPr>
        <w:t>changes to the SBA 7(a) loan program, including recent revisions to SBA Standard Operating Procedure (“SOP”); and</w:t>
      </w: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uncertainties and other factors we identify in “Risk Factors” and elsewhere in this report and in our filings with the SEC, including the documents we incorporate by reference.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8" w:right="359" w:bottom="1440" w:gutter="0" w:footer="0" w:header="0"/>
        </w:sectPr>
      </w:pPr>
    </w:p>
    <w:bookmarkStart w:id="55" w:name="page56"/>
    <w:bookmarkEnd w:id="55"/>
    <w:p>
      <w:pPr>
        <w:ind w:right="140"/>
        <w:spacing w:after="0" w:line="239" w:lineRule="auto"/>
        <w:rPr>
          <w:sz w:val="20"/>
          <w:szCs w:val="20"/>
          <w:color w:val="auto"/>
        </w:rPr>
      </w:pPr>
      <w:r>
        <w:rPr>
          <w:rFonts w:ascii="Times New Roman" w:cs="Times New Roman" w:eastAsia="Times New Roman" w:hAnsi="Times New Roman"/>
          <w:sz w:val="14"/>
          <w:szCs w:val="14"/>
          <w:color w:val="auto"/>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2023 Form 10-K, and in any subsequent filings we have made with the SEC that are incorporated by reference into this report.</w:t>
      </w:r>
    </w:p>
    <w:p>
      <w:pPr>
        <w:spacing w:after="0" w:line="17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Overview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to a Financial Holding Company</w:t>
      </w:r>
    </w:p>
    <w:p>
      <w:pPr>
        <w:spacing w:after="0" w:line="18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As of January 6, 2023, we are a financial holding company that, together with our consolidated subsidiaries, provides a wide range of business and financial solutions under the NewtekOne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brand to the independent business owner (SMB) market. Effective January 6, 2023, following authorization by our shareholders, we withdrew our previous election to be regulated as a BDC under the 1940 Act. Prior to such time, we operated as a BDC under the 1940 Act. Contemporaneously with withdrawing our election to be regulated as a BDC, on January 6, 2023, we completed the Acquisition of NBNYC, a national bank regulated and supervised by the OCC, pursuant to which we acquired from NBNYC’s shareholders all of the issued and outstanding stock of NBNYC. NBNYC has been renamed Newtek Bank and has become our wholly owned bank subsidiary. In connection with the completion of the Acquisition, we contributed to Newtek Bank $31 million of cash and two of our subsidiaries, NBL and SBL (subsequently, NBL was merged into SBL). As a result of the Acquisition, we are now a financial holding company subject to the regulation and supervision of the Federal Reserve and the Federal Reserve Bank of Atlanta. We no longer qualify as a RIC under Subchapter M of the Code for federal income tax purposes and no longer qualify for accounting treatment as an investment company. As a result, in addition to Newtek Bank and its consolidated subsidiary SBL, the following former portfolio companies and subsidiaries are now consolidated non-bank subsidiaries in our financial statements: NSBF; NMS; Mobil Money; NBC; PMT; NIA; TAM; Holdco 6; NCL; NTS and POS. In addition, as a result of commitments made to the Federal Reserve, we will divest or otherwise terminate the activities conducted by NTS by January 6, 2025, subject to any extension. See “Item 1A. Risk Factors – Risks Related to Operating as a Financial Holding Company – We are subject to extensive regulation and supervision as a financial holding company, which may adversely affect our business.” See NOTE 19—SUBSEQUENT EVENTS - NTS Divestiture.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January 13, 2023, we filed Articles of Amendment amending our Charter to change the name of the Company to “NewtekOne, Inc.”</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April 13, 2023, the Company, NSBF and the SBA entered into the Wind-down Agreement, pursuant to which NSBF has begun to wind-down its operations and NSBF’s SBA 7(a) pipeline of new loans was transitioned to Newtek Bank. During this wind-down process, NSBF will continue to own the SBA 7(a) loans and PPP Loans currently in its SBA loan portfolio to maturity, liquidation, charge-off or (subject to SBA’s prior written approval) sale or transfer. SBL will service and liquidate NSBF’s SBA loan portfolio pursuant to an SBA approved lender service provider agreement.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from the proceeds generated by NSBF’s SBA loan portfolio. The Company has guaranteed certain of NSBF’s obligations to the SBA and has funded a $10 million account at Newtek Bank to secure these potential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color w:val="auto"/>
        </w:rPr>
        <w:t>Historical Business Regulation and Taxation</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our total assets (less total liabilities other than indebtedness represented by senior securities) to our total indebtedness represented by senior securities plus preferred stock, if any, was at least 150%. As of December 31 2022, our asset coverage was 169%. Although we are no longer regulated as a BDC, certain covenants in our outstanding 2026 Notes require us to maintain an asset coverage of at least 150% as long as the 2026 Notes are outstanding. See “Item 1A. Risk Factors – Risks Related to Our Notes – We are subject to 150% asset coverage requirements due to covenants contained in the indentures under which the 2026 Notes were issued.”</w:t>
      </w:r>
    </w:p>
    <w:p>
      <w:pPr>
        <w:spacing w:after="0" w:line="1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To</w:t>
      </w:r>
    </w:p>
    <w:p>
      <w:pPr>
        <w:spacing w:after="0" w:line="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maintain our qualification as a RIC 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Company and its subsidiaries no longer qualify as a RIC for U.S. federal income tax purposes and will file a consolidated U.S. federal income tax return beginning with the 2023 fiscal year.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w:t>
      </w:r>
    </w:p>
    <w:p>
      <w:pPr>
        <w:spacing w:after="0" w:line="1" w:lineRule="exact"/>
        <w:rPr>
          <w:sz w:val="20"/>
          <w:szCs w:val="20"/>
          <w:color w:val="auto"/>
        </w:rPr>
      </w:pPr>
    </w:p>
    <w:p>
      <w:pPr>
        <w:ind w:right="40" w:firstLine="5"/>
        <w:spacing w:after="0" w:line="256" w:lineRule="auto"/>
        <w:tabs>
          <w:tab w:leader="none" w:pos="20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From 2012 through December 31, 2022, NSBF, a wholly-owned subsidiary, was consistently the largest non-bank SBA 7(a) lender in the U.S. based on dollar volume of loan approvals, and, as of December 31, 2022, was the third largest SBA 7(a) lender in the United States. Currently, Newtek Bank is ranked as the largest SBA 7(a) lender based on dollar volume of loans approved.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Pursuant to the Wind-down Agreement described above, in April 2023 NSBF transitioned its SBA 7(a) loan originations to Newtek Bank and is in the process of winding down its operations and will continue to own the 7(a) Loans and PPP Loans in its SBA loan portfolio to maturity, liquidation, charge-off or (subject to SBA’s prior written approval) sale or transfer.</w:t>
      </w:r>
    </w:p>
    <w:p>
      <w:pPr>
        <w:spacing w:after="0" w:line="167"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4"/>
          <w:szCs w:val="14"/>
          <w:color w:val="auto"/>
        </w:rPr>
        <w:t>Additionally, we and our subsidiaries have historically provided a wide range of business and financial solutions to independent business owner relationships, including Business Lending, which includes SBA 7(a) loans, SBA 504 loans and our ALP loans, Electronic Payment Processing, Managed Technology Solutions (Cloud Computing), Technology Consulting, eCommerce, Accounts Receivable and Inventory Financing, personal and commercial lines Insurance Services, Web Services, Data Backup, Storage and Retrieval, and Payroll and Benefits Solutions to independent business owner relationships nationwide across all industries. We support the operations of our subsidiaries by providing access to our proprietary and patented technology platform, including NewTracker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patented prospect management software. We have historically defined independent business owners (SMBs) as companies having revenues of $1 million to $100 million, and we have generally estimated the SMB market to be over 33 million businesses in the United States. We have historically made loans and provided business and financial solutions to the SMB market through NSBF and our controlled portfolio companies (now subsidiaries). In addition, we have begun to offer the Newtek Advantage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the One Dashboard for All of Your Business Needs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provides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7" w:right="339" w:bottom="1440" w:gutter="0" w:footer="0" w:header="0"/>
        </w:sectPr>
      </w:pPr>
    </w:p>
    <w:bookmarkStart w:id="57" w:name="page58"/>
    <w:bookmarkEnd w:id="57"/>
    <w:p>
      <w:pPr>
        <w:ind w:right="100"/>
        <w:spacing w:after="0" w:line="270" w:lineRule="auto"/>
        <w:rPr>
          <w:sz w:val="20"/>
          <w:szCs w:val="20"/>
          <w:color w:val="auto"/>
        </w:rPr>
      </w:pPr>
      <w:r>
        <w:rPr>
          <w:rFonts w:ascii="Times New Roman" w:cs="Times New Roman" w:eastAsia="Times New Roman" w:hAnsi="Times New Roman"/>
          <w:sz w:val="14"/>
          <w:szCs w:val="14"/>
          <w:color w:val="auto"/>
        </w:rPr>
        <w:t>independent business owners with instant access to a team of NewtekOne business and financial solutions experts in the areas of Business Lending, Electronic Payment Processing, Managed Technology Solutions, personal and commercial lines Insurance Services and Payroll and Benefits Solutions. Moreover, we believe that the Newtek Advantage can provide our independent business owner clients with analytics on their businesses, as well as transactional capabilities that other organizations do not presently offer.</w:t>
      </w:r>
    </w:p>
    <w:p>
      <w:pPr>
        <w:spacing w:after="0" w:line="189"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Following the Acquisition, there can be no assurance regarding our continued lending prospects or operations as a financial holding company. See “Item 1A. Risk Factors – Risks Related to Operating as a Financial Holding Company – We have a limited operating history as a financial holding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currently listed on the Nasdaq Global Market under the symbol “NEWT”.</w:t>
      </w:r>
    </w:p>
    <w:p>
      <w:pPr>
        <w:spacing w:after="0" w:line="20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4"/>
          <w:szCs w:val="14"/>
          <w:color w:val="auto"/>
        </w:rPr>
        <w:t>Newtek Bank is a national bank and nationally licensed SBA lender under the federal Section 7(a) loan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and NSBF will be able to maintain their SBA 7(a) lending licenses” and “Item 1A. Risk Factors - Risks Related to SBA Lending - A governmental failure to fund the SBA could adversely affect NSBF’s and Newtek Bank’s SBA 7(a) loan originations and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Developments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have observed and continue to observe supply chain interruptions, significant labor and resource shortages, commodity inflation, rising interest rates, unrelated bank failures and declines in depositor confidence in certain types of depository institutions. Additionally geopolitical events, such as trade disruptions, the ongoing war between Russia and Ukraine, rising tensions in the Middle East and Asia, and elements of economic and financial market instability in the United States, the United Kingdom, the European Union and China have led to increased economic uncertainty.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in which our customers operate and to which we lend to could experience deterioration, which could ultimately lead to difficulty in meeting debt service requirements and an increase in defaults. While we are not seeing signs of an overall, broad deterioration in our operating results at this time, there can be no assurance that the performance of certain of our subsidiaries and our current and prospective borrowers will not be negatively impacted by economic conditions, which could have a negative impact on our future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For the quarterly period ended June 30, 2024, we generated income in the form of interest, net gains on the sales of loans originated (which primarily include sales of SBA 7(a) and ALP loans) and related servicing assets on such sales, dividends, electronic payment processing income, technology and IT support income, servicing income, and other fee income 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June 30, 2024, also reflects the proceeds of sales of guaranteed portions of SBA 7(a) loans we originated. In addition, we received servicing income related to the guaranteed portions of SBA 7(a) loans which we originated and sold into the secondary market as well as on the portfolios of ALP loans owned by NCL JV and TSO JV. These recurring fees were earned daily and recorded when earned. In addition, we generated revenue in the form of loan packaging, loan prepayment, legal and late fees. We recorded such fees related to loans as other income. Distributions of earnings from our joint ventures were evaluated to determine if the distribution was income, return of capital or realized gain.</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servicing assets, as appropriate, in the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4"/>
          <w:szCs w:val="14"/>
          <w:color w:val="auto"/>
        </w:rPr>
        <w:t>For the quarterly period ended June 30, 2024, our primary operating expenses were salaries and benefits, interest expense including interest on deposits, electronic payment processing expense, technology services expense, origination and servicing, and other general and administrative costs, such as professional fees, marketing, referral fees, servicing costs and 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Alternative Lending Program (ALP)</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NCL JV: In 2019, we launched a 50/50 joint venture, NCL JV, between NCL, a wholly-owned subsidiary of Newtek, and Conventional Lending TCP Holding, LLC, a wholly-owned, indirect subsidiary of BlackRock TCP Capital Corp. (Nasdaq:TCPC). NCL JV provided ALP loans to U.S. middle-market companies and small businesses. NCL JV ceased funding new loans during 2020. On January 28, 2022, NCL JV closed an ALP loan securitization with the sale of $56.3 million Class A Notes, NCL Business Loan Trust 2022-1, Business Loan-Backed Notes, Series 2022-1, secured by a segregated asset pool consisting primarily of NCL JV’s portfolio of ALP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June 30, 2024.</w:t>
      </w:r>
    </w:p>
    <w:p>
      <w:pPr>
        <w:spacing w:after="0" w:line="16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 xml:space="preserve">TSO JV: On August 5, 2022, NCL and TSO II Booster Aggregator, L.P. (“TSO II”) entered into a joint venture, TSO JV, governed by the Amended and Restated Limited Partnership Agreement for the TSO JV. NCL and TSO II each committed to contribute an equal share of equity funding to the TSO JV and each have equal voting rights on all material matters. The TSO JV intends to deploy capital over the course of time with additional leverage supported by a warehouse line of credit for the purpose of investing in ALP loans made to middle-market companies as well as small businesses. TSO JV began making investments in ALP loans during the fourth quarter of 2022. Refer to NOTE 4—INVESTMENTS for selected financial information and a schedule of investments of TSO JV as of June 30, 2024. Refer to “NOTE 19—SUBSEQUENT EVENTS - TSO </w:t>
      </w:r>
      <w:r>
        <w:rPr>
          <w:rFonts w:ascii="Times New Roman" w:cs="Times New Roman" w:eastAsia="Times New Roman" w:hAnsi="Times New Roman"/>
          <w:sz w:val="15"/>
          <w:szCs w:val="15"/>
          <w:color w:val="auto"/>
        </w:rPr>
        <w:t>JV Securitzation.</w:t>
      </w:r>
      <w:r>
        <w:rPr>
          <w:rFonts w:ascii="Times New Roman" w:cs="Times New Roman" w:eastAsia="Times New Roman" w:hAnsi="Times New Roman"/>
          <w:sz w:val="15"/>
          <w:szCs w:val="15"/>
          <w:i w:val="1"/>
          <w:iCs w:val="1"/>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Unfunded Commitments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At June 30, 2024, the Company had $109.7 million of unfunded commitments consisting of $15.0 million in connection with its SBA 7(a) loans, $83.5 million in connection with its SBA 504 loans, and $11.2 million relating to commercial and industrial loans. The Company funds these commitments from the same sources it uses to fund its other loan commitments.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Discussion and Analysis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June 30, 2024 vs.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assets at June 30, 2024 were $1.6 billion, an increase of $187.5 million, or 13.1%, compared to total assets of $1.4 billion at December 31,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7"/>
                <w:szCs w:val="17"/>
                <w:color w:val="auto"/>
              </w:rPr>
            </w:pPr>
          </w:p>
        </w:tc>
        <w:tc>
          <w:tcPr>
            <w:tcW w:w="90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9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19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118,867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60,872</w:t>
            </w: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 at LCM</w:t>
            </w: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fair value</w:t>
            </w:r>
          </w:p>
        </w:tc>
        <w:tc>
          <w:tcPr>
            <w:tcW w:w="1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(53,908)</w:t>
            </w:r>
          </w:p>
        </w:tc>
        <w:tc>
          <w:tcPr>
            <w:tcW w:w="0" w:type="dxa"/>
            <w:vAlign w:val="bottom"/>
          </w:tcPr>
          <w:p>
            <w:pPr>
              <w:spacing w:after="0"/>
              <w:rPr>
                <w:sz w:val="1"/>
                <w:szCs w:val="1"/>
                <w:color w:val="auto"/>
              </w:rPr>
            </w:pPr>
          </w:p>
        </w:tc>
      </w:tr>
      <w:tr>
        <w:trPr>
          <w:trHeight w:val="180"/>
        </w:trPr>
        <w:tc>
          <w:tcPr>
            <w:tcW w:w="4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investment, at amortized cost, net of deferred fees and costs</w:t>
            </w: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115,524</w:t>
            </w:r>
          </w:p>
        </w:tc>
        <w:tc>
          <w:tcPr>
            <w:tcW w:w="0" w:type="dxa"/>
            <w:vAlign w:val="bottom"/>
          </w:tcPr>
          <w:p>
            <w:pPr>
              <w:spacing w:after="0"/>
              <w:rPr>
                <w:sz w:val="1"/>
                <w:szCs w:val="1"/>
                <w:color w:val="auto"/>
              </w:rPr>
            </w:pPr>
          </w:p>
        </w:tc>
      </w:tr>
      <w:tr>
        <w:trPr>
          <w:trHeight w:val="180"/>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9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Loans held for investment, at amortized cost, net</w:t>
            </w:r>
          </w:p>
        </w:tc>
        <w:tc>
          <w:tcPr>
            <w:tcW w:w="19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430,731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323,731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107,000</w:t>
            </w: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1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1,085,765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969,006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116,759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089"/>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9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6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sale</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Loans held for sale, at fair value increased $60.9 million during the six months ended June 30, 2024, while loans held for sale, at LCM increased $2.8 million during the same period. The overall increase was primarily the result of new loan originations during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Loans held for investment</w:t>
      </w:r>
    </w:p>
    <w:p>
      <w:pPr>
        <w:spacing w:after="0" w:line="200"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At Fair value: </w:t>
      </w:r>
      <w:r>
        <w:rPr>
          <w:rFonts w:ascii="Times New Roman" w:cs="Times New Roman" w:eastAsia="Times New Roman" w:hAnsi="Times New Roman"/>
          <w:sz w:val="14"/>
          <w:szCs w:val="14"/>
          <w:color w:val="auto"/>
        </w:rPr>
        <w:t>Loans held for investment, at fair value was $415.9 million at June 30, 2024 compared to $469.8 million at December 31, 2023. The balance consists primarily of SBA 7(a) loans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well as $6.8 million of loans that the Company owns 100% as a result of originating the loan and subsequently repurchasing the guaranteed portion from the SBA. As previously discussed, NSBF ceased originating loans during 2023, resulting in the decrease in the balance of loans held for investment from December 31, 2023 to June 30, 2024 due to the principal payments of existing loans held by NSBF.</w:t>
      </w:r>
    </w:p>
    <w:p>
      <w:pPr>
        <w:spacing w:after="0" w:line="15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At Amortized Cost: </w:t>
      </w:r>
      <w:r>
        <w:rPr>
          <w:rFonts w:ascii="Times New Roman" w:cs="Times New Roman" w:eastAsia="Times New Roman" w:hAnsi="Times New Roman"/>
          <w:sz w:val="14"/>
          <w:szCs w:val="14"/>
          <w:color w:val="auto"/>
        </w:rPr>
        <w:t>Loans held for investment, at amortized cost consists of loans originated at Newtek Bank. The $115.5 million increase in loans held for investment, at amortized cost is the result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an increase in originations for the six months ended June 30, 2024 over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Credit Quality: </w:t>
      </w:r>
      <w:r>
        <w:rPr>
          <w:rFonts w:ascii="Times New Roman" w:cs="Times New Roman" w:eastAsia="Times New Roman" w:hAnsi="Times New Roman"/>
          <w:sz w:val="14"/>
          <w:szCs w:val="14"/>
          <w:color w:val="auto"/>
        </w:rPr>
        <w:t>The following table presents an analysis of loans held for investment with credit metrics, including a breakdown by days aged: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Borders>
              <w:bottom w:val="single" w:sz="8" w:color="CCEEFF"/>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Credit Quality Ratios</w:t>
            </w:r>
          </w:p>
        </w:tc>
        <w:tc>
          <w:tcPr>
            <w:tcW w:w="154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46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Amortized Cost</w:t>
            </w:r>
          </w:p>
        </w:tc>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20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431,190</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325,643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96.9 %</w:t>
            </w:r>
          </w:p>
        </w:tc>
        <w:tc>
          <w:tcPr>
            <w:tcW w:w="40" w:type="dxa"/>
            <w:vAlign w:val="bottom"/>
          </w:tcPr>
          <w:p>
            <w:pPr>
              <w:spacing w:after="0"/>
              <w:rPr>
                <w:sz w:val="15"/>
                <w:szCs w:val="15"/>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31-89 Days</w:t>
            </w: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40" w:type="dxa"/>
            <w:vAlign w:val="bottom"/>
          </w:tcPr>
          <w:p>
            <w:pPr>
              <w:spacing w:after="0"/>
              <w:rPr>
                <w:sz w:val="15"/>
                <w:szCs w:val="15"/>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15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40" w:type="dxa"/>
            <w:vAlign w:val="bottom"/>
          </w:tcPr>
          <w:p>
            <w:pPr>
              <w:spacing w:after="0"/>
              <w:rPr>
                <w:sz w:val="15"/>
                <w:szCs w:val="15"/>
                <w:color w:val="auto"/>
              </w:rPr>
            </w:pPr>
          </w:p>
        </w:tc>
      </w:tr>
      <w:tr>
        <w:trPr>
          <w:trHeight w:val="171"/>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at amortized cost</w:t>
            </w:r>
          </w:p>
        </w:tc>
        <w:tc>
          <w:tcPr>
            <w:tcW w:w="1540" w:type="dxa"/>
            <w:vAlign w:val="bottom"/>
          </w:tcPr>
          <w:p>
            <w:pPr>
              <w:spacing w:after="0"/>
              <w:rPr>
                <w:sz w:val="14"/>
                <w:szCs w:val="14"/>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451,502</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335,912</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tcPr>
          <w:p>
            <w:pPr>
              <w:spacing w:after="0"/>
              <w:rPr>
                <w:sz w:val="14"/>
                <w:szCs w:val="14"/>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fees and costs</w:t>
            </w:r>
          </w:p>
        </w:tc>
        <w:tc>
          <w:tcPr>
            <w:tcW w:w="15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at amortized cost, net of deferred fees and costs</w:t>
            </w:r>
          </w:p>
        </w:tc>
        <w:tc>
          <w:tcPr>
            <w:tcW w:w="1540" w:type="dxa"/>
            <w:vAlign w:val="bottom"/>
          </w:tcPr>
          <w:p>
            <w:pPr>
              <w:spacing w:after="0"/>
              <w:rPr>
                <w:sz w:val="14"/>
                <w:szCs w:val="14"/>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451,829</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(21,098)</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40" w:type="dxa"/>
            <w:vAlign w:val="bottom"/>
          </w:tcPr>
          <w:p>
            <w:pPr>
              <w:spacing w:after="0"/>
              <w:rPr>
                <w:sz w:val="15"/>
                <w:szCs w:val="15"/>
                <w:color w:val="auto"/>
              </w:rPr>
            </w:pPr>
          </w:p>
        </w:tc>
      </w:tr>
      <w:tr>
        <w:trPr>
          <w:trHeight w:val="212"/>
        </w:trPr>
        <w:tc>
          <w:tcPr>
            <w:tcW w:w="4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At Fair Value</w:t>
            </w: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22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321,014</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385,172</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81.9 %</w:t>
            </w:r>
          </w:p>
        </w:tc>
        <w:tc>
          <w:tcPr>
            <w:tcW w:w="40" w:type="dxa"/>
            <w:vAlign w:val="bottom"/>
          </w:tcPr>
          <w:p>
            <w:pPr>
              <w:spacing w:after="0"/>
              <w:rPr>
                <w:sz w:val="15"/>
                <w:szCs w:val="15"/>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31-89 Days</w:t>
            </w: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40,219</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36,455</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40" w:type="dxa"/>
            <w:vAlign w:val="bottom"/>
          </w:tcPr>
          <w:p>
            <w:pPr>
              <w:spacing w:after="0"/>
              <w:rPr>
                <w:sz w:val="15"/>
                <w:szCs w:val="15"/>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Past Due 90+ Days and accruing</w:t>
            </w:r>
          </w:p>
        </w:tc>
        <w:tc>
          <w:tcPr>
            <w:tcW w:w="1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spacing w:after="0"/>
              <w:rPr>
                <w:sz w:val="15"/>
                <w:szCs w:val="15"/>
                <w:color w:val="auto"/>
              </w:rPr>
            </w:pPr>
          </w:p>
        </w:tc>
        <w:tc>
          <w:tcPr>
            <w:tcW w:w="13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5"/>
                <w:szCs w:val="15"/>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Nonaccrual loans</w:t>
            </w:r>
          </w:p>
        </w:tc>
        <w:tc>
          <w:tcPr>
            <w:tcW w:w="15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54,660</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7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40" w:type="dxa"/>
            <w:vAlign w:val="bottom"/>
          </w:tcPr>
          <w:p>
            <w:pPr>
              <w:spacing w:after="0"/>
              <w:rPr>
                <w:sz w:val="15"/>
                <w:szCs w:val="15"/>
                <w:color w:val="auto"/>
              </w:rPr>
            </w:pPr>
          </w:p>
        </w:tc>
      </w:tr>
      <w:tr>
        <w:trPr>
          <w:trHeight w:val="171"/>
        </w:trPr>
        <w:tc>
          <w:tcPr>
            <w:tcW w:w="4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Pr>
          <w:p>
            <w:pPr>
              <w:spacing w:after="0"/>
              <w:rPr>
                <w:sz w:val="14"/>
                <w:szCs w:val="14"/>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415,893</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4"/>
                <w:szCs w:val="1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469,801</w:t>
            </w: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tcPr>
          <w:p>
            <w:pPr>
              <w:spacing w:after="0"/>
              <w:rPr>
                <w:sz w:val="14"/>
                <w:szCs w:val="14"/>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 due and nonaccrual loans as % of Outstanding UPB</w:t>
            </w:r>
          </w:p>
        </w:tc>
        <w:tc>
          <w:tcPr>
            <w:tcW w:w="220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94,879</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84,629</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75.2 %</w:t>
            </w:r>
          </w:p>
        </w:tc>
        <w:tc>
          <w:tcPr>
            <w:tcW w:w="40" w:type="dxa"/>
            <w:vAlign w:val="bottom"/>
          </w:tcPr>
          <w:p>
            <w:pPr>
              <w:spacing w:after="0"/>
              <w:rPr>
                <w:sz w:val="15"/>
                <w:szCs w:val="15"/>
                <w:color w:val="auto"/>
              </w:rPr>
            </w:pPr>
          </w:p>
        </w:tc>
      </w:tr>
      <w:tr>
        <w:trPr>
          <w:trHeight w:val="212"/>
        </w:trPr>
        <w:tc>
          <w:tcPr>
            <w:tcW w:w="4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Nonperforming Assets, as a percentage of total assets</w:t>
            </w: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HFI, at amortized cost</w:t>
            </w:r>
          </w:p>
        </w:tc>
        <w:tc>
          <w:tcPr>
            <w:tcW w:w="220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12,623</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40" w:type="dxa"/>
            <w:vAlign w:val="bottom"/>
          </w:tcPr>
          <w:p>
            <w:pPr>
              <w:spacing w:after="0"/>
              <w:rPr>
                <w:sz w:val="15"/>
                <w:szCs w:val="15"/>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HFI, at fair value</w:t>
            </w:r>
          </w:p>
        </w:tc>
        <w:tc>
          <w:tcPr>
            <w:tcW w:w="1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54,660</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40" w:type="dxa"/>
            <w:vAlign w:val="bottom"/>
          </w:tcPr>
          <w:p>
            <w:pPr>
              <w:spacing w:after="0"/>
              <w:rPr>
                <w:sz w:val="15"/>
                <w:szCs w:val="15"/>
                <w:color w:val="auto"/>
              </w:rPr>
            </w:pP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real estate owned</w:t>
            </w:r>
          </w:p>
        </w:tc>
        <w:tc>
          <w:tcPr>
            <w:tcW w:w="15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40" w:type="dxa"/>
            <w:vAlign w:val="bottom"/>
          </w:tcPr>
          <w:p>
            <w:pPr>
              <w:spacing w:after="0"/>
              <w:rPr>
                <w:sz w:val="15"/>
                <w:szCs w:val="15"/>
                <w:color w:val="auto"/>
              </w:rPr>
            </w:pPr>
          </w:p>
        </w:tc>
      </w:tr>
      <w:tr>
        <w:trPr>
          <w:trHeight w:val="171"/>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15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69,895</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54,657</w:t>
            </w: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40" w:type="dxa"/>
            <w:vAlign w:val="bottom"/>
          </w:tcPr>
          <w:p>
            <w:pPr>
              <w:spacing w:after="0"/>
              <w:rPr>
                <w:sz w:val="14"/>
                <w:szCs w:val="14"/>
                <w:color w:val="auto"/>
              </w:rPr>
            </w:pPr>
          </w:p>
        </w:tc>
      </w:tr>
      <w:tr>
        <w:trPr>
          <w:trHeight w:val="870"/>
        </w:trPr>
        <w:tc>
          <w:tcPr>
            <w:tcW w:w="4640" w:type="dxa"/>
            <w:vAlign w:val="bottom"/>
          </w:tcPr>
          <w:p>
            <w:pPr>
              <w:spacing w:after="0"/>
              <w:rPr>
                <w:sz w:val="24"/>
                <w:szCs w:val="24"/>
                <w:color w:val="auto"/>
              </w:rPr>
            </w:pPr>
          </w:p>
        </w:tc>
        <w:tc>
          <w:tcPr>
            <w:tcW w:w="1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60</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46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CRE exposure</w:t>
      </w:r>
    </w:p>
    <w:p>
      <w:pPr>
        <w:spacing w:after="0" w:line="20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The Company’s loan portfolio consists of loans to independent business owners (SMBs). The Company’s Loans HFI at amortized cost and Loans HFS at LCM include a total of $232.4 million of loans, including unfunded commitments, backed by CRE and considered non-owner occupied as of June 30, 2024. The average loan-to-value for this CRE portfolio was 59.4%. The table below presents a detail of the loans considered non-owner occupied CRE that are not carried at fair value: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color w:val="auto"/>
                <w:w w:val="99"/>
              </w:rPr>
              <w:t>HFI at amortized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6"/>
              </w:rPr>
              <w:t>HFI at amortized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1"/>
                <w:szCs w:val="11"/>
                <w:color w:val="auto"/>
              </w:rPr>
            </w:pPr>
          </w:p>
        </w:tc>
        <w:tc>
          <w:tcPr>
            <w:tcW w:w="12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3"/>
                <w:szCs w:val="13"/>
                <w:color w:val="auto"/>
                <w:w w:val="98"/>
              </w:rPr>
              <w:t>cost, net of deferred</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color w:val="auto"/>
                <w:w w:val="94"/>
              </w:rPr>
              <w:t>LTV</w:t>
            </w:r>
          </w:p>
        </w:tc>
        <w:tc>
          <w:tcPr>
            <w:tcW w:w="1220" w:type="dxa"/>
            <w:vAlign w:val="bottom"/>
            <w:gridSpan w:val="3"/>
          </w:tcPr>
          <w:p>
            <w:pPr>
              <w:jc w:val="center"/>
              <w:ind w:right="80"/>
              <w:spacing w:after="0" w:line="138" w:lineRule="exact"/>
              <w:rPr>
                <w:sz w:val="20"/>
                <w:szCs w:val="20"/>
                <w:color w:val="auto"/>
              </w:rPr>
            </w:pPr>
            <w:r>
              <w:rPr>
                <w:rFonts w:ascii="Times New Roman" w:cs="Times New Roman" w:eastAsia="Times New Roman" w:hAnsi="Times New Roman"/>
                <w:sz w:val="13"/>
                <w:szCs w:val="13"/>
                <w:color w:val="auto"/>
                <w:w w:val="98"/>
              </w:rPr>
              <w:t>cost, net of deferred</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310"/>
              <w:spacing w:after="0" w:line="138" w:lineRule="exact"/>
              <w:rPr>
                <w:sz w:val="20"/>
                <w:szCs w:val="20"/>
                <w:color w:val="auto"/>
              </w:rPr>
            </w:pPr>
            <w:r>
              <w:rPr>
                <w:rFonts w:ascii="Times New Roman" w:cs="Times New Roman" w:eastAsia="Times New Roman" w:hAnsi="Times New Roman"/>
                <w:sz w:val="13"/>
                <w:szCs w:val="13"/>
                <w:color w:val="auto"/>
              </w:rPr>
              <w:t>LTV</w:t>
            </w:r>
          </w:p>
        </w:tc>
        <w:tc>
          <w:tcPr>
            <w:tcW w:w="0" w:type="dxa"/>
            <w:vAlign w:val="bottom"/>
          </w:tcPr>
          <w:p>
            <w:pPr>
              <w:spacing w:after="0"/>
              <w:rPr>
                <w:sz w:val="1"/>
                <w:szCs w:val="1"/>
                <w:color w:val="auto"/>
              </w:rPr>
            </w:pPr>
          </w:p>
        </w:tc>
      </w:tr>
      <w:tr>
        <w:trPr>
          <w:trHeight w:val="184"/>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9"/>
              </w:rPr>
              <w:t>fees and costs</w:t>
            </w:r>
          </w:p>
        </w:tc>
        <w:tc>
          <w:tcPr>
            <w:tcW w:w="1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HFS at LCM</w:t>
            </w:r>
          </w:p>
        </w:tc>
        <w:tc>
          <w:tcPr>
            <w:tcW w:w="3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by CRE type</w:t>
            </w: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6"/>
              </w:rPr>
              <w:t>fees and costs</w:t>
            </w:r>
          </w:p>
        </w:tc>
        <w:tc>
          <w:tcPr>
            <w:tcW w:w="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HFS at LCM</w:t>
            </w:r>
          </w:p>
        </w:tc>
        <w:tc>
          <w:tcPr>
            <w:tcW w:w="220" w:type="dxa"/>
            <w:vAlign w:val="bottom"/>
          </w:tcPr>
          <w:p>
            <w:pPr>
              <w:spacing w:after="0"/>
              <w:rPr>
                <w:sz w:val="15"/>
                <w:szCs w:val="15"/>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3"/>
                <w:szCs w:val="13"/>
                <w:color w:val="auto"/>
              </w:rPr>
              <w:t>by CRE type</w:t>
            </w:r>
          </w:p>
        </w:tc>
        <w:tc>
          <w:tcPr>
            <w:tcW w:w="0" w:type="dxa"/>
            <w:vAlign w:val="bottom"/>
          </w:tcPr>
          <w:p>
            <w:pPr>
              <w:spacing w:after="0"/>
              <w:rPr>
                <w:sz w:val="1"/>
                <w:szCs w:val="1"/>
                <w:color w:val="auto"/>
              </w:rPr>
            </w:pPr>
          </w:p>
        </w:tc>
      </w:tr>
      <w:tr>
        <w:trPr>
          <w:trHeight w:val="200"/>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not backed by CRE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306,499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12,417</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318,916</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203,405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203,405</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Loans backed by CRE</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145,330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192,315</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189,507</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loans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451,829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59,402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511,231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392,912</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backed by CRE by type: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47,364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52.2 %</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1-4 Family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0" w:type="dxa"/>
            <w:vAlign w:val="bottom"/>
          </w:tcPr>
          <w:p>
            <w:pPr>
              <w:spacing w:after="0"/>
              <w:rPr>
                <w:sz w:val="1"/>
                <w:szCs w:val="1"/>
                <w:color w:val="auto"/>
              </w:rPr>
            </w:pP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29,085</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Industrial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47.3 %</w:t>
            </w:r>
          </w:p>
        </w:tc>
        <w:tc>
          <w:tcPr>
            <w:tcW w:w="0" w:type="dxa"/>
            <w:vAlign w:val="bottom"/>
          </w:tcPr>
          <w:p>
            <w:pPr>
              <w:spacing w:after="0"/>
              <w:rPr>
                <w:sz w:val="1"/>
                <w:szCs w:val="1"/>
                <w:color w:val="auto"/>
              </w:rPr>
            </w:pP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Office</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51,907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83.1 %</w:t>
            </w:r>
          </w:p>
        </w:tc>
        <w:tc>
          <w:tcPr>
            <w:tcW w:w="0" w:type="dxa"/>
            <w:vAlign w:val="bottom"/>
          </w:tcPr>
          <w:p>
            <w:pPr>
              <w:spacing w:after="0"/>
              <w:rPr>
                <w:sz w:val="1"/>
                <w:szCs w:val="1"/>
                <w:color w:val="auto"/>
              </w:rPr>
            </w:pP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52.8 %</w:t>
            </w:r>
          </w:p>
        </w:tc>
        <w:tc>
          <w:tcPr>
            <w:tcW w:w="0" w:type="dxa"/>
            <w:vAlign w:val="bottom"/>
          </w:tcPr>
          <w:p>
            <w:pPr>
              <w:spacing w:after="0"/>
              <w:rPr>
                <w:sz w:val="1"/>
                <w:szCs w:val="1"/>
                <w:color w:val="auto"/>
              </w:rPr>
            </w:pPr>
          </w:p>
        </w:tc>
      </w:tr>
      <w:tr>
        <w:trPr>
          <w:trHeight w:val="183"/>
        </w:trPr>
        <w:tc>
          <w:tcPr>
            <w:tcW w:w="286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Total non-owner occupied HFI at amortized cost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145,330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192,315</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56,607</w:t>
            </w: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189,507</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0" w:type="dxa"/>
            <w:vAlign w:val="bottom"/>
          </w:tcPr>
          <w:p>
            <w:pPr>
              <w:spacing w:after="0"/>
              <w:rPr>
                <w:sz w:val="1"/>
                <w:szCs w:val="1"/>
                <w:color w:val="auto"/>
              </w:rPr>
            </w:pPr>
          </w:p>
        </w:tc>
      </w:tr>
      <w:tr>
        <w:trPr>
          <w:trHeight w:val="221"/>
        </w:trPr>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Unfunded Commitments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83.1 %</w:t>
            </w:r>
          </w:p>
        </w:tc>
        <w:tc>
          <w:tcPr>
            <w:tcW w:w="0" w:type="dxa"/>
            <w:vAlign w:val="bottom"/>
          </w:tcPr>
          <w:p>
            <w:pPr>
              <w:spacing w:after="0"/>
              <w:rPr>
                <w:sz w:val="1"/>
                <w:szCs w:val="1"/>
                <w:color w:val="auto"/>
              </w:rPr>
            </w:pPr>
          </w:p>
        </w:tc>
      </w:tr>
      <w:tr>
        <w:trPr>
          <w:trHeight w:val="193"/>
        </w:trPr>
        <w:tc>
          <w:tcPr>
            <w:tcW w:w="2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Hotel</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55.3 %</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Multifamily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unfunded commitments</w:t>
            </w: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40,056</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40,056</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4,493</w:t>
            </w:r>
          </w:p>
        </w:tc>
        <w:tc>
          <w:tcPr>
            <w:tcW w:w="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CRE Loans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145,330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87,041</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232,371</w:t>
            </w:r>
          </w:p>
        </w:tc>
        <w:tc>
          <w:tcPr>
            <w:tcW w:w="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132,900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61,100</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8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Construction land development includes first and second lien loans. The LTV on first lien is generally 65%. Second liens are typically taken out by the SBA following project completion.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 and Intangibles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93"/>
        </w:trPr>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71"/>
        </w:trPr>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Intangible Assets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4"/>
                <w:szCs w:val="14"/>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4"/>
                <w:szCs w:val="14"/>
                <w:color w:val="auto"/>
              </w:rPr>
            </w:pPr>
          </w:p>
        </w:tc>
        <w:tc>
          <w:tcPr>
            <w:tcW w:w="6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NBNYC acquisition</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segment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13,814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w:t>
            </w:r>
          </w:p>
        </w:tc>
      </w:tr>
      <w:tr>
        <w:trPr>
          <w:trHeight w:val="18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segment</w:t>
            </w: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3,146</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14,946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15,179</w:t>
            </w:r>
          </w:p>
        </w:tc>
      </w:tr>
      <w:tr>
        <w:trPr>
          <w:trHeight w:val="171"/>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3,898</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29,783</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30,120</w:t>
            </w: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goodwill and intangible assets relates to amortization of intangible assets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color w:val="auto"/>
        </w:rPr>
        <w:t>Settlement Receivable</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Settlement receivables were $79.9 million as of June 30, 2024, an increase of $17.7 million compared to December 31, 2023.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June 30, 2024, were $1.3 billion, an increase of $162.5 million, or 13.8%, compared to total liabilities of $1.2 billion at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Total deposits were $610.4 million at June 30, 2024, consisting of $4.9 million in non-interest bearing deposits and $605.5 million in interest bearing deposits, a $146.9 million increase from the balance as of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7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Outstanding</w:t>
            </w:r>
          </w:p>
        </w:tc>
        <w:tc>
          <w:tcPr>
            <w:tcW w:w="320" w:type="dxa"/>
            <w:vAlign w:val="bottom"/>
          </w:tcPr>
          <w:p>
            <w:pPr>
              <w:spacing w:after="0"/>
              <w:rPr>
                <w:sz w:val="24"/>
                <w:szCs w:val="24"/>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24"/>
                <w:szCs w:val="24"/>
                <w:color w:val="auto"/>
              </w:rPr>
            </w:pPr>
          </w:p>
        </w:tc>
        <w:tc>
          <w:tcPr>
            <w:tcW w:w="16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1"/>
        </w:trPr>
        <w:tc>
          <w:tcPr>
            <w:tcW w:w="5100" w:type="dxa"/>
            <w:vAlign w:val="bottom"/>
            <w:tcBorders>
              <w:top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Other Bank Borrowings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Webster NMS Note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34,645</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60" w:type="dxa"/>
            <w:vAlign w:val="bottom"/>
          </w:tcPr>
          <w:p>
            <w:pPr>
              <w:spacing w:after="0"/>
              <w:rPr>
                <w:sz w:val="15"/>
                <w:szCs w:val="15"/>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 Capital One Facility</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16,080</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w:t>
            </w:r>
          </w:p>
        </w:tc>
      </w:tr>
      <w:tr>
        <w:trPr>
          <w:trHeight w:val="180"/>
        </w:trPr>
        <w:tc>
          <w:tcPr>
            <w:tcW w:w="5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SPV II Deutsche Bank Facility</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w:t>
            </w:r>
          </w:p>
        </w:tc>
      </w:tr>
      <w:tr>
        <w:trPr>
          <w:trHeight w:val="180"/>
        </w:trPr>
        <w:tc>
          <w:tcPr>
            <w:tcW w:w="5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SPV III One Florida Bank Facility</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r>
      <w:tr>
        <w:trPr>
          <w:trHeight w:val="180"/>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FHLB Advances</w:t>
            </w: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23,184</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w:t>
            </w:r>
          </w:p>
        </w:tc>
      </w:tr>
      <w:tr>
        <w:trPr>
          <w:trHeight w:val="171"/>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Lines of Credit</w:t>
            </w:r>
          </w:p>
        </w:tc>
        <w:tc>
          <w:tcPr>
            <w:tcW w:w="32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82,948</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(13,950)</w:t>
            </w:r>
          </w:p>
        </w:tc>
      </w:tr>
      <w:tr>
        <w:trPr>
          <w:trHeight w:val="85"/>
        </w:trPr>
        <w:tc>
          <w:tcPr>
            <w:tcW w:w="5100" w:type="dxa"/>
            <w:vAlign w:val="bottom"/>
            <w:gridSpan w:val="2"/>
          </w:tcPr>
          <w:p>
            <w:pPr>
              <w:spacing w:after="0"/>
              <w:rPr>
                <w:sz w:val="7"/>
                <w:szCs w:val="7"/>
                <w:color w:val="auto"/>
              </w:rPr>
            </w:pPr>
          </w:p>
        </w:tc>
        <w:tc>
          <w:tcPr>
            <w:tcW w:w="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0" w:type="dxa"/>
            <w:vAlign w:val="bottom"/>
          </w:tcPr>
          <w:p>
            <w:pPr>
              <w:spacing w:after="0"/>
              <w:rPr>
                <w:sz w:val="7"/>
                <w:szCs w:val="7"/>
                <w:color w:val="auto"/>
              </w:rPr>
            </w:pPr>
          </w:p>
        </w:tc>
      </w:tr>
      <w:tr>
        <w:trPr>
          <w:trHeight w:val="180"/>
        </w:trPr>
        <w:tc>
          <w:tcPr>
            <w:tcW w:w="51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Parent Company Notes due 2024, 2025, 2026, 2028 and 2029</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2024</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5.75% Notes</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38,124</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2025</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49,433</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2026</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5.50% Notes</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113,564</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80"/>
        </w:trPr>
        <w:tc>
          <w:tcPr>
            <w:tcW w:w="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2028</w:t>
            </w:r>
          </w:p>
        </w:tc>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8.00% Notes</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38,378</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0"/>
        </w:trPr>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2029</w:t>
            </w: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8.50% Notes</w:t>
            </w: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69,388</w:t>
            </w:r>
          </w:p>
        </w:tc>
      </w:tr>
      <w:tr>
        <w:trPr>
          <w:trHeight w:val="171"/>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2024, 2025, 2026, 2028, and 2029 Notes</w:t>
            </w:r>
          </w:p>
        </w:tc>
        <w:tc>
          <w:tcPr>
            <w:tcW w:w="3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339,528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269,062</w:t>
            </w:r>
          </w:p>
        </w:tc>
        <w:tc>
          <w:tcPr>
            <w:tcW w:w="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70,466</w:t>
            </w:r>
          </w:p>
        </w:tc>
      </w:tr>
      <w:tr>
        <w:trPr>
          <w:trHeight w:val="85"/>
        </w:trPr>
        <w:tc>
          <w:tcPr>
            <w:tcW w:w="5100" w:type="dxa"/>
            <w:vAlign w:val="bottom"/>
            <w:gridSpan w:val="2"/>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r>
      <w:tr>
        <w:trPr>
          <w:trHeight w:val="180"/>
        </w:trPr>
        <w:tc>
          <w:tcPr>
            <w:tcW w:w="51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 Payable - Securitization Trusts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292,112</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(48,666)</w:t>
            </w:r>
          </w:p>
        </w:tc>
      </w:tr>
      <w:tr>
        <w:trPr>
          <w:trHeight w:val="74"/>
        </w:trPr>
        <w:tc>
          <w:tcPr>
            <w:tcW w:w="400" w:type="dxa"/>
            <w:vAlign w:val="bottom"/>
            <w:shd w:val="clear" w:color="auto" w:fill="CCEEFF"/>
          </w:tcPr>
          <w:p>
            <w:pPr>
              <w:spacing w:after="0"/>
              <w:rPr>
                <w:sz w:val="6"/>
                <w:szCs w:val="6"/>
                <w:color w:val="auto"/>
              </w:rPr>
            </w:pPr>
          </w:p>
        </w:tc>
        <w:tc>
          <w:tcPr>
            <w:tcW w:w="47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6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78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r>
      <w:tr>
        <w:trPr>
          <w:trHeight w:val="171"/>
        </w:trPr>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7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651,972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644,122</w:t>
            </w:r>
          </w:p>
        </w:tc>
        <w:tc>
          <w:tcPr>
            <w:tcW w:w="6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7,850</w:t>
            </w:r>
          </w:p>
        </w:tc>
      </w:tr>
      <w:tr>
        <w:trPr>
          <w:trHeight w:val="20"/>
        </w:trPr>
        <w:tc>
          <w:tcPr>
            <w:tcW w:w="4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3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of deferred financing costs.</w:t>
      </w:r>
    </w:p>
    <w:p>
      <w:pPr>
        <w:spacing w:after="0" w:line="17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Borrowings were $652.0 million at June 30, 2024, compared to $644.1 million at December 31, 2023. This increase was primarily due to a $69.4 million issuance of the 2029 8.50% Notes and an additional $4.8 million borrowings under the SPV II facility. These increases were partially offset by a $48.7 million reduction in the notes payable on securitization trusts, a $13.6 million paydown of the SPV I facility, and a $3.9 million paydown of FHLB advances.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2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The deferred tax asset, net represents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Comparison of the six months ended June 30, 2024 and 2023</w:t>
      </w:r>
    </w:p>
    <w:p>
      <w:pPr>
        <w:spacing w:after="0" w:line="18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As disclosed in our 2023 Form 10-K, the Company’s prior year condensed, comparative financial statements have been adjusted to correct errors made in the Company’s financial statements previously issued for the first, second, and third quarters of 2023. Results for the six months ended June 30, 2023 are presented as restated. Refer to our 2023 Form 10-K for further detail.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2024, the Company reported net income of $20.6 million, or $0.81 per basic and diluted share, compared to net income of $25.6 million, or $1.03 per basic and diluted share, for the six months ended June 30, 2023.</w:t>
      </w:r>
    </w:p>
    <w:p>
      <w:pPr>
        <w:spacing w:after="0" w:line="1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decrease in net income was attributable to income tax benefit on the realization of deferred tax assets in 2023 when the Company converted to an FHC. Below is a summary of changes in the components of Net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760" w:type="dxa"/>
            <w:vAlign w:val="bottom"/>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jc w:val="center"/>
              <w:ind w:right="152"/>
              <w:spacing w:after="0" w:line="108" w:lineRule="exact"/>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3"/>
        </w:trPr>
        <w:tc>
          <w:tcPr>
            <w:tcW w:w="67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88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86,641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76,800</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expense/(benefit)</w:t>
            </w: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(9,357)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16,644</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(4,966)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760" w:type="dxa"/>
            <w:vAlign w:val="bottom"/>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jc w:val="center"/>
              <w:ind w:right="172"/>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0"/>
        </w:trPr>
        <w:tc>
          <w:tcPr>
            <w:tcW w:w="67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88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31,012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 w:type="dxa"/>
            <w:vAlign w:val="bottom"/>
          </w:tcPr>
          <w:p>
            <w:pPr>
              <w:spacing w:after="0"/>
              <w:rPr>
                <w:sz w:val="14"/>
                <w:szCs w:val="14"/>
                <w:color w:val="auto"/>
              </w:rPr>
            </w:pPr>
          </w:p>
        </w:tc>
        <w:tc>
          <w:tcPr>
            <w:tcW w:w="8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Loans and fees on loans: </w:t>
      </w:r>
      <w:r>
        <w:rPr>
          <w:rFonts w:ascii="Times New Roman" w:cs="Times New Roman" w:eastAsia="Times New Roman" w:hAnsi="Times New Roman"/>
          <w:sz w:val="14"/>
          <w:szCs w:val="14"/>
          <w:color w:val="auto"/>
        </w:rPr>
        <w:t>The $14.6 million increase in interest income on the Company’s loan portfolio was attributable to an increase in interest rates as well as the average outstanding accrual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of loans held for investment increasing to $1.0 billion from $636.7 million for the six months ended June 30, 2024 and 2023, respectively. The increase in the average outstanding accrual loan portfolio resulted from the origination of new SBA 7(a) loans period over period.</w:t>
      </w:r>
    </w:p>
    <w:p>
      <w:pPr>
        <w:spacing w:after="0" w:line="134"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interest earning assets: </w:t>
      </w:r>
      <w:r>
        <w:rPr>
          <w:rFonts w:ascii="Times New Roman" w:cs="Times New Roman" w:eastAsia="Times New Roman" w:hAnsi="Times New Roman"/>
          <w:sz w:val="14"/>
          <w:szCs w:val="14"/>
          <w:color w:val="auto"/>
        </w:rPr>
        <w:t>The $0.3 million increase in interest income from other interest earnings assets was attributable to rising interest rates on cash and due from banks, as well as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bearing deposits in banks, including Newtek Bank earning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interest on Federal Reserve Bank cash deposits.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interest expense by facility for the six months ended June 30, 2024 and 2023:</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June 30, 2023</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3"/>
        </w:trPr>
        <w:tc>
          <w:tcPr>
            <w:tcW w:w="480" w:type="dxa"/>
            <w:vAlign w:val="bottom"/>
            <w:tcBorders>
              <w:bottom w:val="single" w:sz="8" w:color="CCEEFF"/>
            </w:tcBorders>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26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12,441</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and securitizations:</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11,654</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2026</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2028</w:t>
            </w:r>
          </w:p>
        </w:tc>
        <w:tc>
          <w:tcPr>
            <w:tcW w:w="5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Notes</w:t>
            </w:r>
            <w:r>
              <w:rPr>
                <w:rFonts w:ascii="Times New Roman" w:cs="Times New Roman" w:eastAsia="Times New Roman" w:hAnsi="Times New Roman"/>
                <w:sz w:val="18"/>
                <w:szCs w:val="18"/>
                <w:color w:val="auto"/>
                <w:vertAlign w:val="superscript"/>
              </w:rPr>
              <w:t>1</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80"/>
        </w:trPr>
        <w:tc>
          <w:tcPr>
            <w:tcW w:w="64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2029 Notes</w:t>
            </w:r>
            <w:r>
              <w:rPr>
                <w:rFonts w:ascii="Times New Roman" w:cs="Times New Roman" w:eastAsia="Times New Roman" w:hAnsi="Times New Roman"/>
                <w:sz w:val="18"/>
                <w:szCs w:val="18"/>
                <w:color w:val="auto"/>
                <w:vertAlign w:val="superscript"/>
              </w:rPr>
              <w:t>2</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71"/>
        </w:trPr>
        <w:tc>
          <w:tcPr>
            <w:tcW w:w="644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notes and securitizations</w:t>
            </w:r>
          </w:p>
        </w:tc>
        <w:tc>
          <w:tcPr>
            <w:tcW w:w="1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0" w:type="dxa"/>
            <w:vAlign w:val="bottom"/>
          </w:tcPr>
          <w:p>
            <w:pPr>
              <w:spacing w:after="0"/>
              <w:rPr>
                <w:sz w:val="1"/>
                <w:szCs w:val="1"/>
                <w:color w:val="auto"/>
              </w:rPr>
            </w:pPr>
          </w:p>
        </w:tc>
      </w:tr>
      <w:tr>
        <w:trPr>
          <w:trHeight w:val="202"/>
        </w:trPr>
        <w:tc>
          <w:tcPr>
            <w:tcW w:w="644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and FHLB Borrowings:</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Bank notes payable</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FHLB Advances</w:t>
            </w:r>
          </w:p>
        </w:tc>
        <w:tc>
          <w:tcPr>
            <w:tcW w:w="1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1"/>
        </w:trPr>
        <w:tc>
          <w:tcPr>
            <w:tcW w:w="64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bank and FHLB borrowings</w:t>
            </w: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0" w:type="dxa"/>
            <w:vAlign w:val="bottom"/>
          </w:tcPr>
          <w:p>
            <w:pPr>
              <w:spacing w:after="0"/>
              <w:rPr>
                <w:sz w:val="1"/>
                <w:szCs w:val="1"/>
                <w:color w:val="auto"/>
              </w:rPr>
            </w:pPr>
          </w:p>
        </w:tc>
      </w:tr>
      <w:tr>
        <w:trPr>
          <w:trHeight w:val="202"/>
        </w:trPr>
        <w:tc>
          <w:tcPr>
            <w:tcW w:w="6440" w:type="dxa"/>
            <w:vAlign w:val="bottom"/>
            <w:gridSpan w:val="2"/>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26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38,388</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31,012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00" w:right="260" w:hanging="195"/>
        <w:spacing w:after="0" w:line="263" w:lineRule="auto"/>
        <w:tabs>
          <w:tab w:leader="none" w:pos="20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ind w:left="200" w:hanging="195"/>
        <w:spacing w:after="0" w:line="259" w:lineRule="auto"/>
        <w:tabs>
          <w:tab w:leader="none" w:pos="209"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30, 2024, the Company completed a public offering of $62.5 million aggregate principal amount of 8.500% notes due 2029.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16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increase in interest expense period over period is primarily from additional interest expense on deposits of $6.9 million. The Company also completed a public offering in August 2023, resulting in an additional $1.8 million of interest relating to the 2028 Notes, and a public offering in May 2024, resulting in an additional $0.6 million of interest relating to the 2029 Notes. The increase is partially offset by a $3.7 million reduction in interest on bank and FHLB borrowings.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For the six months ended June 30, 2024 and 2023, there was a provision for credit losses of $9.8 million and $3.9 million, respectively. The increase was due to an increase in loans held for investment at amortized cost, specifically SBA 7(a) loans, as well as a sequential build of the provision year over year as the six months ended June 30, 2023, was the Company's first two quarters reporting as a financial holding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color w:val="auto"/>
              </w:rPr>
              <w:t>Six Months Ended June 30,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color w:val="auto"/>
              </w:rPr>
              <w:t>2023 (as restated)</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Balance</w:t>
            </w:r>
          </w:p>
        </w:tc>
        <w:tc>
          <w:tcPr>
            <w:tcW w:w="20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Average Balance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6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150,025</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166,820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Loans held for sale</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6,829</w:t>
            </w:r>
          </w:p>
        </w:tc>
        <w:tc>
          <w:tcPr>
            <w:tcW w:w="10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915,091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40,565</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734,711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30,280</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1,291,283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56,420</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8.79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1,031,382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41,268</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199,395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199,742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1,476,284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1,228,730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24,951</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Savings, Super NOW</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252,280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80"/>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Money Market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219,390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5,530</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165,437</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71"/>
        </w:trPr>
        <w:tc>
          <w:tcPr>
            <w:tcW w:w="4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517,380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12,441</w:t>
            </w:r>
          </w:p>
        </w:tc>
        <w:tc>
          <w:tcPr>
            <w:tcW w:w="8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10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646,318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25,947</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674,686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25,486</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1,163,698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38,388</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942,883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31,012</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248,079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221,076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1,476,284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1,228,730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18,032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2.15 %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interest margin</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2.81 %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2.01 %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2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Ratio of average interest-earning assets to average interest bearing</w:t>
            </w: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110.96 %</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109.39 %</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Six Months Ended June 30,</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2024 vs. 2023 (as restated)</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color w:val="auto"/>
              </w:rPr>
              <w:t>Increase (Decrease) Due to</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Rate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4"/>
                <w:szCs w:val="14"/>
                <w:color w:val="auto"/>
                <w:w w:val="97"/>
              </w:rPr>
              <w:t>Volume</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11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10,285</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15,152</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Super NOW</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1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7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w:t>
            </w:r>
          </w:p>
        </w:tc>
        <w:tc>
          <w:tcPr>
            <w:tcW w:w="0" w:type="dxa"/>
            <w:vAlign w:val="bottom"/>
          </w:tcPr>
          <w:p>
            <w:pPr>
              <w:spacing w:after="0"/>
              <w:rPr>
                <w:sz w:val="1"/>
                <w:szCs w:val="1"/>
                <w:color w:val="auto"/>
              </w:rPr>
            </w:pPr>
          </w:p>
        </w:tc>
      </w:tr>
      <w:tr>
        <w:trPr>
          <w:trHeight w:val="17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5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580" w:type="dxa"/>
            <w:vAlign w:val="bottom"/>
          </w:tcPr>
          <w:p>
            <w:pPr>
              <w:spacing w:after="0"/>
              <w:rPr>
                <w:sz w:val="24"/>
                <w:szCs w:val="24"/>
                <w:color w:val="auto"/>
              </w:rPr>
            </w:pPr>
          </w:p>
        </w:tc>
        <w:tc>
          <w:tcPr>
            <w:tcW w:w="3360" w:type="dxa"/>
            <w:vAlign w:val="bottom"/>
            <w:tcBorders>
              <w:bottom w:val="single" w:sz="8" w:color="auto"/>
            </w:tcBorders>
            <w:gridSpan w:val="7"/>
          </w:tcPr>
          <w:p>
            <w:pPr>
              <w:ind w:lef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2024/2023 Increase/(Decrease)</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ind w:right="389"/>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1"/>
                <w:szCs w:val="11"/>
                <w:color w:val="auto"/>
              </w:rPr>
            </w:pPr>
          </w:p>
        </w:tc>
        <w:tc>
          <w:tcPr>
            <w:tcW w:w="130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1100" w:type="dxa"/>
            <w:vAlign w:val="bottom"/>
            <w:tcBorders>
              <w:top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1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(1034.3)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1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1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42,856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19,731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117.2</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gain on loans under the fair value option</w:t>
            </w:r>
          </w:p>
        </w:tc>
        <w:tc>
          <w:tcPr>
            <w:tcW w:w="1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11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1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8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16,930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12,462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86,641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six months ended June 30, 2024 and 2023, dividend income was dependent on the earnings of our joint ventures.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Loan Servicing Asset Revaluation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66" w:name="page67"/>
    <w:bookmarkEnd w:id="66"/>
    <w:p>
      <w:pPr>
        <w:ind w:right="80"/>
        <w:spacing w:after="0" w:line="245" w:lineRule="auto"/>
        <w:rPr>
          <w:sz w:val="20"/>
          <w:szCs w:val="20"/>
          <w:color w:val="auto"/>
        </w:rPr>
      </w:pPr>
      <w:r>
        <w:rPr>
          <w:rFonts w:ascii="Times New Roman" w:cs="Times New Roman" w:eastAsia="Times New Roman" w:hAnsi="Times New Roman"/>
          <w:sz w:val="14"/>
          <w:szCs w:val="14"/>
          <w:color w:val="auto"/>
        </w:rPr>
        <w:t>and Liabilities. The Company earns servicing fees from the guaranteed portions of SBA 7(a) loans it originates and sells and from servicing the ALP portfolios of NCL JV and TSO JV.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loan servicing asset revaluation is due to the decrease in NSBF’s total portfolio of investments during the wind-down.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 Net of Amortization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$221.9 million in the average total loan portfolio for which we earn servicing income period over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on sales of loans for the six months ended June 30, 2024 and 2023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5"/>
            <w:shd w:val="clear" w:color="auto" w:fill="CCEEFF"/>
          </w:tcPr>
          <w:p>
            <w:pPr>
              <w:ind w:left="50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June 30, 2023</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57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Amount</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Gains recognized on sales of loans</w:t>
            </w: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spacing w:after="0"/>
              <w:rPr>
                <w:sz w:val="15"/>
                <w:szCs w:val="15"/>
                <w:color w:val="auto"/>
              </w:rPr>
            </w:pPr>
          </w:p>
        </w:tc>
        <w:tc>
          <w:tcPr>
            <w:tcW w:w="90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44,753</w:t>
            </w:r>
          </w:p>
        </w:tc>
        <w:tc>
          <w:tcPr>
            <w:tcW w:w="100" w:type="dxa"/>
            <w:vAlign w:val="bottom"/>
          </w:tcPr>
          <w:p>
            <w:pPr>
              <w:spacing w:after="0"/>
              <w:rPr>
                <w:sz w:val="15"/>
                <w:szCs w:val="15"/>
                <w:color w:val="auto"/>
              </w:rPr>
            </w:pPr>
          </w:p>
        </w:tc>
        <w:tc>
          <w:tcPr>
            <w:tcW w:w="62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32,575</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recognized on sales of loans</w:t>
            </w:r>
          </w:p>
        </w:tc>
        <w:tc>
          <w:tcPr>
            <w:tcW w:w="8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(12,844)</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color w:val="auto"/>
              </w:rPr>
              <w:t>42,856</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color w:val="auto"/>
              </w:rPr>
              <w:t>19,731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6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gridSpan w:val="5"/>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5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2"/>
            <w:vMerge w:val="restart"/>
          </w:tcPr>
          <w:p>
            <w:pPr>
              <w:jc w:val="center"/>
              <w:ind w:left="294"/>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40" w:type="dxa"/>
            <w:vAlign w:val="bottom"/>
            <w:gridSpan w:val="2"/>
          </w:tcPr>
          <w:p>
            <w:pPr>
              <w:jc w:val="center"/>
              <w:ind w:right="81"/>
              <w:spacing w:after="0" w:line="102" w:lineRule="exact"/>
              <w:rPr>
                <w:sz w:val="20"/>
                <w:szCs w:val="20"/>
                <w:color w:val="auto"/>
              </w:rPr>
            </w:pPr>
            <w:r>
              <w:rPr>
                <w:rFonts w:ascii="Times New Roman" w:cs="Times New Roman" w:eastAsia="Times New Roman" w:hAnsi="Times New Roman"/>
                <w:sz w:val="11"/>
                <w:szCs w:val="11"/>
                <w:b w:val="1"/>
                <w:bCs w:val="1"/>
                <w:color w:val="auto"/>
              </w:rPr>
              <w:t>June 30, 2023</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0" w:type="dxa"/>
            <w:vAlign w:val="bottom"/>
            <w:tcBorders>
              <w:bottom w:val="single" w:sz="8" w:color="CCEEFF"/>
            </w:tcBorders>
          </w:tcPr>
          <w:p>
            <w:pPr>
              <w:spacing w:after="0"/>
              <w:rPr>
                <w:sz w:val="13"/>
                <w:szCs w:val="13"/>
                <w:color w:val="auto"/>
              </w:rPr>
            </w:pPr>
          </w:p>
        </w:tc>
        <w:tc>
          <w:tcPr>
            <w:tcW w:w="57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shd w:val="clear" w:color="auto" w:fill="CCEEFF"/>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1420" w:type="dxa"/>
            <w:vAlign w:val="bottom"/>
            <w:gridSpan w:val="2"/>
            <w:shd w:val="clear" w:color="auto" w:fill="CCEEFF"/>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28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SBA loans originated</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1,093</w:t>
            </w:r>
          </w:p>
        </w:tc>
        <w:tc>
          <w:tcPr>
            <w:tcW w:w="760" w:type="dxa"/>
            <w:vAlign w:val="bottom"/>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438,017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760" w:type="dxa"/>
            <w:vAlign w:val="bottom"/>
          </w:tcPr>
          <w:p>
            <w:pPr>
              <w:jc w:val="center"/>
              <w:ind w:right="36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343,769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guaranteed loans sold</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924</w:t>
            </w: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325,568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264,045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Average sale price as a percent of principal balance</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110.44 %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80" w:hanging="75"/>
        <w:spacing w:after="0" w:line="197" w:lineRule="auto"/>
        <w:tabs>
          <w:tab w:leader="none" w:pos="80"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2024, the average sale price as a percent of principal balance was 111.12% compared to 110.44% for the prior period. The increase in sales prices in 2024 resulted from higher demand. The increase in overall net gains on sales of loans resulted from higher volumes of sales compared to the prior year at better market premiums than the prior year.</w:t>
      </w:r>
    </w:p>
    <w:p>
      <w:pPr>
        <w:spacing w:after="0" w:line="13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During the wind-down of NSBF’s operations, NSBF will be required to continue to own its SBA 7(a) loans and PPP Loans in its SBA loan portfolio to maturity, liquidation, charge-off, or (subject to SBA’s prior written approval) sale or transfer. In addition, SBL will continue to service and liquidate NSBF’s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6"/>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Accounted for under the Fair Value Option</w:t>
            </w: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61"/>
        </w:trPr>
        <w:tc>
          <w:tcPr>
            <w:tcW w:w="76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for the six months ended June 30, 2024 and 2023 were as follows:</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3"/>
        </w:trPr>
        <w:tc>
          <w:tcPr>
            <w:tcW w:w="5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180"/>
        </w:trPr>
        <w:tc>
          <w:tcPr>
            <w:tcW w:w="58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40" w:type="dxa"/>
            <w:vAlign w:val="bottom"/>
            <w:gridSpan w:val="5"/>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For the six months ended</w:t>
            </w:r>
          </w:p>
        </w:tc>
        <w:tc>
          <w:tcPr>
            <w:tcW w:w="4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29"/>
        </w:trPr>
        <w:tc>
          <w:tcPr>
            <w:tcW w:w="5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389"/>
              <w:spacing w:after="0" w:line="129" w:lineRule="exact"/>
              <w:rPr>
                <w:sz w:val="20"/>
                <w:szCs w:val="20"/>
                <w:color w:val="auto"/>
              </w:rPr>
            </w:pPr>
            <w:r>
              <w:rPr>
                <w:rFonts w:ascii="Times New Roman" w:cs="Times New Roman" w:eastAsia="Times New Roman" w:hAnsi="Times New Roman"/>
                <w:sz w:val="14"/>
                <w:szCs w:val="14"/>
                <w:color w:val="auto"/>
              </w:rPr>
              <w:t>June 30, 2023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91"/>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June 30, 2024</w:t>
            </w:r>
          </w:p>
        </w:tc>
        <w:tc>
          <w:tcPr>
            <w:tcW w:w="460" w:type="dxa"/>
            <w:vAlign w:val="bottom"/>
          </w:tcPr>
          <w:p>
            <w:pPr>
              <w:spacing w:after="0"/>
              <w:rPr>
                <w:sz w:val="16"/>
                <w:szCs w:val="16"/>
                <w:color w:val="auto"/>
              </w:rPr>
            </w:pPr>
          </w:p>
        </w:tc>
        <w:tc>
          <w:tcPr>
            <w:tcW w:w="17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w w:val="99"/>
              </w:rPr>
              <w:t>(as restated)</w:t>
            </w:r>
          </w:p>
        </w:tc>
        <w:tc>
          <w:tcPr>
            <w:tcW w:w="400" w:type="dxa"/>
            <w:vAlign w:val="bottom"/>
          </w:tcPr>
          <w:p>
            <w:pPr>
              <w:spacing w:after="0"/>
              <w:rPr>
                <w:sz w:val="16"/>
                <w:szCs w:val="16"/>
                <w:color w:val="auto"/>
              </w:rPr>
            </w:pPr>
          </w:p>
        </w:tc>
        <w:tc>
          <w:tcPr>
            <w:tcW w:w="146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Change</w:t>
            </w:r>
          </w:p>
        </w:tc>
      </w:tr>
      <w:tr>
        <w:trPr>
          <w:trHeight w:val="171"/>
        </w:trPr>
        <w:tc>
          <w:tcPr>
            <w:tcW w:w="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(14,645)</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3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18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3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3,930</w:t>
            </w:r>
          </w:p>
        </w:tc>
      </w:tr>
      <w:tr>
        <w:trPr>
          <w:trHeight w:val="171"/>
        </w:trPr>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(10,364)</w:t>
            </w: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relates to the guaranteed portions of SBA loans made which the Company sells into a secondary market, the unguaranteed portions</w:t>
      </w:r>
    </w:p>
    <w:p>
      <w:pPr>
        <w:spacing w:after="0" w:line="21"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4"/>
          <w:szCs w:val="14"/>
          <w:color w:val="auto"/>
        </w:rPr>
        <w:t>of SBA loans made which the Company holds, SBA 504 loans that are held for sale, and ALP loans that are held for sale. This gain (loss) represents the fair value adjustment of loans</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The amount of the gain (loss) is determined by the quantity of loans held for sale at quarter end, the change in secondary market pricing conditions, and the valuation of the loans that are not held for sale.</w:t>
      </w:r>
    </w:p>
    <w:p>
      <w:pPr>
        <w:spacing w:after="0" w:line="148"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color w:val="auto"/>
        </w:rPr>
        <w:t>During the six months ended June 30, 2024, the Company recorded unrealized losses on SBA 7(a) unguaranteed loans accounted for under the fair value option as the portfolio paid down. During the first six months of 2023, the Company originated $154.6 million of SBA 7(a) loans and elected the fair value option on those loans, which led to increased gains.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IT Support Income</w:t>
      </w:r>
    </w:p>
    <w:p>
      <w:pPr>
        <w:spacing w:after="0" w:line="20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Technology and IT support income decreased by $2.1 million from $13.1 million for the six months ended June 30, 2023 to $10.9 million for the six months ended June 30, 2024. The overall decrease was due to a decrease in procurement and professional services revenue, offset by an increase in managed technology services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For the six months ended June 30, 2024 and 2023, other noninterest income was related primarily to legal, packaging, prepayment, and late fees earned from SBA 7(a) loans and increased as a result of the higher volume of SBA 7(a) loans originated of 1,093 loans compared to 721 loans for the six months ended June 30, 2024 and 2023, respectively. The increase also includes $3.4 million of gains on joint ventures and non-control investments for the six months ended June 30, 2024 compared to $2.7 million in the prior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3"/>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2024/2023 Increase/(Decrease)</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2"/>
                <w:szCs w:val="12"/>
                <w:color w:val="auto"/>
              </w:rPr>
            </w:pPr>
          </w:p>
        </w:tc>
        <w:tc>
          <w:tcPr>
            <w:tcW w:w="1400" w:type="dxa"/>
            <w:vAlign w:val="bottom"/>
            <w:gridSpan w:val="2"/>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2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1060" w:type="dxa"/>
            <w:vAlign w:val="bottom"/>
            <w:tcBorders>
              <w:top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ind w:right="11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8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Pr>
          <w:p>
            <w:pPr>
              <w:spacing w:after="0"/>
              <w:rPr>
                <w:sz w:val="15"/>
                <w:szCs w:val="15"/>
                <w:color w:val="auto"/>
              </w:rPr>
            </w:pPr>
          </w:p>
        </w:tc>
        <w:tc>
          <w:tcPr>
            <w:tcW w:w="1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5"/>
                <w:szCs w:val="15"/>
                <w:color w:val="auto"/>
              </w:rPr>
            </w:pPr>
          </w:p>
        </w:tc>
        <w:tc>
          <w:tcPr>
            <w:tcW w:w="19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Pr>
          <w:p>
            <w:pPr>
              <w:spacing w:after="0"/>
              <w:rPr>
                <w:sz w:val="15"/>
                <w:szCs w:val="15"/>
                <w:color w:val="auto"/>
              </w:rPr>
            </w:pPr>
          </w:p>
        </w:tc>
        <w:tc>
          <w:tcPr>
            <w:tcW w:w="1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10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9,440</w:t>
            </w:r>
          </w:p>
        </w:tc>
        <w:tc>
          <w:tcPr>
            <w:tcW w:w="8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7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10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81,723</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center"/>
              <w:ind w:right="11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76,800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80" w:type="dxa"/>
            <w:vAlign w:val="bottom"/>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gridSpan w:val="2"/>
          </w:tcPr>
          <w:p>
            <w:pPr>
              <w:jc w:val="center"/>
              <w:ind w:right="1029"/>
              <w:spacing w:after="0"/>
              <w:rPr>
                <w:sz w:val="20"/>
                <w:szCs w:val="20"/>
                <w:color w:val="auto"/>
              </w:rPr>
            </w:pPr>
            <w:r>
              <w:rPr>
                <w:rFonts w:ascii="Times New Roman" w:cs="Times New Roman" w:eastAsia="Times New Roman" w:hAnsi="Times New Roman"/>
                <w:sz w:val="14"/>
                <w:szCs w:val="14"/>
                <w:color w:val="auto"/>
                <w:w w:val="99"/>
              </w:rPr>
              <w:t>68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Employee Benefits Expense</w:t>
      </w:r>
    </w:p>
    <w:p>
      <w:pPr>
        <w:spacing w:after="0" w:line="20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increase in salaries and employee benefits was primarily attributable to an increase in entity headcount from 534 employees at June 30, 2023 to 567 employees at June 30, 2024, as well as an increase in the bonus pool accrual.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Electronic Payment Processing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$1.2 million increase in electronic payment processing expense corresponded with the increase in electronic payment processing revenue of $2.6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Services Expense</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increase in professional services expense period over period is primarily attributable to additional audit fees related to the completion of the Company’s first annual audit as a financial holding company after the Acquisition of NBNYC and related audit services, including internal and external audit of controls and procedures.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02"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The decrease in depreciation and amortization period over period is primarily attributable to the full amortization of intangible assets during the second half of 2023, which resulted in less amortization in 2024 compared to the prior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four reportable segments Banking, Technology, NSBF, and Payments. A description of each segment and the methodologies used to measure financial performance is described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18—SEGMENTS in the accompanying Notes to the Consolidated Financial Statements. Net income (loss) by operating segment is presented below:</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1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3"/>
          </w:tcPr>
          <w:p>
            <w:pPr>
              <w:jc w:val="right"/>
              <w:ind w:right="1209"/>
              <w:spacing w:after="0"/>
              <w:rPr>
                <w:sz w:val="20"/>
                <w:szCs w:val="20"/>
                <w:color w:val="auto"/>
              </w:rPr>
            </w:pPr>
            <w:r>
              <w:rPr>
                <w:rFonts w:ascii="Times New Roman" w:cs="Times New Roman" w:eastAsia="Times New Roman" w:hAnsi="Times New Roman"/>
                <w:sz w:val="14"/>
                <w:szCs w:val="14"/>
                <w:color w:val="auto"/>
              </w:rPr>
              <w:t>2024/2023 Increase/(Decrease)</w:t>
            </w:r>
          </w:p>
        </w:tc>
      </w:tr>
      <w:tr>
        <w:trPr>
          <w:trHeight w:val="129"/>
        </w:trPr>
        <w:tc>
          <w:tcPr>
            <w:tcW w:w="2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jc w:val="center"/>
              <w:ind w:right="489"/>
              <w:spacing w:after="0" w:line="129" w:lineRule="exact"/>
              <w:rPr>
                <w:sz w:val="20"/>
                <w:szCs w:val="20"/>
                <w:color w:val="auto"/>
              </w:rPr>
            </w:pPr>
            <w:r>
              <w:rPr>
                <w:rFonts w:ascii="Times New Roman" w:cs="Times New Roman" w:eastAsia="Times New Roman" w:hAnsi="Times New Roman"/>
                <w:sz w:val="14"/>
                <w:szCs w:val="14"/>
                <w:color w:val="auto"/>
                <w:w w:val="99"/>
              </w:rPr>
              <w:t>June 30, 2023</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91"/>
        </w:trPr>
        <w:tc>
          <w:tcPr>
            <w:tcW w:w="268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4"/>
                <w:szCs w:val="14"/>
                <w:color w:val="auto"/>
              </w:rPr>
              <w:t>June 30, 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(as restated)</w:t>
            </w:r>
          </w:p>
        </w:tc>
        <w:tc>
          <w:tcPr>
            <w:tcW w:w="440" w:type="dxa"/>
            <w:vAlign w:val="bottom"/>
          </w:tcPr>
          <w:p>
            <w:pPr>
              <w:spacing w:after="0"/>
              <w:rPr>
                <w:sz w:val="16"/>
                <w:szCs w:val="16"/>
                <w:color w:val="auto"/>
              </w:rPr>
            </w:pPr>
          </w:p>
        </w:tc>
        <w:tc>
          <w:tcPr>
            <w:tcW w:w="1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Amount</w:t>
            </w:r>
          </w:p>
        </w:tc>
        <w:tc>
          <w:tcPr>
            <w:tcW w:w="21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Percent</w:t>
            </w:r>
          </w:p>
        </w:tc>
      </w:tr>
      <w:tr>
        <w:trPr>
          <w:trHeight w:val="171"/>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w:t>
            </w:r>
          </w:p>
        </w:tc>
        <w:tc>
          <w:tcPr>
            <w:tcW w:w="1480" w:type="dxa"/>
            <w:vAlign w:val="bottom"/>
            <w:tcBorders>
              <w:top w:val="single" w:sz="8" w:color="auto"/>
            </w:tcBorders>
            <w:shd w:val="clear" w:color="auto" w:fill="CCEEFF"/>
          </w:tcPr>
          <w:p>
            <w:pPr>
              <w:jc w:val="right"/>
              <w:ind w:right="135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21,854</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8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Technology</w:t>
            </w:r>
          </w:p>
        </w:tc>
        <w:tc>
          <w:tcPr>
            <w:tcW w:w="14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NSBF</w:t>
            </w:r>
          </w:p>
        </w:tc>
        <w:tc>
          <w:tcPr>
            <w:tcW w:w="14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(27,306)</w:t>
            </w: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0"/>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Payments</w:t>
            </w:r>
          </w:p>
        </w:tc>
        <w:tc>
          <w:tcPr>
            <w:tcW w:w="14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8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r>
      <w:tr>
        <w:trPr>
          <w:trHeight w:val="18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80" w:type="dxa"/>
            <w:vAlign w:val="bottom"/>
            <w:shd w:val="clear" w:color="auto" w:fill="CCEEFF"/>
          </w:tcPr>
          <w:p>
            <w:pPr>
              <w:spacing w:after="0"/>
              <w:rPr>
                <w:sz w:val="15"/>
                <w:szCs w:val="15"/>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1"/>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148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20,595</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25,561</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(4,966)</w:t>
            </w:r>
          </w:p>
        </w:tc>
        <w:tc>
          <w:tcPr>
            <w:tcW w:w="80" w:type="dxa"/>
            <w:vAlign w:val="bottom"/>
          </w:tcPr>
          <w:p>
            <w:pPr>
              <w:spacing w:after="0"/>
              <w:rPr>
                <w:sz w:val="14"/>
                <w:szCs w:val="14"/>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2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u w:val="single" w:color="auto"/>
          <w:color w:val="auto"/>
        </w:rPr>
        <w:t>Banking</w:t>
      </w:r>
      <w:r>
        <w:rPr>
          <w:rFonts w:ascii="Times New Roman" w:cs="Times New Roman" w:eastAsia="Times New Roman" w:hAnsi="Times New Roman"/>
          <w:sz w:val="14"/>
          <w:szCs w:val="14"/>
          <w:color w:val="auto"/>
        </w:rPr>
        <w:t xml:space="preserve"> - The banking segment includes Newtek Bank as well as its consolidated subsidiary SBL. The financial results include the origination, sale, and servicing of SBA 7(a) loans, 504 loans, C&amp;I loans, CRE loans and ABL loans. In addition, the bank offers depository services. The results include $17.0 million of net interest income during the six months ended June 30, 2024 compared to $6.0 million of net interest income during the six months ended June 30, 2023. During the first two quarters of 2024, the majority of loans were funded by Newtek Bank compared to the first two quarters of 2023, when most loans were funded by NSBF until it went into wind-down on April 13, 2023.</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u w:val="single" w:color="auto"/>
          <w:color w:val="auto"/>
        </w:rPr>
        <w:t>Technology</w:t>
      </w:r>
      <w:r>
        <w:rPr>
          <w:rFonts w:ascii="Times New Roman" w:cs="Times New Roman" w:eastAsia="Times New Roman" w:hAnsi="Times New Roman"/>
          <w:sz w:val="14"/>
          <w:szCs w:val="14"/>
          <w:color w:val="auto"/>
        </w:rPr>
        <w:t xml:space="preserve"> - Technology (NTS)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NTS by January 6, 2025, subject to any extension.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NSBF</w:t>
      </w:r>
      <w:r>
        <w:rPr>
          <w:rFonts w:ascii="Times New Roman" w:cs="Times New Roman" w:eastAsia="Times New Roman" w:hAnsi="Times New Roman"/>
          <w:sz w:val="14"/>
          <w:szCs w:val="14"/>
          <w:color w:val="auto"/>
        </w:rPr>
        <w:t xml:space="preserve"> - Relates to NSBF’s legacy portfolio of SBA 7(a) loans held outside Newtek Bank. The decrease in net income is due to the wind-down of NSBF’s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69" w:name="page70"/>
    <w:bookmarkEnd w:id="69"/>
    <w:p>
      <w:pPr>
        <w:jc w:val="both"/>
        <w:ind w:right="180"/>
        <w:spacing w:after="0" w:line="254" w:lineRule="auto"/>
        <w:rPr>
          <w:sz w:val="20"/>
          <w:szCs w:val="20"/>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 Payments includes NMS, POS and Mobil Money. Within the segment’s results are $26.4 million of noninterest income for the six months ended June 30, 2024 resulting from marketing credit and debit card processing services, check approval services, processing equipment, and software, compared to $22.8 million during the six months ended June 30, 2023. The net income also included $17.1 million and $16.2 million of noninterest expense for the six months ended June 30, 2024 and 2023, respectively.</w:t>
      </w:r>
    </w:p>
    <w:p>
      <w:pPr>
        <w:spacing w:after="0" w:line="157"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4"/>
          <w:szCs w:val="14"/>
          <w:u w:val="single" w:color="auto"/>
          <w:color w:val="auto"/>
        </w:rPr>
        <w:t>Corporate and Other</w:t>
      </w:r>
      <w:r>
        <w:rPr>
          <w:rFonts w:ascii="Times New Roman" w:cs="Times New Roman" w:eastAsia="Times New Roman" w:hAnsi="Times New Roman"/>
          <w:sz w:val="14"/>
          <w:szCs w:val="14"/>
          <w:color w:val="auto"/>
        </w:rPr>
        <w:t xml:space="preserve"> - Represents operations not considered to be reportable segments and/or general operating expenses of the Company, and includes the parent company, other non-bank subsidiaries including NIA, PMT, non-bank lending, including Holdco 6 and our joint ventures, and elimination adjustments to reconcile the results of the operating segments to the consolidated financial statements prepared in conformity with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Comparison of the three months ended June 30, 2024 and 2023</w:t>
      </w:r>
    </w:p>
    <w:p>
      <w:pPr>
        <w:spacing w:after="0" w:line="18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As disclosed in our 2023 Form 10-K, the Company’s prior year condensed, comparative financial statements have been adjusted to correct errors made in the Company’s financial statements previously issued for the first, second, and third quarters of 2023. Results for the three months ended June 30, 2024 are presented as restated. Refer to our 2023 Form 10-K for further detail.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Summary</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2024, the Company reported net income of $10.9 million, or $0.43 per basic and diluted share, compared to net income of $7.0 million, or $0.27 per basic and diluted share, for the three months ended June 30,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net income was attributable to the following items:</w:t>
      </w:r>
    </w:p>
    <w:p>
      <w:pPr>
        <w:spacing w:after="0" w:line="3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34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CCEEFF"/>
            </w:tcBorders>
            <w:gridSpan w:val="2"/>
            <w:vMerge w:val="restart"/>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CCEEFF"/>
            </w:tcBorders>
            <w:vMerge w:val="restart"/>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4340" w:type="dxa"/>
            <w:vAlign w:val="bottom"/>
            <w:shd w:val="clear" w:color="auto" w:fill="CCEEFF"/>
          </w:tcPr>
          <w:p>
            <w:pPr>
              <w:spacing w:after="0"/>
              <w:rPr>
                <w:sz w:val="16"/>
                <w:szCs w:val="16"/>
                <w:color w:val="auto"/>
              </w:rPr>
            </w:pPr>
          </w:p>
        </w:tc>
        <w:tc>
          <w:tcPr>
            <w:tcW w:w="242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7,735</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37,777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before taxes</w:t>
            </w: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34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3320" w:type="dxa"/>
            <w:vAlign w:val="bottom"/>
            <w:gridSpan w:val="3"/>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69"/>
              <w:spacing w:after="0" w:line="133"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332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securities available-for-sale</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40" w:type="dxa"/>
            <w:vAlign w:val="bottom"/>
          </w:tcPr>
          <w:p>
            <w:pPr>
              <w:spacing w:after="0"/>
              <w:rPr>
                <w:sz w:val="15"/>
                <w:szCs w:val="15"/>
                <w:color w:val="auto"/>
              </w:rPr>
            </w:pPr>
          </w:p>
        </w:tc>
        <w:tc>
          <w:tcPr>
            <w:tcW w:w="3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Loans and fees on loans</w:t>
            </w: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7,166</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interest earning assets</w:t>
            </w:r>
          </w:p>
        </w:tc>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interest income</w:t>
            </w: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Deposits</w:t>
            </w:r>
          </w:p>
        </w:tc>
        <w:tc>
          <w:tcPr>
            <w:tcW w:w="2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0" w:type="dxa"/>
            <w:vAlign w:val="bottom"/>
          </w:tcPr>
          <w:p>
            <w:pPr>
              <w:spacing w:after="0"/>
              <w:rPr>
                <w:sz w:val="1"/>
                <w:szCs w:val="1"/>
                <w:color w:val="auto"/>
              </w:rPr>
            </w:pPr>
          </w:p>
        </w:tc>
      </w:tr>
      <w:tr>
        <w:trPr>
          <w:trHeight w:val="180"/>
        </w:trPr>
        <w:tc>
          <w:tcPr>
            <w:tcW w:w="4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Notes and securitizations</w:t>
            </w: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Bank and FHLB borrowings</w:t>
            </w:r>
          </w:p>
        </w:tc>
        <w:tc>
          <w:tcPr>
            <w:tcW w:w="2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interest expense</w:t>
            </w:r>
          </w:p>
        </w:tc>
        <w:tc>
          <w:tcPr>
            <w:tcW w:w="2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20,227</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3,224</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849"/>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3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4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7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Loans and fees on loans: </w:t>
      </w:r>
      <w:r>
        <w:rPr>
          <w:rFonts w:ascii="Times New Roman" w:cs="Times New Roman" w:eastAsia="Times New Roman" w:hAnsi="Times New Roman"/>
          <w:sz w:val="14"/>
          <w:szCs w:val="14"/>
          <w:color w:val="auto"/>
        </w:rPr>
        <w:t>The $7.2 million increase in interest income on the Company’s loan portfolio was attributable to an increase in interest rates as well as the average outstanding accrual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of loans held for investment increasing to $1.1 billion from $609.8 million for the three months ended June 30, 2024 and 2023, respectively. The increase in the average outstanding accrual loan portfolio resulted from the origination of new SBA 7(A) loans period over period.</w:t>
      </w:r>
    </w:p>
    <w:p>
      <w:pPr>
        <w:spacing w:after="0" w:line="134"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interest earning assets: </w:t>
      </w:r>
      <w:r>
        <w:rPr>
          <w:rFonts w:ascii="Times New Roman" w:cs="Times New Roman" w:eastAsia="Times New Roman" w:hAnsi="Times New Roman"/>
          <w:sz w:val="14"/>
          <w:szCs w:val="14"/>
          <w:color w:val="auto"/>
        </w:rPr>
        <w:t>The $0.3 million decrease in interest income from other interest earnings assets was attributable to a decrease in the average quarterly outstanding balance of interest-earning balances in other banks.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interest expense by facility for the three months ended June 30, 2024 and 2023:</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8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June 30, 2024</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 June 30, 2023</w:t>
            </w:r>
          </w:p>
        </w:tc>
        <w:tc>
          <w:tcPr>
            <w:tcW w:w="240" w:type="dxa"/>
            <w:vAlign w:val="bottom"/>
          </w:tcPr>
          <w:p>
            <w:pPr>
              <w:spacing w:after="0"/>
              <w:rPr>
                <w:sz w:val="11"/>
                <w:szCs w:val="11"/>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86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0" w:type="dxa"/>
            <w:vAlign w:val="bottom"/>
          </w:tcPr>
          <w:p>
            <w:pPr>
              <w:spacing w:after="0"/>
              <w:rPr>
                <w:sz w:val="1"/>
                <w:szCs w:val="1"/>
                <w:color w:val="auto"/>
              </w:rPr>
            </w:pPr>
          </w:p>
        </w:tc>
      </w:tr>
      <w:tr>
        <w:trPr>
          <w:trHeight w:val="180"/>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 and securitizations:</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payable - Securitization Trusts</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2024</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 Notes</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2025</w:t>
            </w:r>
          </w:p>
        </w:tc>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8.125% Notes</w:t>
            </w: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2026</w:t>
            </w:r>
          </w:p>
        </w:tc>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44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4"/>
                <w:szCs w:val="14"/>
                <w:color w:val="auto"/>
              </w:rPr>
              <w:t>2028 Notes</w:t>
            </w:r>
            <w:r>
              <w:rPr>
                <w:rFonts w:ascii="Times New Roman" w:cs="Times New Roman" w:eastAsia="Times New Roman" w:hAnsi="Times New Roman"/>
                <w:sz w:val="18"/>
                <w:szCs w:val="18"/>
                <w:color w:val="auto"/>
                <w:vertAlign w:val="superscript"/>
              </w:rPr>
              <w:t>1</w:t>
            </w: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2029 Notes</w:t>
            </w:r>
            <w:r>
              <w:rPr>
                <w:rFonts w:ascii="Times New Roman" w:cs="Times New Roman" w:eastAsia="Times New Roman" w:hAnsi="Times New Roman"/>
                <w:sz w:val="18"/>
                <w:szCs w:val="18"/>
                <w:color w:val="auto"/>
                <w:vertAlign w:val="superscript"/>
              </w:rPr>
              <w:t>2</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80"/>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Bank and FHLB Borrowings:</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 notes payable</w:t>
            </w: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FHLB Advances</w:t>
            </w: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0" w:type="dxa"/>
            <w:vAlign w:val="bottom"/>
          </w:tcPr>
          <w:p>
            <w:pPr>
              <w:spacing w:after="0"/>
              <w:rPr>
                <w:sz w:val="1"/>
                <w:szCs w:val="1"/>
                <w:color w:val="auto"/>
              </w:rPr>
            </w:pPr>
          </w:p>
        </w:tc>
      </w:tr>
      <w:tr>
        <w:trPr>
          <w:trHeight w:val="20"/>
        </w:trPr>
        <w:tc>
          <w:tcPr>
            <w:tcW w:w="4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00" w:right="260" w:hanging="195"/>
        <w:spacing w:after="0" w:line="263" w:lineRule="auto"/>
        <w:tabs>
          <w:tab w:leader="none" w:pos="20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31, 2023, the Company completed a public offering of $40.0 million aggregate principal amount of 8.00% notes due 2028. The Notes will mature on September 1, 2028. The Notes bear interest at a rate of 8.000% per year, payable quarterly on March 1, June 1, September 1, and December 1 each year, commencing on December 1, 2023.</w:t>
      </w:r>
    </w:p>
    <w:p>
      <w:pPr>
        <w:ind w:left="200" w:right="140" w:hanging="195"/>
        <w:spacing w:after="0" w:line="259" w:lineRule="auto"/>
        <w:tabs>
          <w:tab w:leader="none" w:pos="20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30, 2024, the Company completed a public offering of $62.5 million aggregate principal amount of 8.500% notes due 2029, and on June 3, 2024, the underwriters exercised their option to purchase an additional $9.4 million in aggregate principal amount of the 2029 Notes. The Notes will mature on June 1, 2029. The Notes bear interest at a rate of 8.500% per year, payable quarterly on March 1, June 1, September 1, and December 1 each year, commencing on September 1, 2024.</w:t>
      </w:r>
    </w:p>
    <w:p>
      <w:pPr>
        <w:spacing w:after="0" w:line="16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The increase in interest expense period over period is primarily due to the Company’s continued growth in deposits that increased interest expense by $2.8 million. In addition, there was additional interest expense on the 2028 and 2029 Notes of $0.9 million and $0.6 million, respectively, as well as the Notes payable - Securitization Trusts of $0.6 million. The increase was partially offset by a reduction in the Bank notes payable interest of $1.5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spacing w:after="0" w:line="12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2024 and 2023, there was a provision for loan credit losses of $5.8 million and $2.6 million, respectively. The increase was due to an increase in loans held for investment at amortized cost, specifically SBA 7(a) loans, as well as a sequential build of the provision year over year.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 and Margin</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Average Balances and Yields. </w:t>
      </w:r>
      <w:r>
        <w:rPr>
          <w:rFonts w:ascii="Times New Roman" w:cs="Times New Roman" w:eastAsia="Times New Roman" w:hAnsi="Times New Roman"/>
          <w:sz w:val="14"/>
          <w:szCs w:val="14"/>
          <w:color w:val="auto"/>
        </w:rPr>
        <w:t>The following table presents information regarding average balances for assets and liabilities, the total dollar amounts of interest income and dividends from average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6"/>
          </w:tcPr>
          <w:p>
            <w:pPr>
              <w:jc w:val="center"/>
              <w:ind w:right="9"/>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649"/>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(as restated)</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4"/>
                <w:szCs w:val="14"/>
                <w:color w:val="auto"/>
              </w:rPr>
              <w:t>Average Yield /</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Balance</w:t>
            </w:r>
          </w:p>
        </w:tc>
        <w:tc>
          <w:tcPr>
            <w:tcW w:w="2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Interest</w:t>
            </w: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Balance</w:t>
            </w:r>
          </w:p>
        </w:tc>
        <w:tc>
          <w:tcPr>
            <w:tcW w:w="12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0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Rate</w:t>
            </w:r>
          </w:p>
        </w:tc>
        <w:tc>
          <w:tcPr>
            <w:tcW w:w="0" w:type="dxa"/>
            <w:vAlign w:val="bottom"/>
          </w:tcPr>
          <w:p>
            <w:pPr>
              <w:spacing w:after="0"/>
              <w:rPr>
                <w:sz w:val="1"/>
                <w:szCs w:val="1"/>
                <w:color w:val="auto"/>
              </w:rPr>
            </w:pPr>
          </w:p>
        </w:tc>
      </w:tr>
      <w:tr>
        <w:trPr>
          <w:trHeight w:val="16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171,932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218,160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8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w:t>
            </w:r>
          </w:p>
        </w:tc>
        <w:tc>
          <w:tcPr>
            <w:tcW w:w="8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926,555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20,638</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767,293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15,686</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1,356,956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29,353</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1,132,395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22,553</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 on loans</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Noninterest earning assets</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210,229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211,463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1,551,009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1,341,165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31,123</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21,473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0.30 %</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Super NOW</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252,793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5"/>
                <w:szCs w:val="15"/>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w:t>
            </w: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260,795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216,551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569,360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6,865</w:t>
            </w:r>
          </w:p>
        </w:tc>
        <w:tc>
          <w:tcPr>
            <w:tcW w:w="8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8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13,362</w:t>
            </w:r>
          </w:p>
        </w:tc>
        <w:tc>
          <w:tcPr>
            <w:tcW w:w="8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677,188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1,225,473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20,227</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1,044,989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16,880</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7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1,551,009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1,341,165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2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interest income and interest rate spread</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9,126</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2.06 %</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5,673</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Net interest margin</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2.70 %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2.01 %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28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Ratio of average interest-earning assets to average interest bearing</w:t>
            </w: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110.73 %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108.36 %</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color w:val="auto"/>
        </w:rPr>
        <w:t>Rate/Volume Analysis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0"/>
          </w:tcPr>
          <w:p>
            <w:pPr>
              <w:jc w:val="center"/>
              <w:ind w:left="709"/>
              <w:spacing w:after="0"/>
              <w:rPr>
                <w:sz w:val="20"/>
                <w:szCs w:val="20"/>
                <w:color w:val="auto"/>
              </w:rPr>
            </w:pPr>
            <w:r>
              <w:rPr>
                <w:rFonts w:ascii="Times New Roman" w:cs="Times New Roman" w:eastAsia="Times New Roman" w:hAnsi="Times New Roman"/>
                <w:sz w:val="14"/>
                <w:szCs w:val="14"/>
                <w:color w:val="auto"/>
              </w:rPr>
              <w:t>For the three months ended June 30, 2024</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color w:val="auto"/>
              </w:rPr>
              <w:t>2024 vs. 2023 (as restated)</w:t>
            </w: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Increase (Decrease) Due to</w:t>
            </w: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color w:val="auto"/>
              </w:rPr>
              <w:t>Rate</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4"/>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color w:val="auto"/>
                <w:w w:val="97"/>
              </w:rPr>
              <w:t>Volume</w:t>
            </w: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Interest-earning balances in other banks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(369)</w:t>
            </w:r>
          </w:p>
        </w:tc>
        <w:tc>
          <w:tcPr>
            <w:tcW w:w="34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(1,865)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8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0" w:type="dxa"/>
            <w:vAlign w:val="bottom"/>
          </w:tcPr>
          <w:p>
            <w:pPr>
              <w:spacing w:after="0"/>
              <w:rPr>
                <w:sz w:val="1"/>
                <w:szCs w:val="1"/>
                <w:color w:val="auto"/>
              </w:rPr>
            </w:pPr>
          </w:p>
        </w:tc>
      </w:tr>
      <w:tr>
        <w:trPr>
          <w:trHeight w:val="212"/>
        </w:trPr>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Super NOW</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8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8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0" w:type="dxa"/>
            <w:vAlign w:val="bottom"/>
          </w:tcPr>
          <w:p>
            <w:pPr>
              <w:spacing w:after="0"/>
              <w:rPr>
                <w:sz w:val="1"/>
                <w:szCs w:val="1"/>
                <w:color w:val="auto"/>
              </w:rPr>
            </w:pPr>
          </w:p>
        </w:tc>
      </w:tr>
      <w:tr>
        <w:trPr>
          <w:trHeight w:val="17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(1,833)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220" w:type="dxa"/>
            <w:vAlign w:val="bottom"/>
          </w:tcPr>
          <w:p>
            <w:pPr>
              <w:spacing w:after="0"/>
              <w:rPr>
                <w:sz w:val="24"/>
                <w:szCs w:val="24"/>
                <w:color w:val="auto"/>
              </w:rPr>
            </w:pPr>
          </w:p>
        </w:tc>
        <w:tc>
          <w:tcPr>
            <w:tcW w:w="29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6"/>
          </w:tcPr>
          <w:p>
            <w:pPr>
              <w:jc w:val="right"/>
              <w:ind w:right="589"/>
              <w:spacing w:after="0"/>
              <w:rPr>
                <w:sz w:val="20"/>
                <w:szCs w:val="20"/>
                <w:color w:val="auto"/>
              </w:rPr>
            </w:pPr>
            <w:r>
              <w:rPr>
                <w:rFonts w:ascii="Times New Roman" w:cs="Times New Roman" w:eastAsia="Times New Roman" w:hAnsi="Times New Roman"/>
                <w:sz w:val="14"/>
                <w:szCs w:val="14"/>
                <w:color w:val="auto"/>
              </w:rPr>
              <w:t>2024/2023 Increase/(Decrease)</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469"/>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(as restated)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420" w:type="dxa"/>
            <w:vAlign w:val="bottom"/>
          </w:tcPr>
          <w:p>
            <w:pPr>
              <w:spacing w:after="0"/>
              <w:rPr>
                <w:sz w:val="16"/>
                <w:szCs w:val="16"/>
                <w:color w:val="auto"/>
              </w:rPr>
            </w:pPr>
          </w:p>
        </w:tc>
        <w:tc>
          <w:tcPr>
            <w:tcW w:w="108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7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income</w:t>
            </w:r>
          </w:p>
        </w:tc>
        <w:tc>
          <w:tcPr>
            <w:tcW w:w="880" w:type="dxa"/>
            <w:vAlign w:val="bottom"/>
            <w:tcBorders>
              <w:top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servicing asset revaluation</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248.7</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Servicing income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gain on loans under the fair value option</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(166.3)</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and IT support income</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income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noninterest income</w:t>
            </w: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44,285</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7,735</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June 30, 2024 and 2023, dividend income was dependent on the earnings of our joint ventures.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i w:val="1"/>
          <w:iCs w:val="1"/>
          <w:color w:val="auto"/>
        </w:rPr>
        <w:t>Loan Servicing Asset Revaluation</w:t>
      </w:r>
    </w:p>
    <w:p>
      <w:pPr>
        <w:spacing w:after="0" w:line="17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color w:val="auto"/>
        </w:rPr>
        <w:t>The Company accounts for servicing assets in accordance with ASC Topic 860-50 - Transfers and Servicing - Servicing Assets and Liabilities. The Company earns servicing fees from the guaranteed portions of SBA 7(a) loans it originates and sells and from servicing the ALP portfolios owned by NCL JV and TSO JV.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loan servicing asset revaluation is due to the runoff of the servicing asset since NSBF is no longer originating loans during its wind-down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Servicing Income, Net of Amortization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servicing income was related to an increase of $231.8 million in the average total loan portfolio for which we earn servicing income period over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Gains on Sales of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gains on sales of loans for the three months ended June 30, 2024 and 2023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June 30, 2023</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 Amount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Gains recognized on sales of loans</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23,976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18,693</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Losses recognized on sales of loans</w:t>
            </w: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color w:val="auto"/>
              </w:rPr>
              <w:t>(5,329)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sales of loans</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22,564</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13,364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gridSpan w:val="2"/>
          </w:tcPr>
          <w:p>
            <w:pPr>
              <w:jc w:val="center"/>
              <w:ind w:right="81"/>
              <w:spacing w:after="0" w:line="106" w:lineRule="exact"/>
              <w:rPr>
                <w:sz w:val="20"/>
                <w:szCs w:val="20"/>
                <w:color w:val="auto"/>
              </w:rPr>
            </w:pPr>
            <w:r>
              <w:rPr>
                <w:rFonts w:ascii="Times New Roman" w:cs="Times New Roman" w:eastAsia="Times New Roman" w:hAnsi="Times New Roman"/>
                <w:sz w:val="11"/>
                <w:szCs w:val="11"/>
                <w:b w:val="1"/>
                <w:bCs w:val="1"/>
                <w:color w:val="auto"/>
              </w:rPr>
              <w:t>June 30, 2023</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320" w:type="dxa"/>
            <w:vAlign w:val="bottom"/>
          </w:tcPr>
          <w:p>
            <w:pPr>
              <w:spacing w:after="0"/>
              <w:rPr>
                <w:sz w:val="13"/>
                <w:szCs w:val="13"/>
                <w:color w:val="auto"/>
              </w:rPr>
            </w:pPr>
          </w:p>
        </w:tc>
        <w:tc>
          <w:tcPr>
            <w:tcW w:w="1420" w:type="dxa"/>
            <w:vAlign w:val="bottom"/>
            <w:gridSpan w:val="2"/>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0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of Loans</w:t>
            </w:r>
          </w:p>
        </w:tc>
        <w:tc>
          <w:tcPr>
            <w:tcW w:w="280" w:type="dxa"/>
            <w:vAlign w:val="bottom"/>
          </w:tcPr>
          <w:p>
            <w:pPr>
              <w:spacing w:after="0"/>
              <w:rPr>
                <w:sz w:val="13"/>
                <w:szCs w:val="13"/>
                <w:color w:val="auto"/>
              </w:rPr>
            </w:pPr>
          </w:p>
        </w:tc>
        <w:tc>
          <w:tcPr>
            <w:tcW w:w="1480" w:type="dxa"/>
            <w:vAlign w:val="bottom"/>
            <w:gridSpan w:val="2"/>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 Amount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loans originated</w:t>
            </w: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604</w:t>
            </w:r>
          </w:p>
        </w:tc>
        <w:tc>
          <w:tcPr>
            <w:tcW w:w="76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226,513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760" w:type="dxa"/>
            <w:vAlign w:val="bottom"/>
            <w:shd w:val="clear" w:color="auto" w:fill="CCEEFF"/>
          </w:tcPr>
          <w:p>
            <w:pPr>
              <w:jc w:val="center"/>
              <w:ind w:right="36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195,858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SBA guaranteed loans sold</w:t>
            </w:r>
          </w:p>
        </w:tc>
        <w:tc>
          <w:tcPr>
            <w:tcW w:w="560" w:type="dxa"/>
            <w:vAlign w:val="bottom"/>
          </w:tcPr>
          <w:p>
            <w:pPr>
              <w:spacing w:after="0"/>
              <w:rPr>
                <w:sz w:val="15"/>
                <w:szCs w:val="15"/>
                <w:color w:val="auto"/>
              </w:rPr>
            </w:pP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516</w:t>
            </w:r>
          </w:p>
        </w:tc>
        <w:tc>
          <w:tcPr>
            <w:tcW w:w="760" w:type="dxa"/>
            <w:vAlign w:val="bottom"/>
          </w:tcPr>
          <w:p>
            <w:pPr>
              <w:spacing w:after="0"/>
              <w:rPr>
                <w:sz w:val="15"/>
                <w:szCs w:val="15"/>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169,152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760" w:type="dxa"/>
            <w:vAlign w:val="bottom"/>
          </w:tcPr>
          <w:p>
            <w:pPr>
              <w:spacing w:after="0"/>
              <w:rPr>
                <w:sz w:val="15"/>
                <w:szCs w:val="15"/>
                <w:color w:val="auto"/>
              </w:rPr>
            </w:pPr>
          </w:p>
        </w:tc>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154,494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gridSpan w:val="3"/>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Average sale price as a percent of principal balance</w:t>
            </w:r>
            <w:r>
              <w:rPr>
                <w:rFonts w:ascii="Times New Roman" w:cs="Times New Roman" w:eastAsia="Times New Roman" w:hAnsi="Times New Roman"/>
                <w:sz w:val="18"/>
                <w:szCs w:val="18"/>
                <w:color w:val="auto"/>
                <w:vertAlign w:val="superscript"/>
              </w:rPr>
              <w:t>1</w:t>
            </w: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111.02 %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110.15 %</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0" w:hanging="75"/>
        <w:spacing w:after="0"/>
        <w:tabs>
          <w:tab w:leader="none" w:pos="80"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Realized gains greater than 110.00% must be split 50/50 with the SBA in accordance with SBA regulations. The realized gains recognized above reflect amounts net of split with the SBA.</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the three months ended June 30, 2024, the average sale price as a percent of principal balance was 111.02% compared to 110.15% for the prior period. The increase in sales prices in 2024 resulted from higher demand. The increase in overall net gains on sales of loans resulted from higher volumes of sales at better market premiums compared to the prior year.</w:t>
      </w:r>
    </w:p>
    <w:p>
      <w:pPr>
        <w:spacing w:after="0" w:line="14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During the wind-down of NSBF’s operations, NSBF will be required to continue to own its SBA 7(a) loans and PPP Loans in its SBA loan portfolio to maturity, liquidation, charge-off, or (subject to SBA’s prior written approval), sale or transfer. In addition, SBL will continue to service and liquidate NSBF’s SBA Loan Portfolio, including processing forgiveness and loan reviews for PPP Loans, pursuant to an SBA approved lender service provider agreement.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6"/>
        </w:trPr>
        <w:tc>
          <w:tcPr>
            <w:tcW w:w="6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Gain (Loss) on Loans Accounted for Under the Fair Value Option</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61"/>
        </w:trPr>
        <w:tc>
          <w:tcPr>
            <w:tcW w:w="81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for the three months ended June 30, 2024 and 2023 were as follows: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3"/>
        </w:trPr>
        <w:tc>
          <w:tcPr>
            <w:tcW w:w="5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0"/>
        </w:trPr>
        <w:tc>
          <w:tcPr>
            <w:tcW w:w="580" w:type="dxa"/>
            <w:vAlign w:val="bottom"/>
            <w:shd w:val="clear" w:color="auto" w:fill="CCEEFF"/>
          </w:tcPr>
          <w:p>
            <w:pPr>
              <w:spacing w:after="0"/>
              <w:rPr>
                <w:sz w:val="15"/>
                <w:szCs w:val="15"/>
                <w:color w:val="auto"/>
              </w:rPr>
            </w:pPr>
          </w:p>
        </w:tc>
        <w:tc>
          <w:tcPr>
            <w:tcW w:w="5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980" w:type="dxa"/>
            <w:vAlign w:val="bottom"/>
            <w:gridSpan w:val="5"/>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29"/>
        </w:trPr>
        <w:tc>
          <w:tcPr>
            <w:tcW w:w="58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9"/>
              <w:spacing w:after="0" w:line="129" w:lineRule="exact"/>
              <w:rPr>
                <w:sz w:val="20"/>
                <w:szCs w:val="20"/>
                <w:color w:val="auto"/>
              </w:rPr>
            </w:pPr>
            <w:r>
              <w:rPr>
                <w:rFonts w:ascii="Times New Roman" w:cs="Times New Roman" w:eastAsia="Times New Roman" w:hAnsi="Times New Roman"/>
                <w:sz w:val="14"/>
                <w:szCs w:val="14"/>
                <w:color w:val="auto"/>
              </w:rPr>
              <w:t>June 30, 2023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91"/>
        </w:trPr>
        <w:tc>
          <w:tcPr>
            <w:tcW w:w="58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30, 2024</w:t>
            </w: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(as restated)</w:t>
            </w:r>
          </w:p>
        </w:tc>
        <w:tc>
          <w:tcPr>
            <w:tcW w:w="320" w:type="dxa"/>
            <w:vAlign w:val="bottom"/>
          </w:tcPr>
          <w:p>
            <w:pPr>
              <w:spacing w:after="0"/>
              <w:rPr>
                <w:sz w:val="16"/>
                <w:szCs w:val="16"/>
                <w:color w:val="auto"/>
              </w:rPr>
            </w:pPr>
          </w:p>
        </w:tc>
        <w:tc>
          <w:tcPr>
            <w:tcW w:w="12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Change</w:t>
            </w:r>
          </w:p>
        </w:tc>
      </w:tr>
      <w:tr>
        <w:trPr>
          <w:trHeight w:val="171"/>
        </w:trPr>
        <w:tc>
          <w:tcPr>
            <w:tcW w:w="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Unguaranteed Loans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(6,676)</w:t>
            </w:r>
          </w:p>
        </w:tc>
      </w:tr>
      <w:tr>
        <w:trPr>
          <w:trHeight w:val="180"/>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7(a)</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Loans</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18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SBA 504 and Non-SBA Loans</w:t>
            </w: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r>
      <w:tr>
        <w:trPr>
          <w:trHeight w:val="171"/>
        </w:trPr>
        <w:tc>
          <w:tcPr>
            <w:tcW w:w="6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(7,257)</w:t>
            </w:r>
          </w:p>
        </w:tc>
      </w:tr>
      <w:tr>
        <w:trPr>
          <w:trHeight w:val="20"/>
        </w:trPr>
        <w:tc>
          <w:tcPr>
            <w:tcW w:w="5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gain (loss) on loans accounted for under the fair value option relates to the guaranteed portions of SBA loans made which the Company sells into a secondary market, the unguaranteed portions</w:t>
      </w:r>
    </w:p>
    <w:p>
      <w:pPr>
        <w:spacing w:after="0" w:line="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of SBA loans made which the Company holds, SBA 504 loans that are held for sale, and ALP loans that are held for sale. This gain (loss) represents the fair value adjustment of loans</w:t>
      </w:r>
      <w:r>
        <w:rPr>
          <w:rFonts w:ascii="Arial" w:cs="Arial" w:eastAsia="Arial" w:hAnsi="Arial"/>
          <w:sz w:val="15"/>
          <w:szCs w:val="15"/>
          <w:color w:val="auto"/>
        </w:rPr>
        <w:t>.</w:t>
      </w:r>
      <w:r>
        <w:rPr>
          <w:rFonts w:ascii="Times New Roman" w:cs="Times New Roman" w:eastAsia="Times New Roman" w:hAnsi="Times New Roman"/>
          <w:sz w:val="14"/>
          <w:szCs w:val="14"/>
          <w:color w:val="auto"/>
        </w:rPr>
        <w:t xml:space="preserve"> The amount of the gain (loss) is determined by the quantity of loans held for sale at quarter end, the change in secondary market pricing conditions, and the valuation of the loans that are not held for sale. During the three months ended June 30, 2024, there was an increase in the gain-on-sale pricing as compared to the prior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IT Support Income and Electronic Payment Processing Income</w:t>
      </w:r>
    </w:p>
    <w:p>
      <w:pPr>
        <w:spacing w:after="0" w:line="2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Technology and IT support income decreased by $1.2 million from $6.4 million for the three months ended June 30, 2023 to $5.2 million for the three months ended June 30, 2024. The overall decrease was due to a decrease in procurement and professional services revenue, offset by an increase in managed technology services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Noninterest Income</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For the three months ended June 30, 2024 and 2023, other noninterest income related primarily to legal, packaging, prepayment, and late fees earned from SBA 7(a) loans and increased as a result of the higher volume of SBA 7(a) loans originated of 604 loans compared to 400 loans for the three months ended June 30, 2024 and 2023, respectively. The increase also included a $2.6 million increase in gains on joint ventures and non-control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314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7"/>
                <w:szCs w:val="17"/>
                <w:color w:val="auto"/>
              </w:rPr>
            </w:pPr>
          </w:p>
        </w:tc>
        <w:tc>
          <w:tcPr>
            <w:tcW w:w="288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2024/2023 Increase/(Decrease)</w:t>
            </w: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96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529"/>
              <w:spacing w:after="0" w:line="133"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employee benefits expense</w:t>
            </w:r>
          </w:p>
        </w:tc>
        <w:tc>
          <w:tcPr>
            <w:tcW w:w="96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 services expense</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Electronic payment processing expense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services expense</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5"/>
                <w:szCs w:val="15"/>
                <w:color w:val="auto"/>
              </w:rPr>
            </w:pPr>
          </w:p>
        </w:tc>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loan origination and maintenance expense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5"/>
                <w:szCs w:val="15"/>
                <w:color w:val="auto"/>
              </w:rPr>
            </w:pPr>
          </w:p>
        </w:tc>
        <w:tc>
          <w:tcPr>
            <w:tcW w:w="1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 costs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expense</w:t>
            </w:r>
          </w:p>
        </w:tc>
        <w:tc>
          <w:tcPr>
            <w:tcW w:w="96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37,777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8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Employee Benefits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in salaries and employee benefits was primarily attributable to an increase in entity headcount from 534 employees at June 30, 2023 to 567 employees at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Electronic Payment Processing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$0.9 million increase in electronic payment processing expense corresponded with the $2.0 million increase in electronic payment processing revenue.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Services Expense</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decrease in professional fees period over period is attributable to the reduction in expenses for the three months ended June 30, 2024, compared to the prior year that included expenses related to the 2023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Loan Origination and Maintenance Expense</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Origination and loan processing expenses during the three months ended June 30, 2024, was $3.0 million compared to $2.3 million for the three months ended June 30, 2023. The change was due to the increase in loans originated during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decrease in depreciation and amortization period over period is primarily attributable to the full amortization of intangible assets during the second half of 2023, which results in less amortization in 2024 as compared to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General and Administrative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other general and administrative costs of $0.5 million is primarily due to $0.3 million of expenses relating to other real estate owned in the second quarter of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Segment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four reportable segments Banking, Technology, NSBF, and Payments. A description of each segment and the methodologies used to measure financial performance is described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18—SEGMENTS in the accompanying Notes to the Unaudited Condensed Consolidated Financial Statements. Net income (loss) by operating segment is presented below:</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969"/>
              <w:spacing w:after="0"/>
              <w:rPr>
                <w:sz w:val="20"/>
                <w:szCs w:val="20"/>
                <w:color w:val="auto"/>
              </w:rPr>
            </w:pPr>
            <w:r>
              <w:rPr>
                <w:rFonts w:ascii="Times New Roman" w:cs="Times New Roman" w:eastAsia="Times New Roman" w:hAnsi="Times New Roman"/>
                <w:sz w:val="14"/>
                <w:szCs w:val="14"/>
                <w:color w:val="auto"/>
              </w:rPr>
              <w:t>2024/2023 Increase/(Decrease)</w:t>
            </w:r>
          </w:p>
        </w:tc>
      </w:tr>
      <w:tr>
        <w:trPr>
          <w:trHeight w:val="129"/>
        </w:trPr>
        <w:tc>
          <w:tcPr>
            <w:tcW w:w="36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June 30, 2023</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91"/>
        </w:trPr>
        <w:tc>
          <w:tcPr>
            <w:tcW w:w="36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 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(as restated)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Amount</w:t>
            </w:r>
          </w:p>
        </w:tc>
        <w:tc>
          <w:tcPr>
            <w:tcW w:w="192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rPr>
              <w:t>Percent</w:t>
            </w:r>
          </w:p>
        </w:tc>
      </w:tr>
      <w:tr>
        <w:trPr>
          <w:trHeight w:val="171"/>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Banking</w:t>
            </w:r>
          </w:p>
        </w:tc>
        <w:tc>
          <w:tcPr>
            <w:tcW w:w="1320" w:type="dxa"/>
            <w:vAlign w:val="bottom"/>
            <w:tcBorders>
              <w:top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12,453</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99 %</w:t>
            </w: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NSBF</w:t>
            </w:r>
          </w:p>
        </w:tc>
        <w:tc>
          <w:tcPr>
            <w:tcW w:w="13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(12,839)</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0"/>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w:t>
            </w:r>
          </w:p>
        </w:tc>
        <w:tc>
          <w:tcPr>
            <w:tcW w:w="1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18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3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8,990</w:t>
            </w:r>
          </w:p>
        </w:tc>
        <w:tc>
          <w:tcPr>
            <w:tcW w:w="100" w:type="dxa"/>
            <w:vAlign w:val="bottom"/>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71"/>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10,945</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100" w:type="dxa"/>
            <w:vAlign w:val="bottom"/>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56 %</w:t>
            </w:r>
          </w:p>
        </w:tc>
      </w:tr>
      <w:tr>
        <w:trPr>
          <w:trHeight w:val="20"/>
        </w:trPr>
        <w:tc>
          <w:tcPr>
            <w:tcW w:w="3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u w:val="single" w:color="auto"/>
          <w:color w:val="auto"/>
        </w:rPr>
        <w:t>Banking</w:t>
      </w:r>
      <w:r>
        <w:rPr>
          <w:rFonts w:ascii="Times New Roman" w:cs="Times New Roman" w:eastAsia="Times New Roman" w:hAnsi="Times New Roman"/>
          <w:sz w:val="14"/>
          <w:szCs w:val="14"/>
          <w:color w:val="auto"/>
        </w:rPr>
        <w:t xml:space="preserve"> - The banking segment includes Newtek Bank as well as its consolidated subsidiary SBL. The financial results include the origination and servicing of SBA 504 loans, SBA 7(a) loans, C&amp;I loans, CRE loans and ABL loans. In addition, the bank offers depository services. The results include $9.3 million of net interest income during the three months ended June 30, 2024 compared to $3.9 million of net interest income during the three months ended June 30, 2023. During the second quarter of 2024, the majority of loans were funded by Newtek Bank compared to the second quarter of 2023, when most loans were funded by NSBF until it went into wind-down on April 13, 2023.</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u w:val="single" w:color="auto"/>
          <w:color w:val="auto"/>
        </w:rPr>
        <w:t>Technology</w:t>
      </w:r>
      <w:r>
        <w:rPr>
          <w:rFonts w:ascii="Times New Roman" w:cs="Times New Roman" w:eastAsia="Times New Roman" w:hAnsi="Times New Roman"/>
          <w:sz w:val="14"/>
          <w:szCs w:val="14"/>
          <w:color w:val="auto"/>
        </w:rPr>
        <w:t xml:space="preserve"> - Technology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As a result of commitments made to the Federal Reserve, the Company will divest or otherwise terminate the activities conducted by NTS by January 6, 2025, subject to any extension.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NSBF</w:t>
      </w:r>
      <w:r>
        <w:rPr>
          <w:rFonts w:ascii="Times New Roman" w:cs="Times New Roman" w:eastAsia="Times New Roman" w:hAnsi="Times New Roman"/>
          <w:sz w:val="14"/>
          <w:szCs w:val="14"/>
          <w:color w:val="auto"/>
        </w:rPr>
        <w:t xml:space="preserve"> - Relates to NSBF’s legacy portfolio of SBA 7(a) loans held outside Newtek Bank. The decrease in net income is due to the wind-down of NSBF’s operations.</w:t>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xml:space="preserve"> - Payments includes POS and Mobil Money. Within the segment’s results are $14.6 million of noninterest income for the three months ended June 30, 2024, resulting from marketing credit and debit card processing services, check approval services, processing equipment, and software, compared to $11.7 million during the three months ended June 30, 2023. The net income also included $9.0 million and $8.3 million of noninterest expense for the three months ended June 30, 2024 and 2023, respectively.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76" w:name="page77"/>
    <w:bookmarkEnd w:id="76"/>
    <w:p>
      <w:pPr>
        <w:ind w:right="300"/>
        <w:spacing w:after="0" w:line="254" w:lineRule="auto"/>
        <w:rPr>
          <w:sz w:val="20"/>
          <w:szCs w:val="20"/>
          <w:color w:val="auto"/>
        </w:rPr>
      </w:pPr>
      <w:r>
        <w:rPr>
          <w:rFonts w:ascii="Times New Roman" w:cs="Times New Roman" w:eastAsia="Times New Roman" w:hAnsi="Times New Roman"/>
          <w:sz w:val="14"/>
          <w:szCs w:val="14"/>
          <w:u w:val="single" w:color="auto"/>
          <w:color w:val="auto"/>
        </w:rPr>
        <w:t>Corporate and Other</w:t>
      </w:r>
      <w:r>
        <w:rPr>
          <w:rFonts w:ascii="Times New Roman" w:cs="Times New Roman" w:eastAsia="Times New Roman" w:hAnsi="Times New Roman"/>
          <w:sz w:val="14"/>
          <w:szCs w:val="14"/>
          <w:color w:val="auto"/>
        </w:rPr>
        <w:t xml:space="preserve"> - Represents operations not considered to be reportable segments and/or general operating expenses of the Company, and includes the parent company, other non-bank subsidiaries including NIA, PMT, non-bank lending, including Holdco 6 and our joint ventures, and elimination adjustments to reconcile the results of the operating segments to the consolidated financial statements prepared in conformity with GAAP.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4"/>
          <w:szCs w:val="14"/>
          <w:color w:val="auto"/>
        </w:rPr>
        <w:t>Our liquidity and capital resources are derived from our Notes payable - related parties, 2024 Notes, 2025 5.00% Notes, 2025 8.125% Notes, 2026 Notes, 2028 Notes, 2029 Notes, securitization transactions and cash flows from operations, including investment sales and repayments, and income earned. In the six months ended June 30, 2024, our primary use of funds from operations included originations of loans and payments of fees and other operating expenses we incurred. We may raise additional equity or debt capital through both registered offerings off of a shelf registration, including “at-the-market”, or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On November 17, 2023, the Company entered into the 2023 ATM Equity Distribution Agreement. The 2023 ATM Equity Distribution Agreement provides that the Company may offer and sell up to 3,000,000 shares of Common Stock from time to time through the placement agents.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ATM Program</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Company’s shelf registration statement on Form S-3 was declared effective by the SEC on July 27, 2023. On November 17, 2023, the Company entered into the 2023 ATM Equity Distribution Agreement. The 2023 ATM Equity Distribution Agreement provides that the Company may offer and sell up to three million shares of Common Stock from time to time through the placement agents (the ATM Program). The Company may, subject to market conditions, engage in activity under the ATM Program.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total shares sold and net proceeds received under the 2023 ATM Equity Distribution Agreement:</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160" w:type="dxa"/>
            <w:vAlign w:val="bottom"/>
          </w:tcPr>
          <w:p>
            <w:pPr>
              <w:spacing w:after="0"/>
              <w:rPr>
                <w:sz w:val="13"/>
                <w:szCs w:val="13"/>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r>
      <w:tr>
        <w:trPr>
          <w:trHeight w:val="180"/>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sold</w:t>
            </w:r>
          </w:p>
        </w:tc>
        <w:tc>
          <w:tcPr>
            <w:tcW w:w="140" w:type="dxa"/>
            <w:vAlign w:val="bottom"/>
            <w:tcBorders>
              <w:top w:val="single" w:sz="8" w:color="auto"/>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Net weighted average price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Placement agent fees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2029 Notes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May 30, 2024, the Company completed a registered offering of $71.9 million in aggregate principal amount of its 8.50% 2029 Notes, which includes the underwriters’ exercise of the option granted by the Company to purchase an additional $9.4 million in aggregate principal amount of the 2029 Notes. The Company received $69.6 million in proceeds, before expenses, from the sale of the 2029 Notes. The 2029 Notes bear interest at a rate of 8.50% per year payable quarterly on March 1, June 1, September 1 and December 1 of each year, commencing on September 1, 2024, and trade on the Nasdaq Global Market under the trading symbol “NEWTG.” At June 30, 2024, the Company was in compliance with all covenants related to the 2029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2028 Notes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August 31, 2023, the Company completed a registered offering of $40.0 million in aggregate principal amount of its 8.00% 2028 Notes, which includes the underwriters’ exercise of the option granted by the Company to purchase an additional $5.0 million in aggregate principal amount of the 2028 Notes. The Company received $38.0 million in proceeds, before expenses, from the sale of the 2028 Notes. The 2028 Notes bear interest at a rate of 8.00% per year payable quarterly on March 1, June 1, September 1 and December 1 of each year, commencing on December 1, 2023, and trade on the Nasdaq Global Market under the trading symbol “NEWTI.” At June 30, 2024, the Company was in compliance with all covenants related to the 2028 Notes.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In January 2021, the Company and the Trustee entered into the Seventh Supplemental Indenture to the Base Indenture between the Company and the Trustee, relating to the Company’s issuance, offer and sale of $115.0 million aggregate principal amount of 5.50% 2026 Notes, including $15.0 million in aggregate principal amount sold pursuant to a fully-exercised overallotment option. The sale of the 2026 Notes generated proceeds of approximately $111.3 million, net of underwriter's fees and expenses. The 2026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2026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spacing w:after="0" w:line="1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color w:val="auto"/>
        </w:rPr>
        <w:t>The 2026 Notes will mature on February 1, 2026 and may be redeemed in whole or in part at any time or from time to time at the Company’s option upon not less than 30 days nor more than 60 days written notice by mail prior to the date fixed for redemption thereof, at a redemption price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June 30, 2024, the Company was in compliance with all covenants related to the 2026 Notes.</w:t>
      </w:r>
    </w:p>
    <w:p>
      <w:pPr>
        <w:spacing w:after="0" w:line="3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In addition, the supplemental indentures for the 2024 Notes and 2026 Notes include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2026 Notes and the Trustee if the Company should no longer be subject to the reporting requirements under the Exchange Act (“BDC Covenants”). These covenants are subject to important limitations and exceptions that are described in the Base Indenture, as supplemented by the supplemental indentures. At June 30, 2024, the Company was in compliance with all covenants related to the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In July 2019, the Company and the Trustee entered into the Fourth Supplemental Indenture to the Base Indenture between the Company and the Trustee, relating to the Company’s issuance, offer and sale of $55.0 million aggregate principal amount of 5.75% 2024 Notes. The Company granted an overallotment option of up to $8.25 million in aggregate principal amount of the 2024 Notes. The sale of the 2024 Notes generated proceeds of approximately $53.2 million, net of underwriter's fees and expenses. In July 2019 the underwriters exercised their option to purchase $8.25 million in aggregate principal amount of 2024 Notes for an additional $8.0 million in net proceeds. On February 16, 2021 and May 20, 2021, the Company issued an additional $5.0 million and $10.0 million in aggregate principal amount of the 2024 Notes, respectively. The new 2024 Notes were treated as a single series with the prior 2024 Notes and had the same terms as the prior 2024 Notes. The 2024 Notes traded on the Nasdaq Global Market under the trading symbol “NEWTL” until the 2024 Notes matured on August 1, 2024. The 2024 Notes were also subject to BDC Covenants. At June 30, 2024, the Company was in compliance with all covenants related to the 2024 Notes.</w:t>
      </w:r>
    </w:p>
    <w:p>
      <w:pPr>
        <w:spacing w:after="0" w:line="168"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As of June 30, 2024, the outstanding principal balance of the 2024 Notes was $38.25 million.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2024 Notes matured on August 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i w:val="1"/>
          <w:iCs w:val="1"/>
          <w:color w:val="auto"/>
        </w:rPr>
        <w:t>2025 Notes (Private Placements)</w:t>
      </w:r>
    </w:p>
    <w:p>
      <w:pPr>
        <w:spacing w:after="0" w:line="1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 Notes to the purchaser in an exempt offering in January 2021.</w:t>
      </w:r>
    </w:p>
    <w:p>
      <w:pPr>
        <w:spacing w:after="0" w:line="15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4"/>
          <w:szCs w:val="14"/>
          <w:color w:val="auto"/>
        </w:rPr>
        <w:t>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w:t>
      </w:r>
    </w:p>
    <w:p>
      <w:pPr>
        <w:spacing w:after="0" w:line="15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 xml:space="preserve">On March 31, 2022, the Company completed a private placement of $15.0 million aggregate principal amount of its 5.00% notes due 2025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each payable by the Company. The 2025 5.00% Notes are the Company’s direct unsecured obligations and rank: (i)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other outstanding and future unsecured indebtedness; (ii) senior to any of the Company’s future indebtedness that expressly provides it is subordinated to the 2025 5.00%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Under the purchase agreement, the Company also issued an additional $15.0 million in aggregate principal amount of the 2025 5.0% Notes to the purchaser on May 2, 2022. The 2025 5.00% Notes were issued under the Base Indenture and the Tenth Supplemental Indenture, dated as of March 31, 2022. The 2025 5.00% Notes will mature on March 31, 2025, and under the terms of the Indenture, the Notes are redeemable at any time, at the option of the Company, at a redemption price of 100% of the outstanding principal amount thereof.</w:t>
      </w:r>
    </w:p>
    <w:p>
      <w:pPr>
        <w:spacing w:after="0" w:line="16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Notes will mature on February 1, 2025. The Notes bear interest at a rate of 8.125% per year payable semiannually on February 1 and August 1 each year, commencing on August 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NSBF Capital One Facility</w:t>
      </w:r>
    </w:p>
    <w:p>
      <w:pPr>
        <w:spacing w:after="0" w:line="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Prior to October 2023, NSBF maintained a $150.0 million Capital One facility to finance NSBF’s origination of unguaranteed and guaranteed portions of SBA 7(a) loans. The portion of the facility collateralized by the government guaranteed portion of SBA 7(a) loans had an interest rate of Prime minus 0.75% and the interest rate on the portion of the facility collateralized by the non-guaranteed portion of SBA 7(a) loans was Prime plus 0.25% . The facility provided for a 55% advance rate on the non-guaranteed portions of the SBA 7(a) loans NSBF originated, and a 90% advance rate on the guaranteed portions of SBA 7(a) loans NSBF originated and a 90% advance rate on the guaranteed portions of SBA 7(a) loans NSBF originated. NSBF ceased originating new loans in April 2023. On May 7, 2020, NSBF amended the facility to, among other things, extend the maturity date on which the credit facility converted into a term loan for a period of three years to May 7, 2023, with the term loan maturing on May 7, 2025. The NSBF Capital One facility was paid off and terminated in October of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Securitization Transactions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From 2010 through June 2023, NSBF engaged in thirteen (13) securitizations of the unguaranteed portions of its SBA 7(a) loans. In the securitizations, NSBF used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spacing w:after="0" w:line="264" w:lineRule="auto"/>
        <w:rPr>
          <w:sz w:val="20"/>
          <w:szCs w:val="20"/>
          <w:color w:val="auto"/>
        </w:rPr>
      </w:pPr>
      <w:r>
        <w:rPr>
          <w:rFonts w:ascii="Times New Roman" w:cs="Times New Roman" w:eastAsia="Times New Roman" w:hAnsi="Times New Roman"/>
          <w:sz w:val="14"/>
          <w:szCs w:val="14"/>
          <w:color w:val="auto"/>
        </w:rPr>
        <w:t>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w:t>
      </w:r>
    </w:p>
    <w:p>
      <w:pPr>
        <w:spacing w:after="0" w:line="16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w:t>
      </w:r>
    </w:p>
    <w:p>
      <w:pPr>
        <w:spacing w:after="0" w:line="16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adjusted SOFR plus 1.92% across both classes.</w:t>
      </w:r>
    </w:p>
    <w:p>
      <w:pPr>
        <w:spacing w:after="0" w:line="16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adjusted SOFR plus 1.83% across both classes.</w:t>
      </w:r>
    </w:p>
    <w:p>
      <w:pPr>
        <w:spacing w:after="0" w:line="1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On February 27, 2023, the 2017-1 Trust was terminated as a result of NSBF purchasing the 2017-1 Trust assets, with the 2017-1 Trust’s noteholders receiving the redemption price.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Capital</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Company strives to maintain prudent capital levels to absorb risk and maximizing returns to shareholders. The Company and Newtek Bank are primarily constrained by the Total Capital and Leverage ratios given the mix of assets vis a vie capital.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 amounts and ratios for the Company as of June 30, 2024 are presented in the table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NewtekOne, Inc. - June 30, 2024</w:t>
            </w:r>
          </w:p>
        </w:tc>
        <w:tc>
          <w:tcPr>
            <w:tcW w:w="200" w:type="dxa"/>
            <w:vAlign w:val="bottom"/>
          </w:tcPr>
          <w:p>
            <w:pPr>
              <w:spacing w:after="0"/>
              <w:rPr>
                <w:sz w:val="16"/>
                <w:szCs w:val="16"/>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4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Ratio</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2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195,913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57,182</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54,859</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73,146</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r>
      <w:tr>
        <w:trPr>
          <w:trHeight w:val="184"/>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230,964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97,528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3" w:lineRule="exact"/>
        <w:rPr>
          <w:sz w:val="20"/>
          <w:szCs w:val="20"/>
          <w:color w:val="auto"/>
        </w:rPr>
      </w:pPr>
    </w:p>
    <w:p>
      <w:pPr>
        <w:ind w:left="80" w:hanging="75"/>
        <w:spacing w:after="0"/>
        <w:tabs>
          <w:tab w:leader="none" w:pos="80" w:val="left"/>
        </w:tabs>
        <w:numPr>
          <w:ilvl w:val="0"/>
          <w:numId w:val="4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0" w:right="339" w:bottom="1440" w:gutter="0" w:footer="0" w:header="0"/>
        </w:sectPr>
      </w:pPr>
    </w:p>
    <w:bookmarkStart w:id="80" w:name="page81"/>
    <w:bookmarkEnd w:id="80"/>
    <w:p>
      <w:pPr>
        <w:ind w:right="500"/>
        <w:spacing w:after="0" w:line="272" w:lineRule="auto"/>
        <w:rPr>
          <w:sz w:val="20"/>
          <w:szCs w:val="20"/>
          <w:color w:val="auto"/>
        </w:rPr>
      </w:pPr>
      <w:r>
        <w:rPr>
          <w:rFonts w:ascii="Times New Roman" w:cs="Times New Roman" w:eastAsia="Times New Roman" w:hAnsi="Times New Roman"/>
          <w:sz w:val="14"/>
          <w:szCs w:val="14"/>
          <w:color w:val="auto"/>
        </w:rPr>
        <w:t>Capital amounts and ratios for Newtek Bank as of June 30, 2024, are presented in the table below. As of June 30, 2024, Newtek Bank was categorized as “well-capitalized” under the prompt corrective action measures and met the capital conservation buffer requirements.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7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For Capital Adequacy Purposes</w:t>
            </w:r>
            <w:r>
              <w:rPr>
                <w:rFonts w:ascii="Times New Roman" w:cs="Times New Roman" w:eastAsia="Times New Roman" w:hAnsi="Times New Roman"/>
                <w:sz w:val="14"/>
                <w:szCs w:val="14"/>
                <w:b w:val="1"/>
                <w:bCs w:val="1"/>
                <w:color w:val="auto"/>
                <w:vertAlign w:val="superscript"/>
              </w:rPr>
              <w:t>1</w:t>
            </w:r>
          </w:p>
        </w:tc>
        <w:tc>
          <w:tcPr>
            <w:tcW w:w="2100" w:type="dxa"/>
            <w:vAlign w:val="bottom"/>
            <w:gridSpan w:val="3"/>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For Consideration as Well-Capitalized</w:t>
            </w:r>
          </w:p>
        </w:tc>
      </w:tr>
      <w:tr>
        <w:trPr>
          <w:trHeight w:val="18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Newtek Bank - June 30, 2024</w:t>
            </w:r>
          </w:p>
        </w:tc>
        <w:tc>
          <w:tcPr>
            <w:tcW w:w="2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00" w:type="dxa"/>
            <w:vAlign w:val="bottom"/>
            <w:gridSpan w:val="3"/>
          </w:tcPr>
          <w:p>
            <w:pPr>
              <w:jc w:val="right"/>
              <w:ind w:right="62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20" w:type="dxa"/>
            <w:vAlign w:val="bottom"/>
            <w:gridSpan w:val="3"/>
          </w:tcPr>
          <w:p>
            <w:pPr>
              <w:jc w:val="right"/>
              <w:ind w:right="569"/>
              <w:spacing w:after="0"/>
              <w:rPr>
                <w:sz w:val="20"/>
                <w:szCs w:val="20"/>
                <w:color w:val="auto"/>
              </w:rPr>
            </w:pPr>
            <w:r>
              <w:rPr>
                <w:rFonts w:ascii="Times New Roman" w:cs="Times New Roman" w:eastAsia="Times New Roman" w:hAnsi="Times New Roman"/>
                <w:sz w:val="11"/>
                <w:szCs w:val="11"/>
                <w:b w:val="1"/>
                <w:bCs w:val="1"/>
                <w:color w:val="auto"/>
              </w:rPr>
              <w:t>Ratio</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Ratio</w:t>
            </w:r>
          </w:p>
        </w:tc>
      </w:tr>
      <w:tr>
        <w:trPr>
          <w:trHeight w:val="17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31,400</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39,250</w:t>
            </w: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106,760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28,095</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40,581</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49,946</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r>
      <w:tr>
        <w:trPr>
          <w:trHeight w:val="184"/>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114,750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50,164</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62,705</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33" w:lineRule="exact"/>
        <w:rPr>
          <w:sz w:val="20"/>
          <w:szCs w:val="20"/>
          <w:color w:val="auto"/>
        </w:rPr>
      </w:pPr>
    </w:p>
    <w:p>
      <w:pPr>
        <w:ind w:left="80" w:hanging="75"/>
        <w:spacing w:after="0"/>
        <w:tabs>
          <w:tab w:leader="none" w:pos="80" w:val="left"/>
        </w:tabs>
        <w:numPr>
          <w:ilvl w:val="0"/>
          <w:numId w:val="4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Exclusive of the capital conservation buffer of 2.5% of risk-weighted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and Liquidity</w:t>
            </w: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29"/>
        </w:trPr>
        <w:tc>
          <w:tcPr>
            <w:tcW w:w="9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available sources of liquidity as of June 30, 2024:</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66"/>
        </w:trPr>
        <w:tc>
          <w:tcPr>
            <w:tcW w:w="9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Availability as of</w:t>
            </w:r>
          </w:p>
        </w:tc>
      </w:tr>
      <w:tr>
        <w:trPr>
          <w:trHeight w:val="186"/>
        </w:trPr>
        <w:tc>
          <w:tcPr>
            <w:tcW w:w="9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7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36,909</w:t>
            </w:r>
          </w:p>
        </w:tc>
      </w:tr>
      <w:tr>
        <w:trPr>
          <w:trHeight w:val="350"/>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Lines of credit at other commercial banks</w:t>
            </w:r>
          </w:p>
        </w:tc>
        <w:tc>
          <w:tcPr>
            <w:tcW w:w="340" w:type="dxa"/>
            <w:vAlign w:val="bottom"/>
          </w:tcPr>
          <w:p>
            <w:pPr>
              <w:spacing w:after="0"/>
              <w:rPr>
                <w:sz w:val="24"/>
                <w:szCs w:val="24"/>
                <w:color w:val="auto"/>
              </w:rPr>
            </w:pPr>
          </w:p>
        </w:tc>
        <w:tc>
          <w:tcPr>
            <w:tcW w:w="1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64,020</w:t>
            </w:r>
          </w:p>
        </w:tc>
      </w:tr>
      <w:tr>
        <w:trPr>
          <w:trHeight w:val="18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Newtek Bank:</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350"/>
        </w:trPr>
        <w:tc>
          <w:tcPr>
            <w:tcW w:w="9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bearing deposits in banks</w:t>
            </w:r>
          </w:p>
        </w:tc>
        <w:tc>
          <w:tcPr>
            <w:tcW w:w="340" w:type="dxa"/>
            <w:vAlign w:val="bottom"/>
          </w:tcPr>
          <w:p>
            <w:pPr>
              <w:spacing w:after="0"/>
              <w:rPr>
                <w:sz w:val="24"/>
                <w:szCs w:val="24"/>
                <w:color w:val="auto"/>
              </w:rPr>
            </w:pPr>
          </w:p>
        </w:tc>
        <w:tc>
          <w:tcPr>
            <w:tcW w:w="18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132,597</w:t>
            </w:r>
          </w:p>
        </w:tc>
      </w:tr>
      <w:tr>
        <w:trPr>
          <w:trHeight w:val="181"/>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FHLB borrowing availability</w:t>
            </w:r>
          </w:p>
        </w:tc>
        <w:tc>
          <w:tcPr>
            <w:tcW w:w="340" w:type="dxa"/>
            <w:vAlign w:val="bottom"/>
            <w:shd w:val="clear" w:color="auto" w:fill="CCEEFF"/>
          </w:tcPr>
          <w:p>
            <w:pPr>
              <w:spacing w:after="0"/>
              <w:rPr>
                <w:sz w:val="15"/>
                <w:szCs w:val="15"/>
                <w:color w:val="auto"/>
              </w:rPr>
            </w:pPr>
          </w:p>
        </w:tc>
        <w:tc>
          <w:tcPr>
            <w:tcW w:w="1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50,247</w:t>
            </w:r>
          </w:p>
        </w:tc>
      </w:tr>
      <w:tr>
        <w:trPr>
          <w:trHeight w:val="180"/>
        </w:trPr>
        <w:tc>
          <w:tcPr>
            <w:tcW w:w="9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Lines of credit at other financial institutions</w:t>
            </w: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10,000</w:t>
            </w:r>
          </w:p>
        </w:tc>
      </w:tr>
      <w:tr>
        <w:trPr>
          <w:trHeight w:val="17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 sources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293,773</w:t>
            </w:r>
          </w:p>
        </w:tc>
      </w:tr>
    </w:tbl>
    <w:p>
      <w:pPr>
        <w:spacing w:after="0" w:line="2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 has restricted cash of $36.8 million as of June 30, 2024. NSBF holds $17.5 million of the Company’s restricted cash, which includes reserves in the event payments are insufficient to cover interest and/or principal with respect to securitizations and loan principal and interest collected which are due to loan participants. In addition, the Company has $10.0 million in a restricted cash account to fund certain of NSBF’s potential obligations to the SBA pursuant to the Wind-down Agreement. of which the Company is a guarantor. The majority of the Company’s remaining restricted cash is related to payroll processing by PMT, our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generated and used cash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100" w:type="dxa"/>
            <w:vAlign w:val="bottom"/>
          </w:tcPr>
          <w:p>
            <w:pPr>
              <w:spacing w:after="0"/>
              <w:rPr>
                <w:sz w:val="10"/>
                <w:szCs w:val="10"/>
                <w:color w:val="auto"/>
              </w:rPr>
            </w:pPr>
          </w:p>
        </w:tc>
        <w:tc>
          <w:tcPr>
            <w:tcW w:w="1740" w:type="dxa"/>
            <w:vAlign w:val="bottom"/>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Six Months Ended June 30, 2023</w:t>
            </w:r>
          </w:p>
        </w:tc>
        <w:tc>
          <w:tcPr>
            <w:tcW w:w="0" w:type="dxa"/>
            <w:vAlign w:val="bottom"/>
          </w:tcPr>
          <w:p>
            <w:pPr>
              <w:spacing w:after="0"/>
              <w:rPr>
                <w:sz w:val="1"/>
                <w:szCs w:val="1"/>
                <w:color w:val="auto"/>
              </w:rPr>
            </w:pPr>
          </w:p>
        </w:tc>
      </w:tr>
      <w:tr>
        <w:trPr>
          <w:trHeight w:val="153"/>
        </w:trPr>
        <w:tc>
          <w:tcPr>
            <w:tcW w:w="7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(as restated)</w:t>
            </w:r>
          </w:p>
        </w:tc>
        <w:tc>
          <w:tcPr>
            <w:tcW w:w="0" w:type="dxa"/>
            <w:vAlign w:val="bottom"/>
          </w:tcPr>
          <w:p>
            <w:pPr>
              <w:spacing w:after="0"/>
              <w:rPr>
                <w:sz w:val="1"/>
                <w:szCs w:val="1"/>
                <w:color w:val="auto"/>
              </w:rPr>
            </w:pPr>
          </w:p>
        </w:tc>
      </w:tr>
      <w:tr>
        <w:trPr>
          <w:trHeight w:val="175"/>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(202,852)</w:t>
            </w: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(74,546)</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155,846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385,820</w:t>
            </w:r>
          </w:p>
        </w:tc>
        <w:tc>
          <w:tcPr>
            <w:tcW w:w="0" w:type="dxa"/>
            <w:vAlign w:val="bottom"/>
          </w:tcPr>
          <w:p>
            <w:pPr>
              <w:spacing w:after="0"/>
              <w:rPr>
                <w:sz w:val="1"/>
                <w:szCs w:val="1"/>
                <w:color w:val="auto"/>
              </w:rPr>
            </w:pPr>
          </w:p>
        </w:tc>
      </w:tr>
      <w:tr>
        <w:trPr>
          <w:trHeight w:val="171"/>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restricted cash</w:t>
            </w: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108,422</w:t>
            </w:r>
          </w:p>
        </w:tc>
        <w:tc>
          <w:tcPr>
            <w:tcW w:w="0" w:type="dxa"/>
            <w:vAlign w:val="bottom"/>
          </w:tcPr>
          <w:p>
            <w:pPr>
              <w:spacing w:after="0"/>
              <w:rPr>
                <w:sz w:val="1"/>
                <w:szCs w:val="1"/>
                <w:color w:val="auto"/>
              </w:rPr>
            </w:pPr>
          </w:p>
        </w:tc>
      </w:tr>
      <w:tr>
        <w:trPr>
          <w:trHeight w:val="18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cash—beginning of period (Note 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125,606</w:t>
            </w: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Consolidation of cash and restricted cash from controlled investments and business combinations, net of cash paid</w:t>
            </w:r>
          </w:p>
        </w:tc>
        <w:tc>
          <w:tcPr>
            <w:tcW w:w="100" w:type="dxa"/>
            <w:vAlign w:val="bottom"/>
          </w:tcPr>
          <w:p>
            <w:pPr>
              <w:spacing w:after="0"/>
              <w:rPr>
                <w:sz w:val="15"/>
                <w:szCs w:val="15"/>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22,306</w:t>
            </w:r>
          </w:p>
        </w:tc>
        <w:tc>
          <w:tcPr>
            <w:tcW w:w="0" w:type="dxa"/>
            <w:vAlign w:val="bottom"/>
          </w:tcPr>
          <w:p>
            <w:pPr>
              <w:spacing w:after="0"/>
              <w:rPr>
                <w:sz w:val="1"/>
                <w:szCs w:val="1"/>
                <w:color w:val="auto"/>
              </w:rPr>
            </w:pPr>
          </w:p>
        </w:tc>
      </w:tr>
      <w:tr>
        <w:trPr>
          <w:trHeight w:val="196"/>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cash—end of period (Note 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256,334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2024, operating activities used cash of $35.8 million, consisting primarily of $516.6 million of funding loans held for sale. This use of cash was offset by (i) $391.2 million of proceeds from the sale of loans; and (ii) $9.1 million of principal payments received from loans held for sale.</w:t>
      </w:r>
    </w:p>
    <w:p>
      <w:pPr>
        <w:spacing w:after="0" w:line="12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Cash used by investing activities primarily comprised (i) $116.9 million in the net increase in loans held for investment, at cost and (ii) $25.6 million in contributions to non-consolidating joint ventures. These uses were partially offset by a $41.2 million net decrease in loans held for investment, at fair value.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auto"/>
        </w:rPr>
        <w:t>Net cash provided by financing activities was $155.8 million consisting primarily of a (i) $146.3 million net increase in deposits; (ii) $71.9 million of net proceeds from the 2029 Notes; and (iii)</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$13.8 million in proceeds from common shares sold, net of offering costs. These sources of cash were offset by (i) $49.4 million of principal payments related to securitization notes payable and $9.8 million of dividends paid.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8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following table represents the Company’s obligations and commitments as of June 30, 2024. Amounts represent principal only and are not shown net of unamortized debt issuance costs. See NOTE 11—BORROWINGS.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Payments due by period</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17"/>
        </w:trPr>
        <w:tc>
          <w:tcPr>
            <w:tcW w:w="20" w:type="dxa"/>
            <w:vAlign w:val="bottom"/>
          </w:tcPr>
          <w:p>
            <w:pPr>
              <w:spacing w:after="0"/>
              <w:rPr>
                <w:sz w:val="10"/>
                <w:szCs w:val="10"/>
                <w:color w:val="auto"/>
              </w:rPr>
            </w:pPr>
          </w:p>
        </w:tc>
        <w:tc>
          <w:tcPr>
            <w:tcW w:w="31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280" w:type="dxa"/>
            <w:vAlign w:val="bottom"/>
          </w:tcPr>
          <w:p>
            <w:pPr>
              <w:spacing w:after="0"/>
              <w:rPr>
                <w:sz w:val="10"/>
                <w:szCs w:val="10"/>
                <w:color w:val="auto"/>
              </w:rPr>
            </w:pPr>
          </w:p>
        </w:tc>
        <w:tc>
          <w:tcPr>
            <w:tcW w:w="1000" w:type="dxa"/>
            <w:vAlign w:val="bottom"/>
            <w:gridSpan w:val="2"/>
          </w:tcPr>
          <w:p>
            <w:pP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10"/>
                <w:szCs w:val="10"/>
                <w:color w:val="auto"/>
              </w:rPr>
            </w:pPr>
          </w:p>
        </w:tc>
        <w:tc>
          <w:tcPr>
            <w:tcW w:w="80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290"/>
              <w:spacing w:after="0" w:line="117" w:lineRule="exact"/>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30"/>
              <w:spacing w:after="0" w:line="117" w:lineRule="exact"/>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ind w:right="350"/>
              <w:spacing w:after="0" w:line="117" w:lineRule="exact"/>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210"/>
              <w:spacing w:after="0" w:line="117" w:lineRule="exact"/>
              <w:rPr>
                <w:sz w:val="20"/>
                <w:szCs w:val="20"/>
                <w:color w:val="auto"/>
              </w:rPr>
            </w:pPr>
            <w:r>
              <w:rPr>
                <w:rFonts w:ascii="Times New Roman" w:cs="Times New Roman" w:eastAsia="Times New Roman" w:hAnsi="Times New Roman"/>
                <w:sz w:val="11"/>
                <w:szCs w:val="11"/>
                <w:b w:val="1"/>
                <w:bCs w:val="1"/>
                <w:color w:val="auto"/>
              </w:rPr>
              <w:t>Thereafter</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Demand</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Checking</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Money market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Savings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248,827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Time deposits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Webster NMS Note</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SPV I Capital One Facility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SPV II Deutsche Bank Facility</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SPV III One Florida Bank Facility</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Securitization Notes Payable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246,841</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Parent Company Notes: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Notes due 2024</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Notes due 2025</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Notes due 2026</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0A2299"/>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Notes due 2028</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Notes due 2029</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71,875</w:t>
            </w:r>
          </w:p>
        </w:tc>
      </w:tr>
      <w:tr>
        <w:trPr>
          <w:trHeight w:val="180"/>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Employment Agreements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1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1,281,168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549,414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160,429</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318,825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Guaranteed by the parent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is a guarantor on several warehouse lines of credit as noted in the above table under Contractual Obligations. Refer to NOTE 11—BORROWINGS to the consolidated financial statements for the amounts outstanding, line availability, and term. The Company is also a guarantor on an NMS term loan facility. At June 30, 2024,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restricted cash account at Newtek Bank to secure these potential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June 30, 2024.</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For the quarterly period ended June 30, 2024, we valued instruments for which market quotations are readily available at their market quotations. However, a readily available market value did not exist for many of the instruments in our portfolio, and we valued these instruments at fair value as determined in good faith by our management under our valuation policy and process. We may have sought pricing information with respect to certain of our instruments from pricing services or brokers or dealers in order to value such instruments. We also employed independent third party valuation firms for certain of our instruments for which there is not a readily available market value.</w:t>
      </w:r>
    </w:p>
    <w:p>
      <w:pPr>
        <w:spacing w:after="0" w:line="16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our instruments that do not have a readily available market value, the fair value of the instruments may differ significantly from the values that would have been used had a readily available market value existed for such instruments and may differ materially from values that may ultimately be received or settled.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in an orderly transaction between market participants at the measurement date (an exit price). ASC 820 establishes a fair value hierarchy that prioritizes the inputs to valuation techniques used to measure fair value into three levels for disclosure purposes.</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fair value hierarchy gives the highest priority (Level 1) to quoted prices in active markets for identical assets or liabilities and gives the lowest priority to unobservable inputs (Level 3). The levels of the fair value hierarchy are as follows:</w:t>
      </w:r>
    </w:p>
    <w:p>
      <w:pPr>
        <w:spacing w:after="0" w:line="59" w:lineRule="exact"/>
        <w:rPr>
          <w:sz w:val="20"/>
          <w:szCs w:val="20"/>
          <w:color w:val="auto"/>
        </w:rPr>
      </w:pPr>
    </w:p>
    <w:p>
      <w:pPr>
        <w:ind w:left="980" w:right="180" w:hanging="724"/>
        <w:spacing w:after="0" w:line="22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spacing w:after="0" w:line="50" w:lineRule="exact"/>
        <w:rPr>
          <w:sz w:val="20"/>
          <w:szCs w:val="20"/>
          <w:color w:val="auto"/>
        </w:rPr>
      </w:pPr>
    </w:p>
    <w:p>
      <w:pPr>
        <w:jc w:val="both"/>
        <w:ind w:left="980" w:right="180" w:hanging="724"/>
        <w:spacing w:after="0" w:line="21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w:t>
      </w:r>
    </w:p>
    <w:p>
      <w:pPr>
        <w:spacing w:after="0" w:line="4" w:lineRule="exact"/>
        <w:rPr>
          <w:sz w:val="20"/>
          <w:szCs w:val="20"/>
          <w:color w:val="auto"/>
        </w:rPr>
      </w:pPr>
    </w:p>
    <w:p>
      <w:pPr>
        <w:ind w:left="980" w:right="580"/>
        <w:spacing w:after="0" w:line="228" w:lineRule="auto"/>
        <w:rPr>
          <w:sz w:val="20"/>
          <w:szCs w:val="20"/>
          <w:color w:val="auto"/>
        </w:rPr>
      </w:pPr>
      <w:r>
        <w:rPr>
          <w:rFonts w:ascii="Times New Roman" w:cs="Times New Roman" w:eastAsia="Times New Roman" w:hAnsi="Times New Roman"/>
          <w:sz w:val="14"/>
          <w:szCs w:val="14"/>
          <w:color w:val="auto"/>
        </w:rPr>
        <w:t>or can be derived principally from or corroborated by observable market data. This category generally includes certain U.S. Government and agency mortgage-backed debt securities, derivative contracts and loans held-for-sale.</w:t>
      </w:r>
    </w:p>
    <w:p>
      <w:pPr>
        <w:spacing w:after="0" w:line="47" w:lineRule="exact"/>
        <w:rPr>
          <w:sz w:val="20"/>
          <w:szCs w:val="20"/>
          <w:color w:val="auto"/>
        </w:rPr>
      </w:pPr>
    </w:p>
    <w:p>
      <w:pPr>
        <w:ind w:left="980" w:right="180" w:hanging="724"/>
        <w:spacing w:after="0" w:line="218" w:lineRule="auto"/>
        <w:tabs>
          <w:tab w:leader="none" w:pos="96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securitizations, residential mortgage servicing assets, warrant liabilities, joint ventures, guaranteed loans held at fair value, and highly structured or long-term derivative contracts.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Instruments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spacing w:after="0" w:line="14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certain investments, the Company generally calculated the fair value of the investment primarily based on the NAV of the entity and adjusted the fair value for other factors that would affect the fair value of the investment. The Company used this valuation approach for its investment in its joint ventures.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83" w:name="page84"/>
    <w:bookmarkEnd w:id="83"/>
    <w:p>
      <w:pPr>
        <w:spacing w:after="0" w:line="270" w:lineRule="auto"/>
        <w:rPr>
          <w:sz w:val="20"/>
          <w:szCs w:val="20"/>
          <w:color w:val="auto"/>
        </w:rPr>
      </w:pPr>
      <w:r>
        <w:rPr>
          <w:rFonts w:ascii="Times New Roman" w:cs="Times New Roman" w:eastAsia="Times New Roman" w:hAnsi="Times New Roman"/>
          <w:sz w:val="14"/>
          <w:szCs w:val="14"/>
          <w:color w:val="auto"/>
        </w:rPr>
        <w:t>The Company’s investments are subject to market risk. Market risk is the potential for changes in the value due to market changes. Market risk is directly impacted by the volatility and liquidity in the markets in which the investments are traded. See NOTE 1—DESCRIPTION OF BUSINESS AND BASIS OF PRESENTATION under the heading “Fair Value Measurements” and NOTE 9—FAIR VALUE MEASUREMENTS for a detailed discussion of determining fair value, including pricing validation processes.</w:t>
      </w:r>
    </w:p>
    <w:p>
      <w:pPr>
        <w:spacing w:after="0" w:line="15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believe our portfolio as of June 30, 2024 and December 31, 2023 approximates fair value as of those dates based on the markets in which we operate and other conditions in existence on those reporting dates.</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As of January 6, 2023, the Company no longer qualifies as a regulated investment company for federal income tax purposes and no longer qualifies for accounting treatment as an investment company and therefore, we no longer fair value the investments in our portfolio companies. 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reports both realized and unrealized gains and losses relating to the fair value adjustments on the legacy NSBF SBA 7(a)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 allowance for credit losses consists of the allowance for credit losses and the reserve for unfunded commitments. As a result of the Company’s Acquisition the adoption of ASU 2016-13, </w:t>
      </w:r>
      <w:r>
        <w:rPr>
          <w:rFonts w:ascii="Times New Roman" w:cs="Times New Roman" w:eastAsia="Times New Roman" w:hAnsi="Times New Roman"/>
          <w:sz w:val="14"/>
          <w:szCs w:val="14"/>
          <w:i w:val="1"/>
          <w:iCs w:val="1"/>
          <w:color w:val="auto"/>
        </w:rPr>
        <w:t xml:space="preserve">Financial Instruments - Credit Losses (Topic 326): Measurement of Credit Losses on Financial Instruments </w:t>
      </w:r>
      <w:r>
        <w:rPr>
          <w:rFonts w:ascii="Times New Roman" w:cs="Times New Roman" w:eastAsia="Times New Roman" w:hAnsi="Times New Roman"/>
          <w:sz w:val="14"/>
          <w:szCs w:val="14"/>
          <w:color w:val="auto"/>
        </w:rPr>
        <w:t>(“CECL”) and its related amendments, we developed a methodology for estimating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spacing w:after="0" w:line="1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i w:val="1"/>
          <w:iCs w:val="1"/>
          <w:color w:val="auto"/>
        </w:rPr>
        <w:t>Nonaccrual Loans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a general rule, the Company does not accrue interest, amortize deferred net loan fees or costs, or accrete discount on any loan (1) which is maintained on a cash basis because of deterioration in the financial condition of the borrower, (2) for which payment in full of principal or interest is not expected, or (3) upon which principal or interest has been in default for a period of 90 days or more unless the asset is both well secured and in the process of collection.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loan is “well secured” if it is secured (1) by collateral in the form of liens on or pledges of real or personal property, including securities, that have a realizable value sufficient to discharge the debt (including accrued interest) in full, or (2) by the guarantee of a financially responsible party. A loan is “in the process of collection” if collection of the asset is proceeding in due course either (1) through legal action, including judgment enforcement procedures, or (2) in appropriate circumstances, through collections efforts not involving legal action which are reasonably expected to result in repayment of the debt or in its restoration to a current status in the near future.</w:t>
      </w:r>
    </w:p>
    <w:p>
      <w:pPr>
        <w:spacing w:after="0" w:line="17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A non-accrual loan may be restored to accrual status when (1) none of its principal and interest is due and unpaid, and the Company expects repayment of the remaining contractual principal and interest, or (2) when it otherwise becomes well secured in the process of collection. If any interest payments received while the asset was in nonaccrual status were applied to reduce the recorded investment in, or the amortized cost basis of, the asset, as applicable, the application of these payments to the asset’s recorded investment or amortize cost basis, as applicable should not be reversed (and interest income should not be credited) when the asset is returned to accrual status.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Servicing Assets</w:t>
      </w:r>
    </w:p>
    <w:p>
      <w:pPr>
        <w:spacing w:after="0" w:line="20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For the quarterly period ended June 30, 2024, the Company accounted for servicing assets in accordance with ASC Topic 860-50 - Transfers and Servicing - Servicing Assets and Liabilities. The Company and Newtek Bank earn servicing fees from the guaranteed portions of SBA 7(a)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Recognition</w:t>
      </w:r>
    </w:p>
    <w:p>
      <w:pPr>
        <w:spacing w:after="0" w:line="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For the quarterly period ended June 30, 2024,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under the PPP that began in the second quarter of 2020, the SBA reimbursed the Company for originating loans. Such SBA reimbursements are included as interest income on PPP loans.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fees are accounted for under ASC-310 Receivables and deferred until the loan was sold to one of our Participants. Income earned in connection with the PPP should not be viewed as recurring.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NSBF funded the balance of its PPP loans by the end of July 2021. NSBF has redeployed the resources used to generate PPP loans to the origination of SBA 7(a) loans.</w:t>
      </w:r>
    </w:p>
    <w:p>
      <w:pPr>
        <w:spacing w:after="0" w:line="185"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For the quarterly period ended June 30, 2024, we received servicing income related to the guaranteed portions of SBA loan investments which we sell into the secondary market. These recurring fees were earned and recorded daily. Servicing income was earned for the full term of the loan or until the loan is repaid.</w:t>
      </w:r>
    </w:p>
    <w:p>
      <w:pPr>
        <w:spacing w:after="0" w:line="14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For the quarterly period ended June 30, 2024, we received a variety of fees from borrowers in the ordinary course of conducting our business, including packaging fees, legal fees, late fees and prepayment fees. All other income was recorded when earned.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quarterly period ended June 30, 2024, distributions of earnings from our joint ventures were evaluated to determine if the distribution is income, return of capital or realized gain.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4"/>
          <w:szCs w:val="14"/>
          <w:color w:val="auto"/>
        </w:rPr>
        <w:t>Following our January 2023 conversion to a financial holding company, we generate income in the form of interest, servicing and other fee income on the loans we originate. In addition, our portfolio companies became consolidating subsidiaries of the Company in 2023 and therefore, under the new organizational structure, their income is consolidated within the statement of operations along with our joint ventures. With the inclusion of NMS, NIA, PMT, and NTS, we now report Technology and IT support income and Electronic payment processing income on our Consolidated Statements of Income, and we include insurance commissions income and payroll processing income within Other noninterest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Determination of Provision for Income Taxes and Related Accounts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income tax expense, deferred tax assets and liabilities, and reserves for unrecognized tax benefits reflect management’s best assessment of estimated current and future taxes to be paid. We are subject to income taxes in the United States. We file income tax returns in approximately 47 jurisdictions: federal, state, and local. The laws and regulations of each jurisdiction are complex and may be subject to different interpretations. Significant judgments and estimates are required in determining consolidated income tax expense for each jurisdiction. Our interpretations of tax laws are subject to audits by various jurisdictions. Potential difference in the interpretation or changes in the tax laws may result in additional accrual of income tax expense or benefit, which could be material to our reported results. We consistently monitor new and reassess existing tax laws for changes and adjust our tax estimates accordingly.</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provision for income taxes is comprised of current and deferred income taxes. Deferred income taxes arise from temporary differences between the tax and financial statement recognition of revenue and expense.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results of operations. In projecting future taxable income, we begin with historical results adjusted for changes in accounting policies and incorporate assumptions about the amount of future state, federal, and foreign pretax operating income, the reversal of temporary differences, and the implementation of feasible and prudent tax planning strategies. These assumptions about future taxable income require significant judgment and are consistent with the plans and estimates we are using to manage the underlying businesses. In evaluating the objective evidence that historical results provide, we consider three years of cumulative operating income (loss).</w:t>
      </w:r>
    </w:p>
    <w:p>
      <w:pPr>
        <w:spacing w:after="0" w:line="16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At least annually, we consider existing evidence, both positive and negative, that could impact our view with regard to future realization of deferred tax assets. We currently hold deferred tax asset attributes related to net operating tax loss carryforwards. We perform regular assessments to determine whether our tax attributes are realizable. As of December 31, 2023, we continue to believe it is more likely than not that the benefit for certain state net operating loss carryforwards will not be realized.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provision for income taxes, refer to NOTE 17—INCOME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 and New Accounting Standards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NOTE 2—SIGNIFICANT ACCOUNTING POLICIES for information on recently adopted accounting pronouncements and new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 Balance Sheet Arrangements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spacing w:after="0" w:line="162"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probable credit losses.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information related to financial instruments can be found in NOTE 13—COMMITMENTS AND CONTINGENCIES.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TSO JV Securitization</w:t>
      </w:r>
    </w:p>
    <w:p>
      <w:pPr>
        <w:spacing w:after="0" w:line="19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On July 23, 2024, the Company’s joint venture, TSO JV, closed a securitization backed by ALP loans, selling $137.2 million of Class A Notes and $17.2 million of Class B Notes (collectively, the “TSO Notes”) issued by NALP Business Loan Trust 2024-1. The TSO Notes are backed by $190.5 million of collateral, consisting of $159.8 million of Company originated ALP loans and a $30.8 million prefunding account to acquire additional ALP loans originated by the Company in May 2024. The Class A and Class B Notes received Morningstar DBRS ratings of “A (sf)” and “BBB (high) (sf),”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NTS Divestiture</w:t>
      </w:r>
    </w:p>
    <w:p>
      <w:pPr>
        <w:spacing w:after="0" w:line="191"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14"/>
          <w:szCs w:val="14"/>
          <w:color w:val="auto"/>
        </w:rPr>
        <w:t>As a result of our anticipation to divest of NTS (consistent with our commitments to the Federal Reserve), we expect NTS’s net assets to be presented as a held-for-sale in the third quarter of 2024, and are evaluating ASC Subtopic 205-20 - Presenting Discontinued Operations for any additional requirements. Although we anticipate entering into an agreement to divest NTS in the short term, there can be no assurance that we will enter into any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9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4"/>
          <w:szCs w:val="14"/>
          <w:color w:val="auto"/>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spacing w:after="0" w:line="15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The Company’s interest rate profile on loans is based on a mix of fixed and variable rates. The same is true for its sources of funding (deposits, warehouse lines of credit, securitization trust notes, public notes, etc.). Some of our assets and liabilities are match funded, meaning that the interest rate and duration profiles are closely linked. Managing interest rate risk with matched funding means</w:t>
      </w:r>
    </w:p>
    <w:p>
      <w:pPr>
        <w:spacing w:after="0" w:line="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that movements in interest rates are expected to largely offset between income from assets and expenses on liabilities. For the remainder of our balance sheet, we largely take a portfolio approach to managing interest rate and liquidity risk that is inherently imprecise.</w:t>
      </w:r>
    </w:p>
    <w:p>
      <w:pPr>
        <w:spacing w:after="0" w:line="15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spacing w:after="0" w:line="15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4"/>
          <w:szCs w:val="14"/>
          <w:color w:val="auto"/>
        </w:rPr>
        <w:t>The Company’s invested cash (includes cash and cash equivalents and restricted cash) of approximately $206.3 million is subject to changes in the Federal Funds rate set by the Federal Open Market Committee. We do not purchase or hold derivative financial instruments for trading purposes. All of our transactions are conducted in U.S. dollars and we do not have any foreign currency or foreign exchange risk. We do not trade commodities or have any commodity price risk.</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that we have placed our cash investments and their equivalents, which include deposits at other institutions, with high credit-quality financial institutions. As of June 30, 2024, cash deposits in excess of insured amounts totaled approximately $42.0 million. The Company and its non-bank subsidiaries have deposit accounts at Newtek Bank that total $53.3 million, of which $50.0 million is uninsured.</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87" w:name="page88"/>
    <w:bookmarkEnd w:id="87"/>
    <w:p>
      <w:pPr>
        <w:ind w:right="60"/>
        <w:spacing w:after="0" w:line="248" w:lineRule="auto"/>
        <w:rPr>
          <w:sz w:val="20"/>
          <w:szCs w:val="20"/>
          <w:color w:val="auto"/>
        </w:rPr>
      </w:pPr>
      <w:r>
        <w:rPr>
          <w:rFonts w:ascii="Times New Roman" w:cs="Times New Roman" w:eastAsia="Times New Roman" w:hAnsi="Times New Roman"/>
          <w:sz w:val="14"/>
          <w:szCs w:val="14"/>
          <w:color w:val="auto"/>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available-for-sale securities, loan and lease portfolio, and available funding sources.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spacing w:after="0" w:line="1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spacing w:after="0" w:line="16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Estimated Changes in EVE and NII. The table below sets forth, as of June 30, 2024,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Basis Point ("bp") Change in</w:t>
            </w:r>
          </w:p>
        </w:tc>
        <w:tc>
          <w:tcPr>
            <w:tcW w:w="5640" w:type="dxa"/>
            <w:vAlign w:val="bottom"/>
            <w:gridSpan w:val="4"/>
          </w:tcPr>
          <w:p>
            <w:pPr>
              <w:ind w:left="1600"/>
              <w:spacing w:after="0"/>
              <w:rPr>
                <w:sz w:val="20"/>
                <w:szCs w:val="20"/>
                <w:color w:val="auto"/>
              </w:rPr>
            </w:pPr>
            <w:r>
              <w:rPr>
                <w:rFonts w:ascii="Times New Roman" w:cs="Times New Roman" w:eastAsia="Times New Roman" w:hAnsi="Times New Roman"/>
                <w:sz w:val="11"/>
                <w:szCs w:val="11"/>
                <w:color w:val="auto"/>
              </w:rPr>
              <w:t>Estimated Increase/Decrease in Net Interest Income</w:t>
            </w:r>
          </w:p>
        </w:tc>
        <w:tc>
          <w:tcPr>
            <w:tcW w:w="278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Estimated Percentage Change in EVE</w:t>
            </w:r>
          </w:p>
        </w:tc>
      </w:tr>
      <w:tr>
        <w:trPr>
          <w:trHeight w:val="153"/>
        </w:trPr>
        <w:tc>
          <w:tcPr>
            <w:tcW w:w="80" w:type="dxa"/>
            <w:vAlign w:val="bottom"/>
          </w:tcPr>
          <w:p>
            <w:pPr>
              <w:spacing w:after="0"/>
              <w:rPr>
                <w:sz w:val="13"/>
                <w:szCs w:val="13"/>
                <w:color w:val="auto"/>
              </w:rPr>
            </w:pPr>
          </w:p>
        </w:tc>
        <w:tc>
          <w:tcPr>
            <w:tcW w:w="2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Interest Rates</w:t>
            </w:r>
          </w:p>
        </w:tc>
        <w:tc>
          <w:tcPr>
            <w:tcW w:w="270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1"/>
                <w:szCs w:val="11"/>
                <w:color w:val="auto"/>
              </w:rPr>
              <w:t>12 Months Beginning June 30, 2024</w:t>
            </w:r>
          </w:p>
        </w:tc>
        <w:tc>
          <w:tcPr>
            <w:tcW w:w="1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color w:val="auto"/>
              </w:rPr>
              <w:t>12 Months Beginning June 30, 2025</w:t>
            </w:r>
          </w:p>
        </w:tc>
        <w:tc>
          <w:tcPr>
            <w:tcW w:w="100" w:type="dxa"/>
            <w:vAlign w:val="bottom"/>
          </w:tcPr>
          <w:p>
            <w:pPr>
              <w:spacing w:after="0"/>
              <w:rPr>
                <w:sz w:val="13"/>
                <w:szCs w:val="13"/>
                <w:color w:val="auto"/>
              </w:rPr>
            </w:pPr>
          </w:p>
        </w:tc>
        <w:tc>
          <w:tcPr>
            <w:tcW w:w="2700" w:type="dxa"/>
            <w:vAlign w:val="bottom"/>
            <w:tcBorders>
              <w:top w:val="single" w:sz="8" w:color="auto"/>
            </w:tcBorders>
          </w:tcPr>
          <w:p>
            <w:pPr>
              <w:jc w:val="right"/>
              <w:ind w:right="834"/>
              <w:spacing w:after="0"/>
              <w:rPr>
                <w:sz w:val="20"/>
                <w:szCs w:val="20"/>
                <w:color w:val="auto"/>
              </w:rPr>
            </w:pPr>
            <w:r>
              <w:rPr>
                <w:rFonts w:ascii="Times New Roman" w:cs="Times New Roman" w:eastAsia="Times New Roman" w:hAnsi="Times New Roman"/>
                <w:sz w:val="11"/>
                <w:szCs w:val="11"/>
                <w:color w:val="auto"/>
              </w:rPr>
              <w:t>As of June 30, 2024</w:t>
            </w:r>
          </w:p>
        </w:tc>
        <w:tc>
          <w:tcPr>
            <w:tcW w:w="80" w:type="dxa"/>
            <w:vAlign w:val="bottom"/>
          </w:tcPr>
          <w:p>
            <w:pPr>
              <w:spacing w:after="0"/>
              <w:rPr>
                <w:sz w:val="13"/>
                <w:szCs w:val="13"/>
                <w:color w:val="auto"/>
              </w:rPr>
            </w:pPr>
          </w:p>
        </w:tc>
      </w:tr>
      <w:tr>
        <w:trPr>
          <w:trHeight w:val="177"/>
        </w:trPr>
        <w:tc>
          <w:tcPr>
            <w:tcW w:w="80" w:type="dxa"/>
            <w:vAlign w:val="bottom"/>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12.8%</w:t>
            </w:r>
          </w:p>
        </w:tc>
        <w:tc>
          <w:tcPr>
            <w:tcW w:w="14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6.5</w:t>
            </w:r>
          </w:p>
        </w:tc>
        <w:tc>
          <w:tcPr>
            <w:tcW w:w="28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5"/>
                <w:szCs w:val="15"/>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r>
      <w:tr>
        <w:trPr>
          <w:trHeight w:val="180"/>
        </w:trPr>
        <w:tc>
          <w:tcPr>
            <w:tcW w:w="80" w:type="dxa"/>
            <w:vAlign w:val="bottom"/>
          </w:tcPr>
          <w:p>
            <w:pPr>
              <w:spacing w:after="0"/>
              <w:rPr>
                <w:sz w:val="15"/>
                <w:szCs w:val="15"/>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(6.0)</w:t>
            </w:r>
          </w:p>
        </w:tc>
        <w:tc>
          <w:tcPr>
            <w:tcW w:w="28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2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5"/>
                <w:szCs w:val="15"/>
                <w:color w:val="auto"/>
              </w:rPr>
            </w:pPr>
          </w:p>
        </w:tc>
      </w:tr>
      <w:tr>
        <w:trPr>
          <w:trHeight w:val="184"/>
        </w:trPr>
        <w:tc>
          <w:tcPr>
            <w:tcW w:w="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(11.9)</w:t>
            </w:r>
          </w:p>
        </w:tc>
        <w:tc>
          <w:tcPr>
            <w:tcW w:w="284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27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r>
      <w:tr>
        <w:trPr>
          <w:trHeight w:val="855"/>
        </w:trPr>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40" w:type="dxa"/>
            <w:vAlign w:val="bottom"/>
            <w:gridSpan w:val="2"/>
          </w:tcPr>
          <w:p>
            <w:pPr>
              <w:jc w:val="right"/>
              <w:ind w:right="2616"/>
              <w:spacing w:after="0"/>
              <w:rPr>
                <w:sz w:val="20"/>
                <w:szCs w:val="20"/>
                <w:color w:val="auto"/>
              </w:rPr>
            </w:pPr>
            <w:r>
              <w:rPr>
                <w:rFonts w:ascii="Times New Roman" w:cs="Times New Roman" w:eastAsia="Times New Roman" w:hAnsi="Times New Roman"/>
                <w:sz w:val="14"/>
                <w:szCs w:val="14"/>
                <w:color w:val="auto"/>
                <w:w w:val="99"/>
              </w:rPr>
              <w:t>88</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8" w:name="page89"/>
    <w:bookmarkEnd w:id="88"/>
    <w:p>
      <w:pPr>
        <w:spacing w:after="0" w:line="264" w:lineRule="auto"/>
        <w:rPr>
          <w:sz w:val="20"/>
          <w:szCs w:val="20"/>
          <w:color w:val="auto"/>
        </w:rPr>
      </w:pPr>
      <w:r>
        <w:rPr>
          <w:rFonts w:ascii="Times New Roman" w:cs="Times New Roman" w:eastAsia="Times New Roman" w:hAnsi="Times New Roman"/>
          <w:sz w:val="14"/>
          <w:szCs w:val="14"/>
          <w:color w:val="auto"/>
        </w:rPr>
        <w:t>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w:t>
      </w:r>
    </w:p>
    <w:p>
      <w:pPr>
        <w:spacing w:after="0" w:line="16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4"/>
          <w:szCs w:val="14"/>
          <w:color w:val="auto"/>
        </w:rPr>
        <w:t>As of June 30, 2024 (the end of the period covered by this report), management evaluated the effectiveness of the design and operation of the Company’s disclosure controls and procedures (as defined in Rule 13a-15(e) of the Exchange Act).</w:t>
      </w:r>
    </w:p>
    <w:p>
      <w:pPr>
        <w:spacing w:after="0" w:line="157"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4"/>
          <w:szCs w:val="14"/>
          <w:color w:val="auto"/>
        </w:rPr>
        <w:t>Based on the evaluation of our disclosure controls and procedures, management concluded that the Company’s disclosure controls and procedures were not effective as of June 30, 2024, due to certain identified material weaknesses in the Company’s internal control over financial reporting (“ICFR”) that are described in Part II, Item 9A of our 2023 Form 10-K. A material weakness (as defined in Rule 12b-2 under the Exchange Act) is a deficiency, or combination of deficiencies, in ICFR such that there is a reasonable possibility that a material misstatement of annual or interim financial statements will be presented or not detected on a timely basis.</w:t>
      </w:r>
    </w:p>
    <w:p>
      <w:pPr>
        <w:spacing w:after="0" w:line="1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Based on additional analysis and other procedures performed by the Company, management concluded that the Consolidated Financial Statements included in this report fairly present in all material respects the Company’s financial position, results of operations, capital position, and cash flows for the periods presented, in conformity with U.S. GAAP.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Except as described below under “Remediation Process,” there were no changes in the Company’s ICFR (as defined in Rule 13a-15(f) of the Exchange Act) that occurred during our most recently completed fiscal quarter, that have materially affected, or are reasonably likely to materially affect, the Company’s ICFR.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Process</w:t>
      </w:r>
    </w:p>
    <w:p>
      <w:pPr>
        <w:spacing w:after="0" w:line="181"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4"/>
          <w:szCs w:val="14"/>
          <w:color w:val="auto"/>
        </w:rPr>
        <w:t>Following the identification of the material weaknesses to which are referred above, with the oversight of the Audit Committee of our board of directors (“Audit Committee” and “Board,” respectively), we commenced a process to remediate the underlying causes of those material weaknesses, enhance the control environment and strengthen our ICFR. The initial steps that the Company has taken are described in Part II, Item 9A of our 2023 Form 10-K and additional steps are described in Part I, Item 4 of our March 31, 2024 Form 10-Q. Further steps taken to-date with respect to remediation of the material weaknesses identified are summarized below:</w:t>
      </w:r>
    </w:p>
    <w:p>
      <w:pPr>
        <w:spacing w:after="0" w:line="168" w:lineRule="exact"/>
        <w:rPr>
          <w:sz w:val="20"/>
          <w:szCs w:val="20"/>
          <w:color w:val="auto"/>
        </w:rPr>
      </w:pPr>
    </w:p>
    <w:p>
      <w:pPr>
        <w:ind w:left="520" w:right="300" w:hanging="260"/>
        <w:spacing w:after="0" w:line="232" w:lineRule="auto"/>
        <w:tabs>
          <w:tab w:leader="none" w:pos="511" w:val="left"/>
        </w:tabs>
        <w:numPr>
          <w:ilvl w:val="0"/>
          <w:numId w:val="43"/>
        </w:numPr>
        <w:rPr>
          <w:rFonts w:ascii="Arial" w:cs="Arial" w:eastAsia="Arial" w:hAnsi="Arial"/>
          <w:sz w:val="16"/>
          <w:szCs w:val="16"/>
          <w:color w:val="auto"/>
        </w:rPr>
      </w:pPr>
      <w:r>
        <w:rPr>
          <w:rFonts w:ascii="Times New Roman" w:cs="Times New Roman" w:eastAsia="Times New Roman" w:hAnsi="Times New Roman"/>
          <w:sz w:val="14"/>
          <w:szCs w:val="14"/>
          <w:color w:val="auto"/>
        </w:rPr>
        <w:t>Began executing on the comprehensive remediation plan that was reviewed and approved by our Board by redesigning existing ICFR and designing additional ICFR to mitigate risks of material misstatement, including the level of precision at which the controls will operate.</w:t>
      </w:r>
    </w:p>
    <w:p>
      <w:pPr>
        <w:ind w:left="500" w:hanging="240"/>
        <w:spacing w:after="0" w:line="219" w:lineRule="auto"/>
        <w:tabs>
          <w:tab w:leader="none" w:pos="500" w:val="left"/>
        </w:tabs>
        <w:numPr>
          <w:ilvl w:val="0"/>
          <w:numId w:val="43"/>
        </w:numPr>
        <w:rPr>
          <w:rFonts w:ascii="Arial" w:cs="Arial" w:eastAsia="Arial" w:hAnsi="Arial"/>
          <w:sz w:val="16"/>
          <w:szCs w:val="16"/>
          <w:color w:val="auto"/>
        </w:rPr>
      </w:pPr>
      <w:r>
        <w:rPr>
          <w:rFonts w:ascii="Times New Roman" w:cs="Times New Roman" w:eastAsia="Times New Roman" w:hAnsi="Times New Roman"/>
          <w:sz w:val="14"/>
          <w:szCs w:val="14"/>
          <w:color w:val="auto"/>
        </w:rPr>
        <w:t>Enhanced documentation to evidence the performance of management review controls.</w:t>
      </w:r>
    </w:p>
    <w:p>
      <w:pPr>
        <w:spacing w:after="0" w:line="1" w:lineRule="exact"/>
        <w:rPr>
          <w:rFonts w:ascii="Arial" w:cs="Arial" w:eastAsia="Arial" w:hAnsi="Arial"/>
          <w:sz w:val="16"/>
          <w:szCs w:val="16"/>
          <w:color w:val="auto"/>
        </w:rPr>
      </w:pPr>
    </w:p>
    <w:p>
      <w:pPr>
        <w:ind w:left="500" w:hanging="240"/>
        <w:spacing w:after="0" w:line="207" w:lineRule="auto"/>
        <w:tabs>
          <w:tab w:leader="none" w:pos="500" w:val="left"/>
        </w:tabs>
        <w:numPr>
          <w:ilvl w:val="0"/>
          <w:numId w:val="43"/>
        </w:numPr>
        <w:rPr>
          <w:rFonts w:ascii="Arial" w:cs="Arial" w:eastAsia="Arial" w:hAnsi="Arial"/>
          <w:sz w:val="16"/>
          <w:szCs w:val="16"/>
          <w:color w:val="auto"/>
        </w:rPr>
      </w:pPr>
      <w:r>
        <w:rPr>
          <w:rFonts w:ascii="Times New Roman" w:cs="Times New Roman" w:eastAsia="Times New Roman" w:hAnsi="Times New Roman"/>
          <w:sz w:val="14"/>
          <w:szCs w:val="14"/>
          <w:color w:val="auto"/>
        </w:rPr>
        <w:t>Utilized our public accounting consulting firm to begin testing existing controls in accordance with the SOX governance program and execution of the remediation plan.</w:t>
      </w:r>
    </w:p>
    <w:p>
      <w:pPr>
        <w:ind w:left="520" w:hanging="260"/>
        <w:spacing w:after="0" w:line="221"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Hired three Certified Public Accountants as additions to the finance and accounting department, two of whom have public accounting experience.</w:t>
      </w:r>
    </w:p>
    <w:p>
      <w:pPr>
        <w:ind w:left="520" w:right="140" w:hanging="260"/>
        <w:spacing w:after="0" w:line="221"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Hired two Certified Public Accountants with public accounting experience within the risk department, one of whom is a certified information systems security professional holding CISSP, CISA, and CCSK credentials.</w:t>
      </w: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Governance, Risk and Compliance technology to standardize and facilitate the SOX governance program.</w:t>
      </w:r>
    </w:p>
    <w:p>
      <w:pPr>
        <w:spacing w:after="0" w:line="7" w:lineRule="exact"/>
        <w:rPr>
          <w:rFonts w:ascii="Times New Roman" w:cs="Times New Roman" w:eastAsia="Times New Roman" w:hAnsi="Times New Roman"/>
          <w:sz w:val="14"/>
          <w:szCs w:val="14"/>
          <w:color w:val="auto"/>
        </w:rPr>
      </w:pPr>
    </w:p>
    <w:p>
      <w:pPr>
        <w:ind w:left="520" w:right="100" w:hanging="260"/>
        <w:spacing w:after="0" w:line="221" w:lineRule="auto"/>
        <w:tabs>
          <w:tab w:leader="none" w:pos="511" w:val="left"/>
        </w:tabs>
        <w:numPr>
          <w:ilvl w:val="0"/>
          <w:numId w:val="43"/>
        </w:numPr>
        <w:rPr>
          <w:rFonts w:ascii="Arial" w:cs="Arial" w:eastAsia="Arial" w:hAnsi="Arial"/>
          <w:sz w:val="16"/>
          <w:szCs w:val="16"/>
          <w:color w:val="auto"/>
        </w:rPr>
      </w:pPr>
      <w:r>
        <w:rPr>
          <w:rFonts w:ascii="Times New Roman" w:cs="Times New Roman" w:eastAsia="Times New Roman" w:hAnsi="Times New Roman"/>
          <w:sz w:val="14"/>
          <w:szCs w:val="14"/>
          <w:color w:val="auto"/>
        </w:rPr>
        <w:t>Established monthly SOX Steering Committee updates to allow senior executive management to report on the governance of the SOX program and remediation of the previously identified material weaknesses.</w:t>
      </w:r>
    </w:p>
    <w:p>
      <w:pPr>
        <w:ind w:left="520" w:hanging="260"/>
        <w:spacing w:after="0" w:line="226" w:lineRule="auto"/>
        <w:tabs>
          <w:tab w:leader="none" w:pos="511" w:val="left"/>
        </w:tabs>
        <w:numPr>
          <w:ilvl w:val="0"/>
          <w:numId w:val="43"/>
        </w:numPr>
        <w:rPr>
          <w:rFonts w:ascii="Arial" w:cs="Arial" w:eastAsia="Arial" w:hAnsi="Arial"/>
          <w:sz w:val="16"/>
          <w:szCs w:val="16"/>
          <w:color w:val="auto"/>
        </w:rPr>
      </w:pPr>
      <w:r>
        <w:rPr>
          <w:rFonts w:ascii="Times New Roman" w:cs="Times New Roman" w:eastAsia="Times New Roman" w:hAnsi="Times New Roman"/>
          <w:sz w:val="14"/>
          <w:szCs w:val="14"/>
          <w:color w:val="auto"/>
        </w:rPr>
        <w:t>Strengthened the SOX sub certification process to explicitly require management responsible for the oversight of certain processes and controls within the control environment to attest to the design, implementation, and operating effectiveness of their portion of the control environment on a quarterly basis, including required remediation, as well as communicate any changes thereto.</w:t>
      </w:r>
    </w:p>
    <w:p>
      <w:pPr>
        <w:spacing w:after="0" w:line="15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The status of our remediation plan is being, and will continue to be, reported by management to the Audit Committee on a regular basis. In addition, management has assigned executive owners to oversee the remedial changes to the overall design of the Company’s internal control environment and to address the root causes of our material weaknesses.</w:t>
      </w:r>
    </w:p>
    <w:p>
      <w:pPr>
        <w:spacing w:after="0" w:line="14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4"/>
          <w:szCs w:val="14"/>
          <w:color w:val="auto"/>
        </w:rPr>
        <w:t>While certain actions have been taken to enhance the Company’s ICFR relating to the material weaknesses identified as of the date of this report, we are still in the process of executing on our comprehensive remediation plan. Accordingly, the previously identified material weaknesses cannot be considered remediated until each control has been appropriately designed, has operated for a sufficient period of time, and until management has concluded, through testing, that the control is operating effectively.</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7" w:right="359" w:bottom="1440" w:gutter="0" w:footer="0" w:header="0"/>
        </w:sectPr>
      </w:pPr>
    </w:p>
    <w:bookmarkStart w:id="90" w:name="page91"/>
    <w:bookmarkEnd w:id="90"/>
    <w:p>
      <w:pPr>
        <w:spacing w:after="0" w:line="246" w:lineRule="auto"/>
        <w:rPr>
          <w:sz w:val="20"/>
          <w:szCs w:val="20"/>
          <w:color w:val="auto"/>
        </w:rPr>
      </w:pPr>
      <w:r>
        <w:rPr>
          <w:rFonts w:ascii="Times New Roman" w:cs="Times New Roman" w:eastAsia="Times New Roman" w:hAnsi="Times New Roman"/>
          <w:sz w:val="14"/>
          <w:szCs w:val="14"/>
          <w:color w:val="auto"/>
        </w:rPr>
        <w:t>As management continues to evaluate and strive to improve the Company’s ICFR, management may take additional measures to address these control deficiencies or modify its comprehensive remediation plan. While management intends to resolve all of the material weaknesses, no assurances can be provided that these remediation efforts will be successful, that the Company’s ICFR will be effective as a result of these efforts by any particular date, nor is it certain whether additional actions will be required.</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19" w:right="39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Refer to “NOTE 13—COMMITMENTS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w:t>
      </w:r>
    </w:p>
    <w:p>
      <w:pPr>
        <w:spacing w:after="0" w:line="15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addition, as a result of a litigation brought by the Federal Trade Commission (the “FTC”) in October 2012, NMS voluntarily entered into, and is presently operating under, a permanent injunction with respect to certain of its business practices.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discussed in Part I, “Item 1A. Risk Factors” in our 2023 Form 10-K, which could materially affect our business, financial condition and/or operating results. The risks described in our 2023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2023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We previously issued shares of common stock that are not subject to the registration requirements of the Securities Act in connection with the DRIP. On December 8, 2023, the Company terminated the DRIP; therefore, during the three and six months ended June 30, 2024 we issued no shares related to the DRIP. During the three and six months ended June 30, 2023 we issued 4,300 and 10,200 shares of common stock valued at $0.1 million and $0.1 million, respectively, to shareholders in connection with the DRIP.</w:t>
      </w:r>
    </w:p>
    <w:p>
      <w:pPr>
        <w:spacing w:after="0" w:line="15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also issue shares of common stock that are not subject to the registration requirements of the Securities Act in connection with dividends on unvested restricted stock awards. A breakdown of the shares related to dividends on unvested restricted stock awards is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71"/>
        </w:trPr>
        <w:tc>
          <w:tcPr>
            <w:tcW w:w="23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3"/>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shd w:val="clear" w:color="auto" w:fill="CCEEFF"/>
          </w:tcPr>
          <w:p>
            <w:pPr>
              <w:spacing w:after="0"/>
              <w:rPr>
                <w:sz w:val="14"/>
                <w:szCs w:val="14"/>
                <w:color w:val="auto"/>
              </w:rPr>
            </w:pPr>
          </w:p>
        </w:tc>
      </w:tr>
      <w:tr>
        <w:trPr>
          <w:trHeight w:val="171"/>
        </w:trPr>
        <w:tc>
          <w:tcPr>
            <w:tcW w:w="2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shares on unvested RSAs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Arrangements</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On June 16, 2023, Salvatore Mulia, a member of our Board, entered into a written plan for the sale of an aggregate 9,000 shares of Common Stock. The plan is intended to satisfy the affirmative defense conditions of Rule 10b5-1(c) under the Exchange Act. The plan commenced on September 21, 2023 and terminates on September 22,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2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80" w:type="dxa"/>
            <w:vAlign w:val="bottom"/>
          </w:tcPr>
          <w:p>
            <w:pPr>
              <w:spacing w:after="0"/>
              <w:rPr>
                <w:rFonts w:ascii="Times New Roman" w:cs="Times New Roman" w:eastAsia="Times New Roman" w:hAnsi="Times New Roman"/>
                <w:sz w:val="14"/>
                <w:szCs w:val="14"/>
                <w:color w:val="0000FF"/>
                <w:w w:val="91"/>
              </w:rPr>
            </w:pPr>
            <w:hyperlink r:id="rId137">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hyperlink>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60" w:type="dxa"/>
            <w:vAlign w:val="bottom"/>
            <w:gridSpan w:val="16"/>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Amended and Restated Articles of Incorporation of Newtek (Incorporate by reference to Exhibit A to Newtek’s Pre-Effective Amendment No. 3 to its Registration Statement</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22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on Form N-2, No. 333-191499, filed November 3, 2014.)</w:t>
              </w:r>
            </w:hyperlink>
          </w:p>
        </w:tc>
        <w:tc>
          <w:tcPr>
            <w:tcW w:w="65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38">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2</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60" w:type="dxa"/>
            <w:vAlign w:val="bottom"/>
            <w:gridSpan w:val="16"/>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Bylaws of Newtek (Incorporated by reference to Exhibit 2 to Newtek’s Registration Statement on Form N-14, No. 333-195998, filed September 24, 2014).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80" w:type="dxa"/>
            <w:vAlign w:val="bottom"/>
          </w:tcPr>
          <w:p>
            <w:pPr>
              <w:spacing w:after="0"/>
              <w:rPr>
                <w:rFonts w:ascii="Times New Roman" w:cs="Times New Roman" w:eastAsia="Times New Roman" w:hAnsi="Times New Roman"/>
                <w:sz w:val="14"/>
                <w:szCs w:val="14"/>
                <w:color w:val="0000FF"/>
                <w:w w:val="91"/>
              </w:rPr>
            </w:pPr>
            <w:hyperlink r:id="rId139">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3</w:t>
              </w:r>
            </w:hyperlink>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6"/>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Articles of Amendment to the Amended and Restated Articles of Incorporation of NewtekOne, Inc. (Incorporated by reference to Exhibit 99.1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9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Form 8-K, filed January 17, 2023).</w:t>
              </w:r>
            </w:hyperlink>
          </w:p>
        </w:tc>
        <w:tc>
          <w:tcPr>
            <w:tcW w:w="786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40">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4</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60" w:type="dxa"/>
            <w:vAlign w:val="bottom"/>
            <w:gridSpan w:val="16"/>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Amended Bylaws of NewtekOne, Inc. (Incorporated by reference to Exhibit 99.1 of Newtek’s Current Report on Form 8-K, filed January 24, 2023).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940" w:type="dxa"/>
            <w:vAlign w:val="bottom"/>
            <w:gridSpan w:val="5"/>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88"/>
        </w:trPr>
        <w:tc>
          <w:tcPr>
            <w:tcW w:w="180" w:type="dxa"/>
            <w:vAlign w:val="bottom"/>
          </w:tcPr>
          <w:p>
            <w:pPr>
              <w:spacing w:after="0"/>
              <w:rPr>
                <w:rFonts w:ascii="Times New Roman" w:cs="Times New Roman" w:eastAsia="Times New Roman" w:hAnsi="Times New Roman"/>
                <w:sz w:val="14"/>
                <w:szCs w:val="14"/>
                <w:color w:val="0000FF"/>
                <w:w w:val="91"/>
              </w:rPr>
            </w:pPr>
            <w:hyperlink r:id="rId141">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5</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60" w:type="dxa"/>
            <w:vAlign w:val="bottom"/>
            <w:gridSpan w:val="16"/>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Articles Supplementary to the Amended and Restated Articles of Incorporation of NewtekOne, Inc (Incorporated by reference to Exhibit 3.1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0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Form 8-K filed February 7, 2023</w:t>
              </w:r>
              <w:r>
                <w:rPr>
                  <w:rFonts w:ascii="Times New Roman" w:cs="Times New Roman" w:eastAsia="Times New Roman" w:hAnsi="Times New Roman"/>
                  <w:sz w:val="13"/>
                  <w:szCs w:val="13"/>
                  <w:color w:val="000000"/>
                </w:rPr>
                <w:t>).</w:t>
              </w:r>
            </w:hyperlink>
          </w:p>
        </w:tc>
        <w:tc>
          <w:tcPr>
            <w:tcW w:w="140" w:type="dxa"/>
            <w:vAlign w:val="bottom"/>
            <w:gridSpan w:val="3"/>
          </w:tcPr>
          <w:p>
            <w:pPr>
              <w:spacing w:after="0"/>
              <w:rPr>
                <w:sz w:val="10"/>
                <w:szCs w:val="10"/>
                <w:color w:val="auto"/>
              </w:rPr>
            </w:pPr>
          </w:p>
        </w:tc>
      </w:tr>
      <w:tr>
        <w:trPr>
          <w:trHeight w:val="20"/>
        </w:trPr>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13"/>
        </w:trPr>
        <w:tc>
          <w:tcPr>
            <w:tcW w:w="180" w:type="dxa"/>
            <w:vAlign w:val="bottom"/>
          </w:tcPr>
          <w:p>
            <w:pPr>
              <w:spacing w:after="0"/>
              <w:rPr>
                <w:rFonts w:ascii="Times New Roman" w:cs="Times New Roman" w:eastAsia="Times New Roman" w:hAnsi="Times New Roman"/>
                <w:sz w:val="14"/>
                <w:szCs w:val="14"/>
                <w:color w:val="0000FF"/>
                <w:w w:val="91"/>
              </w:rPr>
            </w:pPr>
            <w:hyperlink r:id="rId142">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6</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60" w:type="dxa"/>
            <w:vAlign w:val="bottom"/>
            <w:gridSpan w:val="16"/>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Articles of Amendment to the Amended and Restated Articles of Incorporation of NewtekOne, Inc. (Incorporated by reference to Exhibit 99.1 to Newtek’s Current Report on</w:t>
              </w:r>
            </w:hyperlink>
          </w:p>
        </w:tc>
      </w:tr>
      <w:tr>
        <w:trPr>
          <w:trHeight w:val="118"/>
        </w:trPr>
        <w:tc>
          <w:tcPr>
            <w:tcW w:w="1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18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Form 8-K, filed June 18, 2024).</w:t>
              </w:r>
            </w:hyperlink>
          </w:p>
        </w:tc>
        <w:tc>
          <w:tcPr>
            <w:tcW w:w="798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Employment Agreement by and between NewtekOne, Inc. and M. Scott Price, dated as of May 15, 2024, filed herewith.</w:t>
            </w:r>
          </w:p>
        </w:tc>
      </w:tr>
      <w:tr>
        <w:trPr>
          <w:trHeight w:val="20"/>
        </w:trPr>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80" w:type="dxa"/>
            <w:vAlign w:val="bottom"/>
            <w:gridSpan w:val="6"/>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by Principal Executive Officer required by Rules 13a-14 and 15d-14(a) under the Securities Exchange Act of 1934, as amended,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20" w:type="dxa"/>
            <w:vAlign w:val="bottom"/>
            <w:gridSpan w:val="9"/>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31.</w:t>
            </w:r>
            <w:r>
              <w:rPr>
                <w:rFonts w:ascii="Times New Roman" w:cs="Times New Roman" w:eastAsia="Times New Roman" w:hAnsi="Times New Roman"/>
                <w:sz w:val="14"/>
                <w:szCs w:val="14"/>
                <w:u w:val="single" w:color="auto"/>
                <w:color w:val="0000FF"/>
                <w:w w:val="88"/>
              </w:rPr>
              <w:t>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required by Rules 13a-14 and 15d-14(a) under the Securities Exchange Act of 1934, as amended,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20" w:type="dxa"/>
            <w:vAlign w:val="bottom"/>
            <w:gridSpan w:val="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1**</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by Principal Executive pursuant to 18 U.S.C. Section 1350, as adopted pursuant to Section 906 of the Sarbanes-Oxley Act of 2002 filed herewith.</w:t>
            </w:r>
          </w:p>
        </w:tc>
      </w:tr>
      <w:tr>
        <w:trPr>
          <w:trHeight w:val="20"/>
        </w:trPr>
        <w:tc>
          <w:tcPr>
            <w:tcW w:w="3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980" w:type="dxa"/>
            <w:vAlign w:val="bottom"/>
            <w:gridSpan w:val="10"/>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r>
      <w:tr>
        <w:trPr>
          <w:trHeight w:val="203"/>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72"/>
              </w:rPr>
              <w:t>32.</w:t>
            </w:r>
            <w:r>
              <w:rPr>
                <w:rFonts w:ascii="Times New Roman" w:cs="Times New Roman" w:eastAsia="Times New Roman" w:hAnsi="Times New Roman"/>
                <w:sz w:val="14"/>
                <w:szCs w:val="14"/>
                <w:u w:val="single" w:color="auto"/>
                <w:color w:val="0000FF"/>
                <w:w w:val="72"/>
              </w:rPr>
              <w:t>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by Principal Financial Officer pursuant to 18 U.S.C. Section 1350, as adopted pursuant to Section 906 of the Sarbanes-Oxley Act of 2002 filed herewith.</w:t>
            </w:r>
          </w:p>
        </w:tc>
      </w:tr>
      <w:tr>
        <w:trPr>
          <w:trHeight w:val="20"/>
        </w:trPr>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 w:lineRule="exact"/>
        <w:rPr>
          <w:sz w:val="20"/>
          <w:szCs w:val="20"/>
          <w:color w:val="auto"/>
        </w:rPr>
      </w:pPr>
    </w:p>
    <w:p>
      <w:pPr>
        <w:ind w:left="1240" w:hanging="1221"/>
        <w:spacing w:after="0" w:line="226" w:lineRule="auto"/>
        <w:tabs>
          <w:tab w:leader="none" w:pos="1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Interactive Data Files Pursuant to Rule 405 of Regulation S-T: (i) the Consolidated Balance Sheets as of June 30, 2024 and December 31, 2023; (ii) the Consolidated Statements of Operations for the three and six months ended June 30, 2024 and 2023; (iii) the Consolidated Statements of Changes in Shareholders’ Equity for the three and six months ended June 30, 2024 and 2023; (iv) the Consolidated Statements of Cash Flows for the six months ended June 30, 2024 and 2023; and (v) the Notes to the Consolidated Financial Statements.</w:t>
      </w:r>
    </w:p>
    <w:p>
      <w:pPr>
        <w:spacing w:after="0" w:line="41" w:lineRule="exact"/>
        <w:rPr>
          <w:sz w:val="20"/>
          <w:szCs w:val="20"/>
          <w:color w:val="auto"/>
        </w:rPr>
      </w:pPr>
    </w:p>
    <w:p>
      <w:pPr>
        <w:ind w:left="1240" w:hanging="1221"/>
        <w:spacing w:after="0"/>
        <w:tabs>
          <w:tab w:leader="none" w:pos="124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7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3" w:lineRule="exact"/>
        <w:rPr>
          <w:rFonts w:ascii="Times New Roman" w:cs="Times New Roman" w:eastAsia="Times New Roman" w:hAnsi="Times New Roman"/>
          <w:sz w:val="14"/>
          <w:szCs w:val="14"/>
          <w:color w:val="auto"/>
        </w:rPr>
      </w:pPr>
    </w:p>
    <w:p>
      <w:pPr>
        <w:ind w:left="180" w:hanging="175"/>
        <w:spacing w:after="0"/>
        <w:tabs>
          <w:tab w:leader="none" w:pos="1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NEWTEKONE, INC.</w:t>
      </w:r>
    </w:p>
    <w:p>
      <w:pPr>
        <w:spacing w:after="0" w:line="64" w:lineRule="exact"/>
        <w:rPr>
          <w:sz w:val="20"/>
          <w:szCs w:val="20"/>
          <w:color w:val="auto"/>
        </w:rPr>
      </w:pPr>
    </w:p>
    <w:p>
      <w:pPr>
        <w:ind w:left="20"/>
        <w:spacing w:after="0"/>
        <w:tabs>
          <w:tab w:leader="none" w:pos="5500" w:val="left"/>
          <w:tab w:leader="none" w:pos="7880" w:val="left"/>
          <w:tab w:leader="none" w:pos="8160" w:val="left"/>
        </w:tabs>
        <w:rPr>
          <w:sz w:val="20"/>
          <w:szCs w:val="20"/>
          <w:color w:val="auto"/>
        </w:rPr>
      </w:pPr>
      <w:r>
        <w:rPr>
          <w:rFonts w:ascii="Times New Roman" w:cs="Times New Roman" w:eastAsia="Times New Roman" w:hAnsi="Times New Roman"/>
          <w:sz w:val="14"/>
          <w:szCs w:val="14"/>
          <w:color w:val="auto"/>
        </w:rPr>
        <w:t>Date: 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B</w:t>
      </w:r>
      <w:r>
        <w:rPr>
          <w:rFonts w:ascii="Times New Roman" w:cs="Times New Roman" w:eastAsia="Times New Roman" w:hAnsi="Times New Roman"/>
          <w:sz w:val="11"/>
          <w:szCs w:val="11"/>
          <w:color w:val="auto"/>
        </w:rPr>
        <w:t>ARRY</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1"/>
          <w:szCs w:val="11"/>
          <w:b w:val="1"/>
          <w:bCs w:val="1"/>
          <w:color w:val="auto"/>
        </w:rPr>
        <w:t>Chief Executive Officer, President and Chairman of the Board</w:t>
      </w:r>
    </w:p>
    <w:p>
      <w:pPr>
        <w:ind w:left="790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pacing w:after="0" w:line="66" w:lineRule="exact"/>
        <w:rPr>
          <w:sz w:val="20"/>
          <w:szCs w:val="20"/>
          <w:color w:val="auto"/>
        </w:rPr>
      </w:pPr>
    </w:p>
    <w:p>
      <w:pPr>
        <w:ind w:left="20"/>
        <w:spacing w:after="0"/>
        <w:tabs>
          <w:tab w:leader="none" w:pos="5500" w:val="left"/>
          <w:tab w:leader="none" w:pos="7860" w:val="left"/>
          <w:tab w:leader="none" w:pos="8160" w:val="left"/>
        </w:tabs>
        <w:rPr>
          <w:sz w:val="20"/>
          <w:szCs w:val="20"/>
          <w:color w:val="auto"/>
        </w:rPr>
      </w:pPr>
      <w:r>
        <w:rPr>
          <w:rFonts w:ascii="Times New Roman" w:cs="Times New Roman" w:eastAsia="Times New Roman" w:hAnsi="Times New Roman"/>
          <w:sz w:val="14"/>
          <w:szCs w:val="14"/>
          <w:color w:val="auto"/>
        </w:rPr>
        <w:t>Date: August 9,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w:t>
        <w:tab/>
        <w:t>M. S</w:t>
      </w:r>
      <w:r>
        <w:rPr>
          <w:rFonts w:ascii="Times New Roman" w:cs="Times New Roman" w:eastAsia="Times New Roman" w:hAnsi="Times New Roman"/>
          <w:sz w:val="11"/>
          <w:szCs w:val="11"/>
          <w:color w:val="auto"/>
        </w:rPr>
        <w:t>COTT</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21590</wp:posOffset>
            </wp:positionV>
            <wp:extent cx="33553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3355340" cy="6985"/>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2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1"/>
          <w:szCs w:val="11"/>
          <w:b w:val="1"/>
          <w:bCs w:val="1"/>
          <w:color w:val="auto"/>
        </w:rPr>
        <w:t>Chief Financial Officer</w:t>
      </w:r>
    </w:p>
    <w:p>
      <w:pPr>
        <w:ind w:left="79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980"/>
          </w:cols>
          <w:pgMar w:left="300" w:top="127" w:right="619" w:bottom="1440"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Barry Sloane, certify that:</w:t>
      </w:r>
    </w:p>
    <w:p>
      <w:pPr>
        <w:spacing w:after="0" w:line="179" w:lineRule="exact"/>
        <w:rPr>
          <w:sz w:val="20"/>
          <w:szCs w:val="20"/>
          <w:color w:val="auto"/>
        </w:rPr>
      </w:pPr>
    </w:p>
    <w:p>
      <w:pPr>
        <w:ind w:left="500" w:hanging="145"/>
        <w:spacing w:after="0"/>
        <w:tabs>
          <w:tab w:leader="none" w:pos="5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4" w:lineRule="exact"/>
        <w:rPr>
          <w:rFonts w:ascii="Times New Roman" w:cs="Times New Roman" w:eastAsia="Times New Roman" w:hAnsi="Times New Roman"/>
          <w:sz w:val="14"/>
          <w:szCs w:val="14"/>
          <w:color w:val="auto"/>
        </w:rPr>
      </w:pPr>
    </w:p>
    <w:p>
      <w:pPr>
        <w:ind w:right="60" w:firstLine="355"/>
        <w:spacing w:after="0" w:line="287" w:lineRule="auto"/>
        <w:tabs>
          <w:tab w:leader="none" w:pos="4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40" w:firstLine="355"/>
        <w:spacing w:after="0" w:line="287" w:lineRule="auto"/>
        <w:tabs>
          <w:tab w:leader="none" w:pos="49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August 9, 2024</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 Scott Price, certify that:</w:t>
      </w:r>
    </w:p>
    <w:p>
      <w:pPr>
        <w:spacing w:after="0" w:line="179" w:lineRule="exact"/>
        <w:rPr>
          <w:sz w:val="20"/>
          <w:szCs w:val="20"/>
          <w:color w:val="auto"/>
        </w:rPr>
      </w:pPr>
    </w:p>
    <w:p>
      <w:pPr>
        <w:ind w:left="500" w:hanging="145"/>
        <w:spacing w:after="0"/>
        <w:tabs>
          <w:tab w:leader="none" w:pos="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NewtekOne, Inc. (the “registrant”).</w:t>
      </w:r>
    </w:p>
    <w:p>
      <w:pPr>
        <w:spacing w:after="0" w:line="178" w:lineRule="exact"/>
        <w:rPr>
          <w:rFonts w:ascii="Times New Roman" w:cs="Times New Roman" w:eastAsia="Times New Roman" w:hAnsi="Times New Roman"/>
          <w:sz w:val="14"/>
          <w:szCs w:val="14"/>
          <w:color w:val="auto"/>
        </w:rPr>
      </w:pPr>
    </w:p>
    <w:p>
      <w:pPr>
        <w:ind w:right="740" w:firstLine="355"/>
        <w:spacing w:after="0" w:line="287" w:lineRule="auto"/>
        <w:tabs>
          <w:tab w:leader="none" w:pos="4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4" w:lineRule="exact"/>
        <w:rPr>
          <w:rFonts w:ascii="Times New Roman" w:cs="Times New Roman" w:eastAsia="Times New Roman" w:hAnsi="Times New Roman"/>
          <w:sz w:val="14"/>
          <w:szCs w:val="14"/>
          <w:color w:val="auto"/>
        </w:rPr>
      </w:pPr>
    </w:p>
    <w:p>
      <w:pPr>
        <w:ind w:right="220" w:firstLine="355"/>
        <w:spacing w:after="0" w:line="287" w:lineRule="auto"/>
        <w:tabs>
          <w:tab w:leader="none" w:pos="4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right="60" w:firstLine="355"/>
        <w:spacing w:after="0" w:line="287" w:lineRule="auto"/>
        <w:tabs>
          <w:tab w:leader="none" w:pos="4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right="120" w:firstLine="705"/>
        <w:spacing w:after="0" w:line="287" w:lineRule="auto"/>
        <w:tabs>
          <w:tab w:leader="none" w:pos="84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right="180" w:firstLine="705"/>
        <w:spacing w:after="0" w:line="287" w:lineRule="auto"/>
        <w:tabs>
          <w:tab w:leader="none" w:pos="853"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right="360" w:firstLine="705"/>
        <w:spacing w:after="0" w:line="287" w:lineRule="auto"/>
        <w:tabs>
          <w:tab w:leader="none" w:pos="84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firstLine="705"/>
        <w:spacing w:after="0" w:line="287" w:lineRule="auto"/>
        <w:tabs>
          <w:tab w:leader="none" w:pos="853"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4" w:lineRule="exact"/>
        <w:rPr>
          <w:rFonts w:ascii="Times New Roman" w:cs="Times New Roman" w:eastAsia="Times New Roman" w:hAnsi="Times New Roman"/>
          <w:sz w:val="14"/>
          <w:szCs w:val="14"/>
          <w:color w:val="auto"/>
        </w:rPr>
      </w:pPr>
    </w:p>
    <w:p>
      <w:pPr>
        <w:ind w:right="540" w:firstLine="355"/>
        <w:spacing w:after="0" w:line="287" w:lineRule="auto"/>
        <w:tabs>
          <w:tab w:leader="none" w:pos="4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right="60" w:firstLine="705"/>
        <w:spacing w:after="0" w:line="287" w:lineRule="auto"/>
        <w:tabs>
          <w:tab w:leader="none" w:pos="84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860" w:hanging="155"/>
        <w:spacing w:after="0"/>
        <w:tabs>
          <w:tab w:leader="none" w:pos="8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7660" w:val="left"/>
          <w:tab w:leader="none" w:pos="7960" w:val="left"/>
        </w:tabs>
        <w:rPr>
          <w:sz w:val="20"/>
          <w:szCs w:val="20"/>
          <w:color w:val="auto"/>
        </w:rPr>
      </w:pPr>
      <w:r>
        <w:rPr>
          <w:rFonts w:ascii="Times New Roman" w:cs="Times New Roman" w:eastAsia="Times New Roman" w:hAnsi="Times New Roman"/>
          <w:sz w:val="14"/>
          <w:szCs w:val="14"/>
          <w:color w:val="auto"/>
        </w:rPr>
        <w:t>Date: August 9, 2024</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p>
      <w:pPr>
        <w:sectPr>
          <w:pgSz w:w="11900" w:h="16838" w:orient="portrait"/>
          <w:cols w:equalWidth="0" w:num="1">
            <w:col w:w="11280"/>
          </w:cols>
          <w:pgMar w:left="300" w:top="727"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June 30, 2024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580" w:val="left"/>
          <w:tab w:leader="none" w:pos="7880" w:val="left"/>
        </w:tabs>
        <w:rPr>
          <w:sz w:val="20"/>
          <w:szCs w:val="20"/>
          <w:color w:val="auto"/>
        </w:rPr>
      </w:pPr>
      <w:r>
        <w:rPr>
          <w:rFonts w:ascii="Times New Roman" w:cs="Times New Roman" w:eastAsia="Times New Roman" w:hAnsi="Times New Roman"/>
          <w:sz w:val="14"/>
          <w:szCs w:val="14"/>
          <w:color w:val="auto"/>
        </w:rPr>
        <w:t>Date: August 9, 2024</w:t>
      </w:r>
      <w:r>
        <w:rPr>
          <w:sz w:val="20"/>
          <w:szCs w:val="20"/>
          <w:color w:val="auto"/>
        </w:rPr>
        <w:tab/>
      </w:r>
      <w:r>
        <w:rPr>
          <w:rFonts w:ascii="Times New Roman" w:cs="Times New Roman" w:eastAsia="Times New Roman" w:hAnsi="Times New Roman"/>
          <w:sz w:val="14"/>
          <w:szCs w:val="14"/>
          <w:color w:val="auto"/>
        </w:rPr>
        <w:t>/S/</w:t>
        <w:tab/>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5"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33"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1"/>
          <w:szCs w:val="11"/>
          <w:b w:val="1"/>
          <w:bCs w:val="1"/>
          <w:color w:val="auto"/>
        </w:rPr>
        <w:t>Principal Executive Officer</w:t>
      </w:r>
    </w:p>
    <w:p>
      <w:pPr>
        <w:sectPr>
          <w:pgSz w:w="11900" w:h="16838" w:orient="portrait"/>
          <w:cols w:equalWidth="0" w:num="1">
            <w:col w:w="11280"/>
          </w:cols>
          <w:pgMar w:left="300" w:top="727"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for the period ended June 30, 2024 (the “Report”) of NewtekOne, Inc. (the “Company”), as filed with the Securities and Exchange Commission on the date hereof, I, M. Scott Price, as Principal Financial Officer of the Company, hereby certify pursuant to 18 U.S.C. §1350, as adopted pursuant to §906 of the Sarbanes-Oxley Act of 2002, that, to the best of my knowledge:</w:t>
      </w:r>
    </w:p>
    <w:p>
      <w:pPr>
        <w:spacing w:after="0" w:line="136" w:lineRule="exact"/>
        <w:rPr>
          <w:sz w:val="20"/>
          <w:szCs w:val="20"/>
          <w:color w:val="auto"/>
        </w:rPr>
      </w:pPr>
    </w:p>
    <w:p>
      <w:pPr>
        <w:ind w:left="200" w:hanging="195"/>
        <w:spacing w:after="0"/>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16" w:lineRule="exact"/>
        <w:rPr>
          <w:sz w:val="20"/>
          <w:szCs w:val="20"/>
          <w:color w:val="auto"/>
        </w:rPr>
      </w:pPr>
    </w:p>
    <w:p>
      <w:pPr>
        <w:ind w:left="20"/>
        <w:spacing w:after="0"/>
        <w:tabs>
          <w:tab w:leader="none" w:pos="7700" w:val="left"/>
          <w:tab w:leader="none" w:pos="8000" w:val="left"/>
        </w:tabs>
        <w:rPr>
          <w:sz w:val="20"/>
          <w:szCs w:val="20"/>
          <w:color w:val="auto"/>
        </w:rPr>
      </w:pPr>
      <w:r>
        <w:rPr>
          <w:rFonts w:ascii="Times New Roman" w:cs="Times New Roman" w:eastAsia="Times New Roman" w:hAnsi="Times New Roman"/>
          <w:sz w:val="14"/>
          <w:szCs w:val="14"/>
          <w:color w:val="auto"/>
        </w:rPr>
        <w:t>Date: August 9, 2024</w:t>
      </w:r>
      <w:r>
        <w:rPr>
          <w:sz w:val="20"/>
          <w:szCs w:val="20"/>
          <w:color w:val="auto"/>
        </w:rPr>
        <w:tab/>
      </w:r>
      <w:r>
        <w:rPr>
          <w:rFonts w:ascii="Times New Roman" w:cs="Times New Roman" w:eastAsia="Times New Roman" w:hAnsi="Times New Roman"/>
          <w:sz w:val="14"/>
          <w:szCs w:val="14"/>
          <w:color w:val="auto"/>
        </w:rPr>
        <w:t>/S/</w:t>
        <w:tab/>
        <w:t>M. SCOTT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14605</wp:posOffset>
            </wp:positionV>
            <wp:extent cx="355727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5"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M. Scott Price,</w:t>
      </w:r>
    </w:p>
    <w:p>
      <w:pPr>
        <w:spacing w:after="0" w:line="33"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1"/>
          <w:szCs w:val="11"/>
          <w:b w:val="1"/>
          <w:bCs w:val="1"/>
          <w:color w:val="auto"/>
        </w:rPr>
        <w:t>Principal Financial Officer</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326"/>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2"/>
      <w:numFmt w:val="bullet"/>
      <w:start w:val="1"/>
    </w:lvl>
  </w:abstractNum>
  <w:abstractNum w:abstractNumId="3">
    <w:nsid w:val="54E49EB4"/>
    <w:multiLevelType w:val="hybridMultilevel"/>
    <w:lvl w:ilvl="0">
      <w:lvlJc w:val="left"/>
      <w:lvlText w:val="1"/>
      <w:numFmt w:val="bullet"/>
      <w:start w:val="1"/>
    </w:lvl>
  </w:abstractNum>
  <w:abstractNum w:abstractNumId="4">
    <w:nsid w:val="71F32454"/>
    <w:multiLevelType w:val="hybridMultilevel"/>
    <w:lvl w:ilvl="0">
      <w:lvlJc w:val="left"/>
      <w:lvlText w:val="1"/>
      <w:numFmt w:val="bullet"/>
      <w:start w:val="1"/>
    </w:lvl>
  </w:abstractNum>
  <w:abstractNum w:abstractNumId="5">
    <w:nsid w:val="2CA88611"/>
    <w:multiLevelType w:val="hybridMultilevel"/>
    <w:lvl w:ilvl="0">
      <w:lvlJc w:val="left"/>
      <w:lvlText w:val="2"/>
      <w:numFmt w:val="bullet"/>
      <w:start w:val="1"/>
    </w:lvl>
  </w:abstractNum>
  <w:abstractNum w:abstractNumId="6">
    <w:nsid w:val="836C40E"/>
    <w:multiLevelType w:val="hybridMultilevel"/>
    <w:lvl w:ilvl="0">
      <w:lvlJc w:val="left"/>
      <w:lvlText w:val="1"/>
      <w:numFmt w:val="bullet"/>
      <w:start w:val="1"/>
    </w:lvl>
  </w:abstractNum>
  <w:abstractNum w:abstractNumId="7">
    <w:nsid w:val="2901D82"/>
    <w:multiLevelType w:val="hybridMultilevel"/>
    <w:lvl w:ilvl="0">
      <w:lvlJc w:val="left"/>
      <w:lvlText w:val="1"/>
      <w:numFmt w:val="bullet"/>
      <w:start w:val="1"/>
    </w:lvl>
  </w:abstractNum>
  <w:abstractNum w:abstractNumId="8">
    <w:nsid w:val="3A95F874"/>
    <w:multiLevelType w:val="hybridMultilevel"/>
    <w:lvl w:ilvl="0">
      <w:lvlJc w:val="left"/>
      <w:lvlText w:val="1"/>
      <w:numFmt w:val="bullet"/>
      <w:start w:val="1"/>
    </w:lvl>
  </w:abstractNum>
  <w:abstractNum w:abstractNumId="9">
    <w:nsid w:val="8138641"/>
    <w:multiLevelType w:val="hybridMultilevel"/>
    <w:lvl w:ilvl="0">
      <w:lvlJc w:val="left"/>
      <w:lvlText w:val="1"/>
      <w:numFmt w:val="bullet"/>
      <w:start w:val="1"/>
    </w:lvl>
  </w:abstractNum>
  <w:abstractNum w:abstractNumId="10">
    <w:nsid w:val="1E7FF521"/>
    <w:multiLevelType w:val="hybridMultilevel"/>
    <w:lvl w:ilvl="0">
      <w:lvlJc w:val="left"/>
      <w:lvlText w:val="2"/>
      <w:numFmt w:val="bullet"/>
      <w:start w:val="1"/>
    </w:lvl>
  </w:abstractNum>
  <w:abstractNum w:abstractNumId="11">
    <w:nsid w:val="7C3DBD3D"/>
    <w:multiLevelType w:val="hybridMultilevel"/>
    <w:lvl w:ilvl="0">
      <w:lvlJc w:val="left"/>
      <w:lvlText w:val="1"/>
      <w:numFmt w:val="bullet"/>
      <w:start w:val="1"/>
    </w:lvl>
  </w:abstractNum>
  <w:abstractNum w:abstractNumId="12">
    <w:nsid w:val="737B8DDC"/>
    <w:multiLevelType w:val="hybridMultilevel"/>
    <w:lvl w:ilvl="0">
      <w:lvlJc w:val="left"/>
      <w:lvlText w:val="2"/>
      <w:numFmt w:val="bullet"/>
      <w:start w:val="1"/>
    </w:lvl>
  </w:abstractNum>
  <w:abstractNum w:abstractNumId="13">
    <w:nsid w:val="6CEAF087"/>
    <w:multiLevelType w:val="hybridMultilevel"/>
    <w:lvl w:ilvl="0">
      <w:lvlJc w:val="left"/>
      <w:lvlText w:val="3"/>
      <w:numFmt w:val="bullet"/>
      <w:start w:val="1"/>
    </w:lvl>
  </w:abstractNum>
  <w:abstractNum w:abstractNumId="14">
    <w:nsid w:val="22221A70"/>
    <w:multiLevelType w:val="hybridMultilevel"/>
    <w:lvl w:ilvl="0">
      <w:lvlJc w:val="left"/>
      <w:lvlText w:val="1"/>
      <w:numFmt w:val="bullet"/>
      <w:start w:val="1"/>
    </w:lvl>
  </w:abstractNum>
  <w:abstractNum w:abstractNumId="15">
    <w:nsid w:val="4516DDE9"/>
    <w:multiLevelType w:val="hybridMultilevel"/>
    <w:lvl w:ilvl="0">
      <w:lvlJc w:val="left"/>
      <w:lvlText w:val="2"/>
      <w:numFmt w:val="bullet"/>
      <w:start w:val="1"/>
    </w:lvl>
  </w:abstractNum>
  <w:abstractNum w:abstractNumId="16">
    <w:nsid w:val="3006C83E"/>
    <w:multiLevelType w:val="hybridMultilevel"/>
    <w:lvl w:ilvl="0">
      <w:lvlJc w:val="left"/>
      <w:lvlText w:val="1"/>
      <w:numFmt w:val="bullet"/>
      <w:start w:val="1"/>
    </w:lvl>
  </w:abstractNum>
  <w:abstractNum w:abstractNumId="17">
    <w:nsid w:val="614FD4A1"/>
    <w:multiLevelType w:val="hybridMultilevel"/>
    <w:lvl w:ilvl="0">
      <w:lvlJc w:val="left"/>
      <w:lvlText w:val="2"/>
      <w:numFmt w:val="bullet"/>
      <w:start w:val="1"/>
    </w:lvl>
  </w:abstractNum>
  <w:abstractNum w:abstractNumId="18">
    <w:nsid w:val="419AC241"/>
    <w:multiLevelType w:val="hybridMultilevel"/>
    <w:lvl w:ilvl="0">
      <w:lvlJc w:val="left"/>
      <w:lvlText w:val="1"/>
      <w:numFmt w:val="bullet"/>
      <w:start w:val="1"/>
    </w:lvl>
  </w:abstractNum>
  <w:abstractNum w:abstractNumId="19">
    <w:nsid w:val="5577F8E1"/>
    <w:multiLevelType w:val="hybridMultilevel"/>
    <w:lvl w:ilvl="0">
      <w:lvlJc w:val="left"/>
      <w:lvlText w:val="1"/>
      <w:numFmt w:val="bullet"/>
      <w:start w:val="1"/>
    </w:lvl>
  </w:abstractNum>
  <w:abstractNum w:abstractNumId="20">
    <w:nsid w:val="440BADFC"/>
    <w:multiLevelType w:val="hybridMultilevel"/>
    <w:lvl w:ilvl="0">
      <w:lvlJc w:val="left"/>
      <w:lvlText w:val="1"/>
      <w:numFmt w:val="bullet"/>
      <w:start w:val="1"/>
    </w:lvl>
  </w:abstractNum>
  <w:abstractNum w:abstractNumId="21">
    <w:nsid w:val="5072367"/>
    <w:multiLevelType w:val="hybridMultilevel"/>
    <w:lvl w:ilvl="0">
      <w:lvlJc w:val="left"/>
      <w:lvlText w:val="2"/>
      <w:numFmt w:val="bullet"/>
      <w:start w:val="1"/>
    </w:lvl>
  </w:abstractNum>
  <w:abstractNum w:abstractNumId="22">
    <w:nsid w:val="3804823E"/>
    <w:multiLevelType w:val="hybridMultilevel"/>
    <w:lvl w:ilvl="0">
      <w:lvlJc w:val="left"/>
      <w:lvlText w:val="1"/>
      <w:numFmt w:val="bullet"/>
      <w:start w:val="1"/>
    </w:lvl>
  </w:abstractNum>
  <w:abstractNum w:abstractNumId="23">
    <w:nsid w:val="77465F01"/>
    <w:multiLevelType w:val="hybridMultilevel"/>
    <w:lvl w:ilvl="0">
      <w:lvlJc w:val="left"/>
      <w:lvlText w:val="1"/>
      <w:numFmt w:val="bullet"/>
      <w:start w:val="1"/>
    </w:lvl>
  </w:abstractNum>
  <w:abstractNum w:abstractNumId="24">
    <w:nsid w:val="7724C67E"/>
    <w:multiLevelType w:val="hybridMultilevel"/>
    <w:lvl w:ilvl="0">
      <w:lvlJc w:val="left"/>
      <w:lvlText w:val="2"/>
      <w:numFmt w:val="bullet"/>
      <w:start w:val="1"/>
    </w:lvl>
  </w:abstractNum>
  <w:abstractNum w:abstractNumId="25">
    <w:nsid w:val="5C482A97"/>
    <w:multiLevelType w:val="hybridMultilevel"/>
    <w:lvl w:ilvl="0">
      <w:lvlJc w:val="left"/>
      <w:lvlText w:val="1"/>
      <w:numFmt w:val="bullet"/>
      <w:start w:val="1"/>
    </w:lvl>
  </w:abstractNum>
  <w:abstractNum w:abstractNumId="26">
    <w:nsid w:val="2463B9EA"/>
    <w:multiLevelType w:val="hybridMultilevel"/>
    <w:lvl w:ilvl="0">
      <w:lvlJc w:val="left"/>
      <w:lvlText w:val="1"/>
      <w:numFmt w:val="bullet"/>
      <w:start w:val="1"/>
    </w:lvl>
  </w:abstractNum>
  <w:abstractNum w:abstractNumId="27">
    <w:nsid w:val="5E884ADC"/>
    <w:multiLevelType w:val="hybridMultilevel"/>
    <w:lvl w:ilvl="0">
      <w:lvlJc w:val="left"/>
      <w:lvlText w:val="2"/>
      <w:numFmt w:val="bullet"/>
      <w:start w:val="1"/>
    </w:lvl>
  </w:abstractNum>
  <w:abstractNum w:abstractNumId="28">
    <w:nsid w:val="51EAD36B"/>
    <w:multiLevelType w:val="hybridMultilevel"/>
    <w:lvl w:ilvl="0">
      <w:lvlJc w:val="left"/>
      <w:lvlText w:val="1"/>
      <w:numFmt w:val="bullet"/>
      <w:start w:val="1"/>
    </w:lvl>
  </w:abstractNum>
  <w:abstractNum w:abstractNumId="29">
    <w:nsid w:val="2D517796"/>
    <w:multiLevelType w:val="hybridMultilevel"/>
    <w:lvl w:ilvl="0">
      <w:lvlJc w:val="left"/>
      <w:lvlText w:val="2"/>
      <w:numFmt w:val="bullet"/>
      <w:start w:val="1"/>
    </w:lvl>
  </w:abstractNum>
  <w:abstractNum w:abstractNumId="30">
    <w:nsid w:val="580BD78F"/>
    <w:multiLevelType w:val="hybridMultilevel"/>
    <w:lvl w:ilvl="0">
      <w:lvlJc w:val="left"/>
      <w:lvlText w:val="\endash "/>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lowerRoman"/>
      <w:start w:val="2"/>
    </w:lvl>
  </w:abstractNum>
  <w:abstractNum w:abstractNumId="34">
    <w:nsid w:val="6A2342EC"/>
    <w:multiLevelType w:val="hybridMultilevel"/>
    <w:lvl w:ilvl="0">
      <w:lvlJc w:val="left"/>
      <w:lvlText w:val="1"/>
      <w:numFmt w:val="bullet"/>
      <w:start w:val="1"/>
    </w:lvl>
  </w:abstractNum>
  <w:abstractNum w:abstractNumId="35">
    <w:nsid w:val="2A487CB0"/>
    <w:multiLevelType w:val="hybridMultilevel"/>
    <w:lvl w:ilvl="0">
      <w:lvlJc w:val="left"/>
      <w:lvlText w:val="1"/>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bullet"/>
      <w:start w:val="1"/>
    </w:lvl>
  </w:abstractNum>
  <w:abstractNum w:abstractNumId="40">
    <w:nsid w:val="7A6D8D3C"/>
    <w:multiLevelType w:val="hybridMultilevel"/>
    <w:lvl w:ilvl="0">
      <w:lvlJc w:val="left"/>
      <w:lvlText w:val="1"/>
      <w:numFmt w:val="bullet"/>
      <w:start w:val="1"/>
    </w:lvl>
  </w:abstractNum>
  <w:abstractNum w:abstractNumId="41">
    <w:nsid w:val="4B588F54"/>
    <w:multiLevelType w:val="hybridMultilevel"/>
    <w:lvl w:ilvl="0">
      <w:lvlJc w:val="left"/>
      <w:lvlText w:val="1"/>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01"/>
    </w:lvl>
  </w:abstractNum>
  <w:abstractNum w:abstractNumId="44">
    <w:nsid w:val="38437FDB"/>
    <w:multiLevelType w:val="hybridMultilevel"/>
    <w:lvl w:ilvl="0">
      <w:lvlJc w:val="left"/>
      <w:lvlText w:val="*"/>
      <w:numFmt w:val="bullet"/>
      <w:start w:val="1"/>
    </w:lvl>
    <w:lvl w:ilvl="1">
      <w:lvlJc w:val="left"/>
      <w:lvlText w:val="%2"/>
      <w:numFmt w:val="decimal"/>
      <w:start w:val="104"/>
    </w:lvl>
  </w:abstractNum>
  <w:abstractNum w:abstractNumId="45">
    <w:nsid w:val="7644A45C"/>
    <w:multiLevelType w:val="hybridMultilevel"/>
    <w:lvl w:ilvl="0">
      <w:lvlJc w:val="left"/>
      <w:lvlText w:val="**"/>
      <w:numFmt w:val="bullet"/>
      <w:start w:val="1"/>
    </w:lvl>
    <w:lvl w:ilvl="1">
      <w:lvlJc w:val="left"/>
      <w:lvlText w:val="%2"/>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37" Type="http://schemas.openxmlformats.org/officeDocument/2006/relationships/hyperlink" Target="https://www.sec.gov/Archives/edgar/data/1587987/000119312514394101/d804521dn2a.htm" TargetMode="External"/><Relationship Id="rId138" Type="http://schemas.openxmlformats.org/officeDocument/2006/relationships/hyperlink" Target="https://www.sec.gov/Archives/edgar/data/1587987/000119312514350298/d714199dex992.htm" TargetMode="External"/><Relationship Id="rId139" Type="http://schemas.openxmlformats.org/officeDocument/2006/relationships/hyperlink" Target="https://www.sec.gov/ix?doc=/Archives/edgar/data/0001587987/000158798723000014/newt-20230117.htm" TargetMode="External"/><Relationship Id="rId140" Type="http://schemas.openxmlformats.org/officeDocument/2006/relationships/hyperlink" Target="https://www.sec.gov/Archives/edgar/data/1587987/000158798723000021/bylaws-01132023.htm" TargetMode="External"/><Relationship Id="rId141" Type="http://schemas.openxmlformats.org/officeDocument/2006/relationships/hyperlink" Target="https://www.sec.gov/Archives/edgar/data/1587987/000158798723000047/articlessupplementaryser.htm" TargetMode="External"/><Relationship Id="rId142" Type="http://schemas.openxmlformats.org/officeDocument/2006/relationships/hyperlink" Target="https://www.sec.gov/ix?doc=/Archives/edgar/data/1587987/000158798724000135/newt-202406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2024-08-09T14:15:54Z</dcterms:created>
  <dcterms:modified xsi:type="dcterms:W3CDTF">2024-08-09T14:15:54Z</dcterms:modified>
</cp:coreProperties>
</file>