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83" w:after="283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NEWTEKONE, INC.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4800 T Rex Avenue, Suite 120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Boca Raton, Florida 33431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(212) 356-9500</w:t>
      </w:r>
    </w:p>
    <w:p>
      <w:pPr>
        <w:pStyle w:val="TextBody"/>
        <w:bidi w:val="0"/>
        <w:spacing w:before="83" w:after="283"/>
        <w:jc w:val="center"/>
        <w:rPr/>
      </w:pPr>
      <w:r>
        <w:rPr/>
      </w:r>
    </w:p>
    <w:p>
      <w:pPr>
        <w:pStyle w:val="TextBody"/>
        <w:bidi w:val="0"/>
        <w:spacing w:before="8" w:after="283"/>
        <w:jc w:val="left"/>
        <w:rPr/>
      </w:pPr>
      <w:r>
        <w:rPr/>
      </w:r>
    </w:p>
    <w:p>
      <w:pPr>
        <w:pStyle w:val="TextBody"/>
        <w:bidi w:val="0"/>
        <w:spacing w:lineRule="auto" w:line="288" w:before="97" w:after="283"/>
        <w:jc w:val="righ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July 17, 2026</w:t>
      </w:r>
    </w:p>
    <w:p>
      <w:pPr>
        <w:pStyle w:val="TextBody"/>
        <w:bidi w:val="0"/>
        <w:spacing w:before="8" w:after="283"/>
        <w:jc w:val="left"/>
        <w:rPr/>
      </w:pPr>
      <w:r>
        <w:rPr/>
      </w:r>
    </w:p>
    <w:p>
      <w:pPr>
        <w:pStyle w:val="TextBody"/>
        <w:bidi w:val="0"/>
        <w:spacing w:lineRule="auto" w:line="288" w:before="97" w:after="283"/>
        <w:jc w:val="left"/>
        <w:rPr>
          <w:rFonts w:ascii="Times New Roman;serif" w:hAnsi="Times New Roman;serif"/>
          <w:b w:val="false"/>
          <w:color w:val="000000"/>
          <w:sz w:val="20"/>
          <w:u w:val="single"/>
        </w:rPr>
      </w:pPr>
      <w:r>
        <w:rPr>
          <w:rFonts w:ascii="Times New Roman;serif" w:hAnsi="Times New Roman;serif"/>
          <w:b w:val="false"/>
          <w:color w:val="000000"/>
          <w:sz w:val="20"/>
          <w:u w:val="single"/>
        </w:rPr>
        <w:t>Via EDGAR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United States Securities and Exchange Commission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Division of Corporation Finance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Office of Finance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Attention: Aisha Adegbuyi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100 F. Street, N.E.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Washington, D.C. 20549</w:t>
      </w:r>
    </w:p>
    <w:p>
      <w:pPr>
        <w:pStyle w:val="TextBody"/>
        <w:bidi w:val="0"/>
        <w:spacing w:before="6" w:after="283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Re:    NewtekOne, Inc. </w:t>
      </w:r>
    </w:p>
    <w:p>
      <w:pPr>
        <w:pStyle w:val="TextBody"/>
        <w:bidi w:val="0"/>
        <w:spacing w:lineRule="auto" w:line="288" w:before="0" w:after="0"/>
        <w:jc w:val="both"/>
        <w:rPr>
          <w:color w:val="000000"/>
        </w:rPr>
      </w:pP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0"/>
        </w:rPr>
        <w:t>Registration Statement on Form S-3</w:t>
      </w:r>
    </w:p>
    <w:p>
      <w:pPr>
        <w:pStyle w:val="TextBody"/>
        <w:bidi w:val="0"/>
        <w:spacing w:lineRule="auto" w:line="288" w:before="0" w:after="0"/>
        <w:jc w:val="both"/>
        <w:rPr>
          <w:color w:val="000000"/>
        </w:rPr>
      </w:pP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0"/>
        </w:rPr>
        <w:t xml:space="preserve">Filed: June 25, 2026 </w:t>
      </w:r>
    </w:p>
    <w:p>
      <w:pPr>
        <w:pStyle w:val="TextBody"/>
        <w:bidi w:val="0"/>
        <w:spacing w:lineRule="auto" w:line="288" w:before="0" w:after="0"/>
        <w:jc w:val="both"/>
        <w:rPr>
          <w:color w:val="000000"/>
        </w:rPr>
      </w:pP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0"/>
        </w:rPr>
        <w:t>File No. 333-297037</w:t>
      </w:r>
    </w:p>
    <w:p>
      <w:pPr>
        <w:pStyle w:val="TextBody"/>
        <w:bidi w:val="0"/>
        <w:spacing w:before="0" w:after="0"/>
        <w:jc w:val="both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Ladies and Gentlemen:</w:t>
      </w:r>
    </w:p>
    <w:p>
      <w:pPr>
        <w:pStyle w:val="TextBody"/>
        <w:bidi w:val="0"/>
        <w:spacing w:lineRule="auto" w:line="307" w:before="119" w:after="283"/>
        <w:ind w:left="0" w:right="0" w:firstLine="72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>Pursuant to Rule 461 under the Securities Act of 1933, as amended, NewtekOne, Inc. (the “</w:t>
      </w:r>
      <w:r>
        <w:rPr>
          <w:rFonts w:ascii="Times New Roman;serif" w:hAnsi="Times New Roman;serif"/>
          <w:b w:val="false"/>
          <w:color w:val="000000"/>
          <w:sz w:val="20"/>
          <w:u w:val="single"/>
        </w:rPr>
        <w:t>Registrant</w:t>
      </w:r>
      <w:r>
        <w:rPr>
          <w:color w:val="000000"/>
        </w:rPr>
        <w:t>”</w:t>
      </w:r>
      <w:r>
        <w:rPr>
          <w:rFonts w:ascii="Times New Roman;serif" w:hAnsi="Times New Roman;serif"/>
          <w:b w:val="false"/>
          <w:color w:val="000000"/>
          <w:sz w:val="20"/>
        </w:rPr>
        <w:t>) hereby requests acceleration of effectiveness of the above-referenced Registration Statement on Form S-3 so that it will become effective as of 5:00 p.m. EST on July 21, 2026, or as soon as thereafter practicable.</w:t>
      </w:r>
    </w:p>
    <w:p>
      <w:pPr>
        <w:pStyle w:val="TextBody"/>
        <w:bidi w:val="0"/>
        <w:spacing w:before="6" w:after="283"/>
        <w:jc w:val="left"/>
        <w:rPr/>
      </w:pPr>
      <w:r>
        <w:rPr/>
      </w:r>
    </w:p>
    <w:p>
      <w:pPr>
        <w:pStyle w:val="TextBody"/>
        <w:bidi w:val="0"/>
        <w:spacing w:lineRule="auto" w:line="307" w:before="119" w:after="283"/>
        <w:ind w:left="0" w:right="0" w:firstLine="72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Please do not hesitate to contact the undersigned at (212) 356-9500 or bsloane@newtekone.com with any questions you may have concerning this request. In addition, please notify me when this request for acceleration has been granted.</w:t>
      </w:r>
    </w:p>
    <w:p>
      <w:pPr>
        <w:pStyle w:val="TextBody"/>
        <w:bidi w:val="0"/>
        <w:spacing w:before="1" w:after="283"/>
        <w:ind w:left="0" w:right="0" w:firstLine="391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rFonts w:ascii="Times New Roman;serif" w:hAnsi="Times New Roman;serif"/>
          <w:b w:val="false"/>
          <w:color w:val="000000"/>
          <w:sz w:val="20"/>
        </w:rPr>
        <w:t>[</w:t>
      </w:r>
      <w:r>
        <w:rPr>
          <w:rFonts w:ascii="Times New Roman;serif" w:hAnsi="Times New Roman;serif"/>
          <w:b w:val="false"/>
          <w:i/>
          <w:color w:val="000000"/>
          <w:sz w:val="20"/>
        </w:rPr>
        <w:t>Signature Page Follows</w:t>
      </w:r>
      <w:r>
        <w:rPr>
          <w:rFonts w:ascii="Times New Roman;serif" w:hAnsi="Times New Roman;serif"/>
          <w:b w:val="false"/>
          <w:color w:val="000000"/>
          <w:sz w:val="20"/>
        </w:rPr>
        <w:t>]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Very truly yours,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1" w:after="283"/>
        <w:ind w:left="0" w:right="0" w:firstLine="72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  <w:u w:val="single"/>
        </w:rPr>
        <w:t xml:space="preserve">/s/ </w:t>
      </w:r>
      <w:r>
        <w:rPr>
          <w:rFonts w:ascii="Times New Roman;serif" w:hAnsi="Times New Roman;serif"/>
          <w:b w:val="false"/>
          <w:i/>
          <w:color w:val="000000"/>
          <w:sz w:val="20"/>
          <w:u w:val="single"/>
        </w:rPr>
        <w:t>Barry Sloane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Barry Sloane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Chief Executive Officer, President and Chairman of the Board</w:t>
      </w:r>
    </w:p>
    <w:p>
      <w:pPr>
        <w:pStyle w:val="TextBody"/>
        <w:bidi w:val="0"/>
        <w:spacing w:before="10" w:after="283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both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cc:     Michael A. Schwartz, Chief Legal Officer</w:t>
      </w:r>
    </w:p>
    <w:p>
      <w:pPr>
        <w:pStyle w:val="TextBody"/>
        <w:bidi w:val="0"/>
        <w:spacing w:lineRule="auto" w:line="288" w:before="0" w:after="0"/>
        <w:jc w:val="both"/>
        <w:rPr>
          <w:color w:val="000000"/>
        </w:rPr>
      </w:pP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0"/>
        </w:rPr>
        <w:t>Jared M. Fishman, Sullivan &amp; Cromwell LLP</w:t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179</Words>
  <Characters>987</Characters>
  <CharactersWithSpaces>1165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