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left"/>
        <w:rPr/>
      </w:pPr>
      <w:r>
        <w:rPr/>
      </w:r>
    </w:p>
    <w:p>
      <w:pPr>
        <w:pStyle w:val="TextBody"/>
        <w:bidi w:val="0"/>
        <w:spacing w:lineRule="auto" w:line="288" w:before="0" w:after="0"/>
        <w:jc w:val="left"/>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For the transition period from _____to____</w:t>
      </w:r>
      <w:r>
        <w:rPr>
          <w:rFonts w:ascii="Times New Roman;sans-serif" w:hAnsi="Times New Roman;sans-serif"/>
          <w:b/>
          <w:color w:val="000000"/>
          <w:sz w:val="20"/>
        </w:rPr>
        <w:t>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814-01035</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NEWTEKONE,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452" w:type="dxa"/>
        <w:jc w:val="left"/>
        <w:tblInd w:w="0" w:type="dxa"/>
        <w:tblLayout w:type="fixed"/>
        <w:tblCellMar>
          <w:top w:w="28" w:type="dxa"/>
          <w:left w:w="28" w:type="dxa"/>
          <w:bottom w:w="28" w:type="dxa"/>
          <w:right w:w="28" w:type="dxa"/>
        </w:tblCellMar>
      </w:tblPr>
      <w:tblGrid>
        <w:gridCol w:w="1609"/>
        <w:gridCol w:w="1417"/>
        <w:gridCol w:w="1429"/>
        <w:gridCol w:w="109"/>
        <w:gridCol w:w="109"/>
        <w:gridCol w:w="109"/>
        <w:gridCol w:w="780"/>
        <w:gridCol w:w="780"/>
        <w:gridCol w:w="1110"/>
      </w:tblGrid>
      <w:tr>
        <w:trPr/>
        <w:tc>
          <w:tcPr>
            <w:tcW w:w="16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4800 T Rex Avenue, Suite 120, Boca Raton,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(212) 356-9500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Not Applicable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5.50%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8, 2023, there were 24,648,181 shares outstanding of the registrant’s Common Stock, par value $0.02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8"/>
        <w:gridCol w:w="233"/>
        <w:gridCol w:w="216"/>
        <w:gridCol w:w="3024"/>
        <w:gridCol w:w="2851"/>
        <w:gridCol w:w="2862"/>
        <w:gridCol w:w="217"/>
        <w:gridCol w:w="217"/>
        <w:gridCol w:w="317"/>
      </w:tblGrid>
      <w:tr>
        <w:trPr/>
        <w:tc>
          <w:tcPr>
            <w:tcW w:w="2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2">
              <w:r>
                <w:rPr>
                  <w:rStyle w:val="InternetLink"/>
                  <w:rFonts w:ascii="Times New Roman;sans-serif" w:hAnsi="Times New Roman;sans-serif"/>
                  <w:b w:val="false"/>
                  <w:color w:val="3051F2"/>
                  <w:sz w:val="20"/>
                  <w:u w:val="single"/>
                </w:rPr>
                <w:t>Defined Terms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2">
              <w:r>
                <w:rPr>
                  <w:rStyle w:val="InternetLink"/>
                  <w:rFonts w:ascii="Times New Roman;sans-serif" w:hAnsi="Times New Roman;sans-serif"/>
                  <w:b w:val="false"/>
                  <w:strike w:val="false"/>
                  <w:dstrike w:val="false"/>
                  <w:color w:val="0000FF"/>
                  <w:sz w:val="20"/>
                  <w:u w:val="none"/>
                  <w:effect w:val="none"/>
                </w:rPr>
                <w:t>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28da120f06a460da0c5a4f180b31626_19">
              <w:r>
                <w:rPr>
                  <w:rStyle w:val="InternetLink"/>
                  <w:rFonts w:ascii="Times New Roman;sans-serif" w:hAnsi="Times New Roman;sans-serif"/>
                  <w:b/>
                  <w:color w:val="0000FF"/>
                  <w:sz w:val="20"/>
                  <w:u w:val="single"/>
                </w:rPr>
                <w:t>PART I - FINANCIAL INFORMATION</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5">
              <w:r>
                <w:rPr>
                  <w:rStyle w:val="InternetLink"/>
                  <w:rFonts w:ascii="Times New Roman;sans-serif" w:hAnsi="Times New Roman;sans-serif"/>
                  <w:b w:val="false"/>
                  <w:color w:val="0000FF"/>
                  <w:sz w:val="20"/>
                  <w:u w:val="single"/>
                </w:rPr>
                <w:t>Financial Statements:</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8">
              <w:r>
                <w:rPr>
                  <w:rStyle w:val="InternetLink"/>
                  <w:rFonts w:ascii="Times New Roman;sans-serif" w:hAnsi="Times New Roman;sans-serif"/>
                  <w:b w:val="false"/>
                  <w:color w:val="000080"/>
                  <w:sz w:val="20"/>
                  <w:u w:val="single"/>
                </w:rPr>
                <w:t xml:space="preserve">Consolidated Statements of Financial Condition as of </w:t>
              </w:r>
            </w:hyperlink>
            <w:hyperlink w:anchor="i228da120f06a460da0c5a4f180b31626_28">
              <w:r>
                <w:rPr>
                  <w:rStyle w:val="InternetLink"/>
                  <w:rFonts w:ascii="Times New Roman;sans-serif" w:hAnsi="Times New Roman;sans-serif"/>
                  <w:b w:val="false"/>
                  <w:color w:val="000080"/>
                  <w:sz w:val="20"/>
                  <w:u w:val="single"/>
                </w:rPr>
                <w:t>September</w:t>
              </w:r>
            </w:hyperlink>
            <w:hyperlink w:anchor="i228da120f06a460da0c5a4f180b31626_28">
              <w:r>
                <w:rPr>
                  <w:rStyle w:val="InternetLink"/>
                  <w:rFonts w:ascii="Times New Roman;sans-serif" w:hAnsi="Times New Roman;sans-serif"/>
                  <w:b w:val="false"/>
                  <w:color w:val="000080"/>
                  <w:sz w:val="20"/>
                  <w:u w:val="single"/>
                </w:rPr>
                <w:t xml:space="preserve"> 30, 2023 (Unaudited) and December 31, 2022</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8">
              <w:r>
                <w:rPr>
                  <w:rStyle w:val="InternetLink"/>
                  <w:rFonts w:ascii="Times New Roman;sans-serif" w:hAnsi="Times New Roman;sans-serif"/>
                  <w:b w:val="false"/>
                  <w:strike w:val="false"/>
                  <w:dstrike w:val="false"/>
                  <w:color w:val="0000FF"/>
                  <w:sz w:val="20"/>
                  <w:u w:val="none"/>
                  <w:effect w:val="none"/>
                </w:rPr>
                <w:t>7</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31">
              <w:r>
                <w:rPr>
                  <w:rStyle w:val="InternetLink"/>
                  <w:rFonts w:ascii="Times New Roman;sans-serif" w:hAnsi="Times New Roman;sans-serif"/>
                  <w:b w:val="false"/>
                  <w:color w:val="000080"/>
                  <w:sz w:val="20"/>
                  <w:u w:val="single"/>
                </w:rPr>
                <w:t xml:space="preserve">Consolidated Statements of Income for the three and </w:t>
              </w:r>
            </w:hyperlink>
            <w:hyperlink w:anchor="i228da120f06a460da0c5a4f180b31626_31">
              <w:r>
                <w:rPr>
                  <w:rStyle w:val="InternetLink"/>
                  <w:rFonts w:ascii="Times New Roman;sans-serif" w:hAnsi="Times New Roman;sans-serif"/>
                  <w:b w:val="false"/>
                  <w:color w:val="000080"/>
                  <w:sz w:val="20"/>
                  <w:u w:val="single"/>
                </w:rPr>
                <w:t>nine</w:t>
              </w:r>
            </w:hyperlink>
            <w:hyperlink w:anchor="i228da120f06a460da0c5a4f180b31626_31">
              <w:r>
                <w:rPr>
                  <w:rStyle w:val="InternetLink"/>
                  <w:rFonts w:ascii="Times New Roman;sans-serif" w:hAnsi="Times New Roman;sans-serif"/>
                  <w:b w:val="false"/>
                  <w:color w:val="000080"/>
                  <w:sz w:val="20"/>
                  <w:u w:val="single"/>
                </w:rPr>
                <w:t xml:space="preserve"> months ended </w:t>
              </w:r>
            </w:hyperlink>
            <w:hyperlink w:anchor="i228da120f06a460da0c5a4f180b31626_31">
              <w:r>
                <w:rPr>
                  <w:rStyle w:val="InternetLink"/>
                  <w:rFonts w:ascii="Times New Roman;sans-serif" w:hAnsi="Times New Roman;sans-serif"/>
                  <w:b w:val="false"/>
                  <w:color w:val="000080"/>
                  <w:sz w:val="20"/>
                  <w:u w:val="single"/>
                </w:rPr>
                <w:t>September</w:t>
              </w:r>
            </w:hyperlink>
            <w:hyperlink w:anchor="i228da120f06a460da0c5a4f180b31626_31">
              <w:r>
                <w:rPr>
                  <w:rStyle w:val="InternetLink"/>
                  <w:rFonts w:ascii="Times New Roman;sans-serif" w:hAnsi="Times New Roman;sans-serif"/>
                  <w:b w:val="false"/>
                  <w:color w:val="000080"/>
                  <w:sz w:val="20"/>
                  <w:u w:val="single"/>
                </w:rPr>
                <w:t xml:space="preserve"> 30, 2023 and 2022</w:t>
              </w:r>
            </w:hyperlink>
            <w:r>
              <w:rPr>
                <w:color w:val="000000"/>
              </w:rPr>
              <w:t xml:space="preserve"> </w:t>
            </w:r>
            <w:hyperlink w:anchor="i228da120f06a460da0c5a4f180b31626_31">
              <w:r>
                <w:rPr>
                  <w:rStyle w:val="InternetLink"/>
                  <w:rFonts w:ascii="Times New Roman;sans-serif" w:hAnsi="Times New Roman;sans-serif"/>
                  <w:b w:val="false"/>
                  <w:color w:val="0000FF"/>
                  <w:sz w:val="20"/>
                  <w:u w:val="single"/>
                </w:rPr>
                <w:t>(Unaudited)</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31">
              <w:r>
                <w:rPr>
                  <w:rStyle w:val="InternetLink"/>
                  <w:rFonts w:ascii="Times New Roman;sans-serif" w:hAnsi="Times New Roman;sans-serif"/>
                  <w:b w:val="false"/>
                  <w:strike w:val="false"/>
                  <w:dstrike w:val="false"/>
                  <w:color w:val="0000FF"/>
                  <w:sz w:val="20"/>
                  <w:u w:val="none"/>
                  <w:effect w:val="none"/>
                </w:rPr>
                <w:t>9</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34">
              <w:r>
                <w:rPr>
                  <w:rStyle w:val="InternetLink"/>
                  <w:rFonts w:ascii="Times New Roman;sans-serif" w:hAnsi="Times New Roman;sans-serif"/>
                  <w:b w:val="false"/>
                  <w:color w:val="000080"/>
                  <w:sz w:val="20"/>
                  <w:u w:val="single"/>
                </w:rPr>
                <w:t xml:space="preserve">Consolidated Statements of Comprehensive Income for the three and </w:t>
              </w:r>
            </w:hyperlink>
            <w:hyperlink w:anchor="i228da120f06a460da0c5a4f180b31626_34">
              <w:r>
                <w:rPr>
                  <w:rStyle w:val="InternetLink"/>
                  <w:rFonts w:ascii="Times New Roman;sans-serif" w:hAnsi="Times New Roman;sans-serif"/>
                  <w:b w:val="false"/>
                  <w:color w:val="000080"/>
                  <w:sz w:val="20"/>
                  <w:u w:val="single"/>
                </w:rPr>
                <w:t>nine</w:t>
              </w:r>
            </w:hyperlink>
            <w:hyperlink w:anchor="i228da120f06a460da0c5a4f180b31626_34">
              <w:r>
                <w:rPr>
                  <w:rStyle w:val="InternetLink"/>
                  <w:rFonts w:ascii="Times New Roman;sans-serif" w:hAnsi="Times New Roman;sans-serif"/>
                  <w:b w:val="false"/>
                  <w:color w:val="000080"/>
                  <w:sz w:val="20"/>
                  <w:u w:val="single"/>
                </w:rPr>
                <w:t xml:space="preserve"> months ended </w:t>
              </w:r>
            </w:hyperlink>
            <w:hyperlink w:anchor="i228da120f06a460da0c5a4f180b31626_34">
              <w:r>
                <w:rPr>
                  <w:rStyle w:val="InternetLink"/>
                  <w:rFonts w:ascii="Times New Roman;sans-serif" w:hAnsi="Times New Roman;sans-serif"/>
                  <w:b w:val="false"/>
                  <w:color w:val="000080"/>
                  <w:sz w:val="20"/>
                  <w:u w:val="single"/>
                </w:rPr>
                <w:t>September</w:t>
              </w:r>
            </w:hyperlink>
            <w:hyperlink w:anchor="i228da120f06a460da0c5a4f180b31626_34">
              <w:r>
                <w:rPr>
                  <w:rStyle w:val="InternetLink"/>
                  <w:rFonts w:ascii="Times New Roman;sans-serif" w:hAnsi="Times New Roman;sans-serif"/>
                  <w:b w:val="false"/>
                  <w:color w:val="000080"/>
                  <w:sz w:val="20"/>
                  <w:u w:val="single"/>
                </w:rPr>
                <w:t xml:space="preserve"> 30, 2023 and 2022 (Unaudited)</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34">
              <w:r>
                <w:rPr>
                  <w:rStyle w:val="InternetLink"/>
                  <w:rFonts w:ascii="Times New Roman;sans-serif" w:hAnsi="Times New Roman;sans-serif"/>
                  <w:b w:val="false"/>
                  <w:strike w:val="false"/>
                  <w:dstrike w:val="false"/>
                  <w:color w:val="0000FF"/>
                  <w:sz w:val="20"/>
                  <w:u w:val="none"/>
                  <w:effect w:val="none"/>
                </w:rPr>
                <w:t>10</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37">
              <w:r>
                <w:rPr>
                  <w:rStyle w:val="InternetLink"/>
                  <w:rFonts w:ascii="Times New Roman;sans-serif" w:hAnsi="Times New Roman;sans-serif"/>
                  <w:b w:val="false"/>
                  <w:color w:val="000080"/>
                  <w:sz w:val="20"/>
                  <w:u w:val="single"/>
                </w:rPr>
                <w:t xml:space="preserve">Consolidated Statements of Changes in Stockholders’ Equity for the three and </w:t>
              </w:r>
            </w:hyperlink>
            <w:hyperlink w:anchor="i228da120f06a460da0c5a4f180b31626_37">
              <w:r>
                <w:rPr>
                  <w:rStyle w:val="InternetLink"/>
                  <w:rFonts w:ascii="Times New Roman;sans-serif" w:hAnsi="Times New Roman;sans-serif"/>
                  <w:b w:val="false"/>
                  <w:color w:val="000080"/>
                  <w:sz w:val="20"/>
                  <w:u w:val="single"/>
                </w:rPr>
                <w:t>nine</w:t>
              </w:r>
            </w:hyperlink>
            <w:hyperlink w:anchor="i228da120f06a460da0c5a4f180b31626_37">
              <w:r>
                <w:rPr>
                  <w:rStyle w:val="InternetLink"/>
                  <w:rFonts w:ascii="Times New Roman;sans-serif" w:hAnsi="Times New Roman;sans-serif"/>
                  <w:b w:val="false"/>
                  <w:color w:val="000080"/>
                  <w:sz w:val="20"/>
                  <w:u w:val="single"/>
                </w:rPr>
                <w:t xml:space="preserve"> months ended </w:t>
              </w:r>
            </w:hyperlink>
            <w:hyperlink w:anchor="i228da120f06a460da0c5a4f180b31626_37">
              <w:r>
                <w:rPr>
                  <w:rStyle w:val="InternetLink"/>
                  <w:rFonts w:ascii="Times New Roman;sans-serif" w:hAnsi="Times New Roman;sans-serif"/>
                  <w:b w:val="false"/>
                  <w:color w:val="000080"/>
                  <w:sz w:val="20"/>
                  <w:u w:val="single"/>
                </w:rPr>
                <w:t>September</w:t>
              </w:r>
            </w:hyperlink>
            <w:hyperlink w:anchor="i228da120f06a460da0c5a4f180b31626_37">
              <w:r>
                <w:rPr>
                  <w:rStyle w:val="InternetLink"/>
                  <w:rFonts w:ascii="Times New Roman;sans-serif" w:hAnsi="Times New Roman;sans-serif"/>
                  <w:b w:val="false"/>
                  <w:color w:val="000080"/>
                  <w:sz w:val="20"/>
                  <w:u w:val="single"/>
                </w:rPr>
                <w:t xml:space="preserve"> 30, 2023 and 2022</w:t>
              </w:r>
            </w:hyperlink>
            <w:r>
              <w:rPr>
                <w:color w:val="000000"/>
              </w:rPr>
              <w:t xml:space="preserve"> </w:t>
            </w:r>
            <w:r>
              <w:rPr>
                <w:rFonts w:ascii="Times New Roman;sans-serif" w:hAnsi="Times New Roman;sans-serif"/>
                <w:b w:val="false"/>
                <w:color w:val="000000"/>
                <w:sz w:val="20"/>
              </w:rPr>
              <w:t>(</w:t>
            </w:r>
            <w:hyperlink w:anchor="i228da120f06a460da0c5a4f180b31626_37">
              <w:r>
                <w:rPr>
                  <w:rStyle w:val="InternetLink"/>
                  <w:rFonts w:ascii="Times New Roman;sans-serif" w:hAnsi="Times New Roman;sans-serif"/>
                  <w:b w:val="false"/>
                  <w:color w:val="0000FF"/>
                  <w:sz w:val="20"/>
                  <w:u w:val="single"/>
                </w:rPr>
                <w:t>Unaudited)</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37">
              <w:r>
                <w:rPr>
                  <w:rStyle w:val="InternetLink"/>
                  <w:rFonts w:ascii="Times New Roman;sans-serif" w:hAnsi="Times New Roman;sans-serif"/>
                  <w:b w:val="false"/>
                  <w:strike w:val="false"/>
                  <w:dstrike w:val="false"/>
                  <w:color w:val="0000FF"/>
                  <w:sz w:val="20"/>
                  <w:u w:val="none"/>
                  <w:effect w:val="none"/>
                </w:rPr>
                <w:t>11</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40">
              <w:r>
                <w:rPr>
                  <w:rStyle w:val="InternetLink"/>
                  <w:rFonts w:ascii="Times New Roman;sans-serif" w:hAnsi="Times New Roman;sans-serif"/>
                  <w:b w:val="false"/>
                  <w:color w:val="000080"/>
                  <w:sz w:val="20"/>
                  <w:u w:val="single"/>
                </w:rPr>
                <w:t xml:space="preserve">Consolidated Statements of Cash Flows for the </w:t>
              </w:r>
            </w:hyperlink>
            <w:hyperlink w:anchor="i228da120f06a460da0c5a4f180b31626_40">
              <w:r>
                <w:rPr>
                  <w:rStyle w:val="InternetLink"/>
                  <w:rFonts w:ascii="Times New Roman;sans-serif" w:hAnsi="Times New Roman;sans-serif"/>
                  <w:b w:val="false"/>
                  <w:color w:val="000080"/>
                  <w:sz w:val="20"/>
                  <w:u w:val="single"/>
                </w:rPr>
                <w:t>nine</w:t>
              </w:r>
            </w:hyperlink>
            <w:hyperlink w:anchor="i228da120f06a460da0c5a4f180b31626_40">
              <w:r>
                <w:rPr>
                  <w:rStyle w:val="InternetLink"/>
                  <w:rFonts w:ascii="Times New Roman;sans-serif" w:hAnsi="Times New Roman;sans-serif"/>
                  <w:b w:val="false"/>
                  <w:color w:val="000080"/>
                  <w:sz w:val="20"/>
                  <w:u w:val="single"/>
                </w:rPr>
                <w:t xml:space="preserve"> months ended </w:t>
              </w:r>
            </w:hyperlink>
            <w:hyperlink w:anchor="i228da120f06a460da0c5a4f180b31626_40">
              <w:r>
                <w:rPr>
                  <w:rStyle w:val="InternetLink"/>
                  <w:rFonts w:ascii="Times New Roman;sans-serif" w:hAnsi="Times New Roman;sans-serif"/>
                  <w:b w:val="false"/>
                  <w:color w:val="000080"/>
                  <w:sz w:val="20"/>
                  <w:u w:val="single"/>
                </w:rPr>
                <w:t>September</w:t>
              </w:r>
            </w:hyperlink>
            <w:hyperlink w:anchor="i228da120f06a460da0c5a4f180b31626_40">
              <w:r>
                <w:rPr>
                  <w:rStyle w:val="InternetLink"/>
                  <w:rFonts w:ascii="Times New Roman;sans-serif" w:hAnsi="Times New Roman;sans-serif"/>
                  <w:b w:val="false"/>
                  <w:color w:val="000080"/>
                  <w:sz w:val="20"/>
                  <w:u w:val="single"/>
                </w:rPr>
                <w:t xml:space="preserve"> 30, 2023 and 2022</w:t>
              </w:r>
            </w:hyperlink>
            <w:r>
              <w:rPr>
                <w:color w:val="000000"/>
              </w:rPr>
              <w:t xml:space="preserve"> </w:t>
            </w:r>
            <w:hyperlink w:anchor="i228da120f06a460da0c5a4f180b31626_40">
              <w:r>
                <w:rPr>
                  <w:rStyle w:val="InternetLink"/>
                  <w:rFonts w:ascii="Times New Roman;sans-serif" w:hAnsi="Times New Roman;sans-serif"/>
                  <w:b w:val="false"/>
                  <w:color w:val="0000FF"/>
                  <w:sz w:val="20"/>
                  <w:u w:val="single"/>
                </w:rPr>
                <w:t>(Unaudited)</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40">
              <w:r>
                <w:rPr>
                  <w:rStyle w:val="InternetLink"/>
                  <w:rFonts w:ascii="Times New Roman;sans-serif" w:hAnsi="Times New Roman;sans-serif"/>
                  <w:b w:val="false"/>
                  <w:strike w:val="false"/>
                  <w:dstrike w:val="false"/>
                  <w:color w:val="0000FF"/>
                  <w:sz w:val="20"/>
                  <w:u w:val="none"/>
                  <w:effect w:val="none"/>
                </w:rPr>
                <w:t>15</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43">
              <w:r>
                <w:rPr>
                  <w:rStyle w:val="InternetLink"/>
                  <w:rFonts w:ascii="Times New Roman;sans-serif" w:hAnsi="Times New Roman;sans-serif"/>
                  <w:b w:val="false"/>
                  <w:color w:val="0000FF"/>
                  <w:sz w:val="20"/>
                  <w:u w:val="single"/>
                </w:rPr>
                <w:t>Notes to Consolidated Financial Statements (Unaudited)</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43">
              <w:r>
                <w:rPr>
                  <w:rStyle w:val="InternetLink"/>
                  <w:rFonts w:ascii="Times New Roman;sans-serif" w:hAnsi="Times New Roman;sans-serif"/>
                  <w:b w:val="false"/>
                  <w:strike w:val="false"/>
                  <w:dstrike w:val="false"/>
                  <w:color w:val="0000FF"/>
                  <w:sz w:val="20"/>
                  <w:u w:val="none"/>
                  <w:effect w:val="none"/>
                </w:rPr>
                <w:t>17</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18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178">
              <w:r>
                <w:rPr>
                  <w:rStyle w:val="InternetLink"/>
                  <w:rFonts w:ascii="Times New Roman;sans-serif" w:hAnsi="Times New Roman;sans-serif"/>
                  <w:b w:val="false"/>
                  <w:strike w:val="false"/>
                  <w:dstrike w:val="false"/>
                  <w:color w:val="0000FF"/>
                  <w:sz w:val="20"/>
                  <w:u w:val="none"/>
                  <w:effect w:val="none"/>
                </w:rPr>
                <w:t>59</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Item </w:t>
            </w:r>
            <w:hyperlink w:anchor="i228da120f06a460da0c5a4f180b31626_238">
              <w:r>
                <w:rPr>
                  <w:rStyle w:val="InternetLink"/>
                  <w:rFonts w:ascii="Times New Roman;sans-serif" w:hAnsi="Times New Roman;sans-serif"/>
                  <w:b w:val="false"/>
                  <w:strike w:val="false"/>
                  <w:dstrike w:val="false"/>
                  <w:color w:val="000000"/>
                  <w:sz w:val="20"/>
                  <w:u w:val="none"/>
                  <w:effect w:val="none"/>
                </w:rPr>
                <w:t>3.</w:t>
              </w:r>
            </w:hyperlink>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29">
              <w:r>
                <w:rPr>
                  <w:rStyle w:val="InternetLink"/>
                  <w:rFonts w:ascii="Times New Roman;sans-serif" w:hAnsi="Times New Roman;sans-serif"/>
                  <w:b w:val="false"/>
                  <w:color w:val="0000FF"/>
                  <w:sz w:val="20"/>
                  <w:u w:val="single"/>
                </w:rPr>
                <w:t>Quantitative and Qualitative Disclosures About Market Risk</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29">
              <w:r>
                <w:rPr>
                  <w:rStyle w:val="InternetLink"/>
                  <w:rFonts w:ascii="Times New Roman;sans-serif" w:hAnsi="Times New Roman;sans-serif"/>
                  <w:b w:val="false"/>
                  <w:strike w:val="false"/>
                  <w:dstrike w:val="false"/>
                  <w:color w:val="0000FF"/>
                  <w:sz w:val="20"/>
                  <w:u w:val="none"/>
                  <w:effect w:val="none"/>
                </w:rPr>
                <w:t>93</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32">
              <w:r>
                <w:rPr>
                  <w:rStyle w:val="InternetLink"/>
                  <w:rFonts w:ascii="Times New Roman;sans-serif" w:hAnsi="Times New Roman;sans-serif"/>
                  <w:b w:val="false"/>
                  <w:color w:val="0000FF"/>
                  <w:sz w:val="20"/>
                  <w:u w:val="single"/>
                </w:rPr>
                <w:t>Controls and Procedures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32">
              <w:r>
                <w:rPr>
                  <w:rStyle w:val="InternetLink"/>
                  <w:rFonts w:ascii="Times New Roman;sans-serif" w:hAnsi="Times New Roman;sans-serif"/>
                  <w:b w:val="false"/>
                  <w:strike w:val="false"/>
                  <w:dstrike w:val="false"/>
                  <w:color w:val="0000FF"/>
                  <w:sz w:val="20"/>
                  <w:u w:val="none"/>
                  <w:effect w:val="none"/>
                </w:rPr>
                <w:t>96</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FF"/>
                <w:sz w:val="20"/>
                <w:u w:val="single"/>
              </w:rPr>
            </w:pPr>
            <w:r>
              <w:rPr>
                <w:rFonts w:ascii="Times New Roman;sans-serif" w:hAnsi="Times New Roman;sans-serif"/>
                <w:b/>
                <w:color w:val="0000FF"/>
                <w:sz w:val="20"/>
                <w:u w:val="single"/>
              </w:rPr>
              <w:t>PART II - OTHER INFORMATION</w:t>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38">
              <w:r>
                <w:rPr>
                  <w:rStyle w:val="InternetLink"/>
                  <w:rFonts w:ascii="Times New Roman;sans-serif" w:hAnsi="Times New Roman;sans-serif"/>
                  <w:b w:val="false"/>
                  <w:color w:val="0000FF"/>
                  <w:sz w:val="20"/>
                  <w:u w:val="single"/>
                </w:rPr>
                <w:t>Legal Proceedings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38">
              <w:r>
                <w:rPr>
                  <w:rStyle w:val="InternetLink"/>
                  <w:rFonts w:ascii="Times New Roman;sans-serif" w:hAnsi="Times New Roman;sans-serif"/>
                  <w:b w:val="false"/>
                  <w:strike w:val="false"/>
                  <w:dstrike w:val="false"/>
                  <w:color w:val="0000FF"/>
                  <w:sz w:val="20"/>
                  <w:u w:val="none"/>
                  <w:effect w:val="none"/>
                </w:rPr>
                <w:t>97</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41">
              <w:r>
                <w:rPr>
                  <w:rStyle w:val="InternetLink"/>
                  <w:rFonts w:ascii="Times New Roman;sans-serif" w:hAnsi="Times New Roman;sans-serif"/>
                  <w:b w:val="false"/>
                  <w:color w:val="0000FF"/>
                  <w:sz w:val="20"/>
                  <w:u w:val="single"/>
                </w:rPr>
                <w:t>Risk Factors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41">
              <w:r>
                <w:rPr>
                  <w:rStyle w:val="InternetLink"/>
                  <w:rFonts w:ascii="Times New Roman;sans-serif" w:hAnsi="Times New Roman;sans-serif"/>
                  <w:b w:val="false"/>
                  <w:strike w:val="false"/>
                  <w:dstrike w:val="false"/>
                  <w:color w:val="0000FF"/>
                  <w:sz w:val="20"/>
                  <w:u w:val="none"/>
                  <w:effect w:val="none"/>
                </w:rPr>
                <w:t>97</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44">
              <w:r>
                <w:rPr>
                  <w:rStyle w:val="InternetLink"/>
                  <w:rFonts w:ascii="Times New Roman;sans-serif" w:hAnsi="Times New Roman;sans-serif"/>
                  <w:b w:val="false"/>
                  <w:color w:val="0000FF"/>
                  <w:sz w:val="20"/>
                  <w:u w:val="single"/>
                </w:rPr>
                <w:t>Unregistered Sales of Equity Securities and Use of Proceeds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44">
              <w:r>
                <w:rPr>
                  <w:rStyle w:val="InternetLink"/>
                  <w:rFonts w:ascii="Times New Roman;sans-serif" w:hAnsi="Times New Roman;sans-serif"/>
                  <w:b w:val="false"/>
                  <w:strike w:val="false"/>
                  <w:dstrike w:val="false"/>
                  <w:color w:val="0000FF"/>
                  <w:sz w:val="20"/>
                  <w:u w:val="none"/>
                  <w:effect w:val="none"/>
                </w:rPr>
                <w:t>97</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53">
              <w:r>
                <w:rPr>
                  <w:rStyle w:val="InternetLink"/>
                  <w:rFonts w:ascii="Times New Roman;sans-serif" w:hAnsi="Times New Roman;sans-serif"/>
                  <w:b w:val="false"/>
                  <w:color w:val="0000FF"/>
                  <w:sz w:val="20"/>
                  <w:u w:val="single"/>
                </w:rPr>
                <w:t>Defaults Upon Senior Securities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53">
              <w:r>
                <w:rPr>
                  <w:rStyle w:val="InternetLink"/>
                  <w:rFonts w:ascii="Times New Roman;sans-serif" w:hAnsi="Times New Roman;sans-serif"/>
                  <w:b w:val="false"/>
                  <w:strike w:val="false"/>
                  <w:dstrike w:val="false"/>
                  <w:color w:val="0000FF"/>
                  <w:sz w:val="20"/>
                  <w:u w:val="none"/>
                  <w:effect w:val="none"/>
                </w:rPr>
                <w:t>97</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56">
              <w:r>
                <w:rPr>
                  <w:rStyle w:val="InternetLink"/>
                  <w:rFonts w:ascii="Times New Roman;sans-serif" w:hAnsi="Times New Roman;sans-serif"/>
                  <w:b w:val="false"/>
                  <w:color w:val="0000FF"/>
                  <w:sz w:val="20"/>
                  <w:u w:val="single"/>
                </w:rPr>
                <w:t>Mine Safety Disclosures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56">
              <w:r>
                <w:rPr>
                  <w:rStyle w:val="InternetLink"/>
                  <w:rFonts w:ascii="Times New Roman;sans-serif" w:hAnsi="Times New Roman;sans-serif"/>
                  <w:b w:val="false"/>
                  <w:strike w:val="false"/>
                  <w:dstrike w:val="false"/>
                  <w:color w:val="0000FF"/>
                  <w:sz w:val="20"/>
                  <w:u w:val="none"/>
                  <w:effect w:val="none"/>
                </w:rPr>
                <w:t>98</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59">
              <w:r>
                <w:rPr>
                  <w:rStyle w:val="InternetLink"/>
                  <w:rFonts w:ascii="Times New Roman;sans-serif" w:hAnsi="Times New Roman;sans-serif"/>
                  <w:b w:val="false"/>
                  <w:color w:val="0000FF"/>
                  <w:sz w:val="20"/>
                  <w:u w:val="single"/>
                </w:rPr>
                <w:t>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59">
              <w:r>
                <w:rPr>
                  <w:rStyle w:val="InternetLink"/>
                  <w:rFonts w:ascii="Times New Roman;sans-serif" w:hAnsi="Times New Roman;sans-serif"/>
                  <w:b w:val="false"/>
                  <w:strike w:val="false"/>
                  <w:dstrike w:val="false"/>
                  <w:color w:val="0000FF"/>
                  <w:sz w:val="20"/>
                  <w:u w:val="none"/>
                  <w:effect w:val="none"/>
                </w:rPr>
                <w:t>98</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65">
              <w:r>
                <w:rPr>
                  <w:rStyle w:val="InternetLink"/>
                  <w:rFonts w:ascii="Times New Roman;sans-serif" w:hAnsi="Times New Roman;sans-serif"/>
                  <w:b w:val="false"/>
                  <w:color w:val="0000FF"/>
                  <w:sz w:val="20"/>
                  <w:u w:val="single"/>
                </w:rPr>
                <w:t>Exhibits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65">
              <w:r>
                <w:rPr>
                  <w:rStyle w:val="InternetLink"/>
                  <w:rFonts w:ascii="Times New Roman;sans-serif" w:hAnsi="Times New Roman;sans-serif"/>
                  <w:b w:val="false"/>
                  <w:strike w:val="false"/>
                  <w:dstrike w:val="false"/>
                  <w:color w:val="0000FF"/>
                  <w:sz w:val="20"/>
                  <w:u w:val="none"/>
                  <w:effect w:val="none"/>
                </w:rPr>
                <w:t>99</w:t>
              </w:r>
            </w:hyperlink>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28da120f06a460da0c5a4f180b31626_268">
              <w:r>
                <w:rPr>
                  <w:rStyle w:val="InternetLink"/>
                  <w:rFonts w:ascii="Times New Roman;sans-serif" w:hAnsi="Times New Roman;sans-serif"/>
                  <w:b w:val="false"/>
                  <w:color w:val="0000FF"/>
                  <w:sz w:val="20"/>
                  <w:u w:val="single"/>
                </w:rPr>
                <w:t xml:space="preserve">Signatures </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8da120f06a460da0c5a4f180b31626_268">
              <w:r>
                <w:rPr>
                  <w:rStyle w:val="InternetLink"/>
                  <w:rFonts w:ascii="Times New Roman;sans-serif" w:hAnsi="Times New Roman;sans-serif"/>
                  <w:b w:val="false"/>
                  <w:strike w:val="false"/>
                  <w:dstrike w:val="false"/>
                  <w:color w:val="0000FF"/>
                  <w:sz w:val="20"/>
                  <w:u w:val="none"/>
                  <w:effect w:val="non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used “we,” “us,” “our,” “our company,” and “the Company” to refer to NewtekOne, Inc. and its subsidiaries in this report. We also have used several other terms in this report, which are explained or defined below:</w:t>
      </w:r>
    </w:p>
    <w:tbl>
      <w:tblPr>
        <w:tblW w:w="10205" w:type="dxa"/>
        <w:jc w:val="center"/>
        <w:tblInd w:w="0" w:type="dxa"/>
        <w:tblLayout w:type="fixed"/>
        <w:tblCellMar>
          <w:top w:w="28" w:type="dxa"/>
          <w:left w:w="28" w:type="dxa"/>
          <w:bottom w:w="28" w:type="dxa"/>
          <w:right w:w="28" w:type="dxa"/>
        </w:tblCellMar>
      </w:tblPr>
      <w:tblGrid>
        <w:gridCol w:w="984"/>
        <w:gridCol w:w="736"/>
        <w:gridCol w:w="714"/>
        <w:gridCol w:w="2343"/>
        <w:gridCol w:w="2239"/>
        <w:gridCol w:w="3189"/>
      </w:tblGrid>
      <w:tr>
        <w:trPr/>
        <w:tc>
          <w:tcPr>
            <w:tcW w:w="98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3189"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Terms</w:t>
            </w:r>
          </w:p>
        </w:tc>
        <w:tc>
          <w:tcPr>
            <w:tcW w:w="7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1940 Act</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Company Act of 1940, as amended</w:t>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7771"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2016-1 Trust</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2016-1, terminated in December 2021</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2017-1 Trust</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2017-1, terminated in February 2023</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2018-1 Trust</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2018-1</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2019-1 Trust</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2019-1</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2021-1 Trust</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2021-1</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2022-1 Trust</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2022-1</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2023-1 Trust</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2023-1</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Notes</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 Notes due 2022, redeemed in August 2019</w:t>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7771"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2024</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6.85% Notes</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6.85% Notes due 2025, redeemed in May 2022</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2025</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8.125% Notes due 2025</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Collectively, the 2025 6.85% Notes, the 2025 5.00% Notes and the 8.125% Notes due 2025</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5.50% Notes due 2026</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8.00% Notes due 2028</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based lending </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Acquisition of NBNYC, pursuant to which the Company acquired from the NBNYC shareholders all of the issued and outstanding stock of NBNYC</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as issued by the FASB</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 as issued by the FASB</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ATM Equity Distribution Agreement</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Distribution Agreement, dated June 25, 2020 by and among the Company and the placement agents, as amended on July 20, 2022</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BDC</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Development Company under the 1940 Act</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Bank, National Association</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commercial and industrial loans</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 as amended</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commercial real estate lending</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Insurance Fund of the FDIC</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dividend reinvestment plan</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Stock Incentive Plan</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2015 Stock Incentive Plan</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Stock Incentive Plan</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2023 Stock Incentive Plan</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Governors of the Federal Reserve System</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FV</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HFI</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Held for investment</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HFS</w:t>
            </w:r>
          </w:p>
        </w:tc>
        <w:tc>
          <w:tcPr>
            <w:tcW w:w="7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Held for sale</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7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04"/>
        <w:gridCol w:w="522"/>
        <w:gridCol w:w="528"/>
        <w:gridCol w:w="2746"/>
        <w:gridCol w:w="2315"/>
        <w:gridCol w:w="3290"/>
      </w:tblGrid>
      <w:tr>
        <w:trPr/>
        <w:tc>
          <w:tcPr>
            <w:tcW w:w="80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LCM</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Lower of amortized cost basis or fair value</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Bank of New York City, which has been renamed Newtek Bank, National Association</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the Comptroller of the Currency</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PCD</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Purchased Financial Assets with Credit Deterioration</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PLP</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Lenders Program, as authorized by the SBA</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investment company under the Code</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and Poor's</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Small Business Administration</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SMB</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Small-and-medium sized businesses</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 LLC, a wholly-owned subsidiary of Holdco 6, and Capital One</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II, LLC, a wholly-owned subsidiary of Holdco 6, and Deutsche Bank</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III, LLC, a wholly-owned subsidiary of Holdco 6, and One Florida Bank</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Purchase Agreement </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Purchase Agreement dated August 2, 2021, between the Company, NBNYC and certain NBNYC shareholders to acquire all of the issued and outstanding stock of NBNYC, as amended through December 12, 2022</w:t>
            </w:r>
          </w:p>
        </w:tc>
      </w:tr>
      <w:tr>
        <w:trPr/>
        <w:tc>
          <w:tcPr>
            <w:tcW w:w="1854" w:type="dxa"/>
            <w:gridSpan w:val="3"/>
            <w:tcBorders/>
            <w:vAlign w:val="center"/>
          </w:tcPr>
          <w:p>
            <w:pPr>
              <w:pStyle w:val="TableContents"/>
              <w:bidi w:val="0"/>
              <w:spacing w:before="0" w:after="283"/>
              <w:jc w:val="left"/>
              <w:rPr>
                <w:sz w:val="4"/>
                <w:szCs w:val="4"/>
              </w:rPr>
            </w:pPr>
            <w:r>
              <w:rPr>
                <w:sz w:val="4"/>
                <w:szCs w:val="4"/>
              </w:rPr>
            </w:r>
          </w:p>
        </w:tc>
        <w:tc>
          <w:tcPr>
            <w:tcW w:w="8351" w:type="dxa"/>
            <w:gridSpan w:val="3"/>
            <w:tcBorders/>
            <w:vAlign w:val="center"/>
          </w:tcPr>
          <w:p>
            <w:pPr>
              <w:pStyle w:val="TableContents"/>
              <w:bidi w:val="0"/>
              <w:spacing w:before="0" w:after="283"/>
              <w:jc w:val="left"/>
              <w:rPr>
                <w:sz w:val="4"/>
                <w:szCs w:val="4"/>
              </w:rPr>
            </w:pPr>
            <w:r>
              <w:rPr>
                <w:sz w:val="4"/>
                <w:szCs w:val="4"/>
              </w:rPr>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II</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II Booster Aggregator, L.P.</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or GAAP</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Bank, N.A.</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 and Joint Ventures</w:t>
            </w:r>
          </w:p>
        </w:tc>
        <w:tc>
          <w:tcPr>
            <w:tcW w:w="8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Finance, LLC, a consolidated subsidiary</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NBL</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Business Lending, LLC, a wholly-owned subsidiary of Newtek Bank; NBL was merged into SBL on May 2, 2023</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NCL</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Commercial Lending, Inc, a consolidated subsidiary</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NCL JV</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 a 50% owned joint venture</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Bank</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National Association</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Holdco 6</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Business Services Holdco 6, Inc., a consolidated subsidiary</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JV</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Newtek-TSO II Conventional Credit Partners, LP, a 50% owned joint venture</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NMS</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Merchant Solutions, LLC (formerly Universal Processing Services of Wisconsin LLC), a consolidated subsidiary</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 LLC, a consolidated subsidiary</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NTS</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Technology Solutions, Inc., a consolidated subsidiary</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SIDCO</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SIDCO, LLC dba Cloud Nine Services, a subsidiary of NTS</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EWS</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Excel WebSolutions, LLC, a consolidated subsidiary</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NBC</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CDS Business Services, Inc. dba Newtek Business Credit Solutions, a consolidated subsidiary</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SBL</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Lending, LLC, a wholly owned subsidiary of Newtek Bank</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NPS or PMT</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PMTWorks Payroll, LLC dba Newtek Payroll and Benefits Solutions, a consolidated subsidiary</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NIA</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Insurance Agency, LLC, a consolidated subsidiary</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Titanium Asset Management LLC, a consolidated subsidiary</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w:t>
            </w:r>
          </w:p>
        </w:tc>
        <w:tc>
          <w:tcPr>
            <w:tcW w:w="8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 Loan Holdings, LLC</w:t>
            </w:r>
          </w:p>
        </w:tc>
      </w:tr>
      <w:tr>
        <w:trPr/>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w:t>
            </w:r>
          </w:p>
        </w:tc>
        <w:tc>
          <w:tcPr>
            <w:tcW w:w="8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POS on Cloud, LLC, dba Newtek Payment Systems, a 59.8% consolidated subsidiary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In addition, on January 6, 2023, the Company filed with the SEC a Form N-54C, Notification of Withdrawal of Election to be Subject to the 1940 Act, and has ceased to be a BDC effective as of January 6, 2023. As a result of the foregoing, the Company is now a financial holding company, no longer qualifies as a regulated investment company (RIC) for federal income tax purposes, and no longer qualifies for accounting treatment as an investment company. As a result, comparisons to periods prior to March 30, 2023 include adjustments made to reconcile prior investment company accounting to the current financial holding company accounting requirements. (See NOTE 1—DESCRIPTION OF BUSINESS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488"/>
        <w:gridCol w:w="1757"/>
        <w:gridCol w:w="1758"/>
        <w:gridCol w:w="344"/>
        <w:gridCol w:w="1593"/>
        <w:gridCol w:w="177"/>
        <w:gridCol w:w="149"/>
        <w:gridCol w:w="149"/>
        <w:gridCol w:w="149"/>
        <w:gridCol w:w="289"/>
        <w:gridCol w:w="1134"/>
        <w:gridCol w:w="218"/>
      </w:tblGrid>
      <w:tr>
        <w:trPr/>
        <w:tc>
          <w:tcPr>
            <w:tcW w:w="248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br/>
              <w:t>CONSOLIDATED STATEMENTS OF FINANCIAL CONDITION</w:t>
              <w:br/>
              <w:t>(In Thousands, except for Per Share Data)</w:t>
            </w:r>
          </w:p>
        </w:tc>
      </w:tr>
      <w:tr>
        <w:trPr/>
        <w:tc>
          <w:tcPr>
            <w:tcW w:w="6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Holding Company (Unaudited)</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w:t>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 at fair value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LCM</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w:t>
            </w:r>
          </w:p>
        </w:tc>
        <w:tc>
          <w:tcPr>
            <w:tcW w:w="1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and Federal Reserve Bank stock</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 at fair value (cost of $37,865 and $23,314), respectively</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 (cost of $0 and $131,495), respectively</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 investments (cost of $1,360 and $1,360), respectively</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998,902 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Liabilities:</w:t>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432,559 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623,544 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$0.02 per share; authorized 20 shares, 20 and 20 shares issued and outstanding, respectively)</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$0.02 per share; authorized 200,000 shares, 24,645 and 24,609 shares issued and outstanding, respectively)</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income taxes</w:t>
            </w:r>
          </w:p>
        </w:tc>
        <w:tc>
          <w:tcPr>
            <w:tcW w:w="19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6203" w:type="dxa"/>
        <w:jc w:val="center"/>
        <w:tblInd w:w="0" w:type="dxa"/>
        <w:tblLayout w:type="fixed"/>
        <w:tblCellMar>
          <w:top w:w="28" w:type="dxa"/>
          <w:left w:w="28" w:type="dxa"/>
          <w:bottom w:w="28" w:type="dxa"/>
          <w:right w:w="28" w:type="dxa"/>
        </w:tblCellMar>
      </w:tblPr>
      <w:tblGrid>
        <w:gridCol w:w="1228"/>
        <w:gridCol w:w="1079"/>
        <w:gridCol w:w="1082"/>
        <w:gridCol w:w="211"/>
        <w:gridCol w:w="976"/>
        <w:gridCol w:w="109"/>
        <w:gridCol w:w="109"/>
        <w:gridCol w:w="109"/>
        <w:gridCol w:w="109"/>
        <w:gridCol w:w="211"/>
        <w:gridCol w:w="82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7"/>
        <w:gridCol w:w="896"/>
        <w:gridCol w:w="903"/>
        <w:gridCol w:w="341"/>
        <w:gridCol w:w="1001"/>
        <w:gridCol w:w="175"/>
        <w:gridCol w:w="117"/>
        <w:gridCol w:w="117"/>
        <w:gridCol w:w="117"/>
        <w:gridCol w:w="273"/>
        <w:gridCol w:w="937"/>
        <w:gridCol w:w="140"/>
        <w:gridCol w:w="110"/>
        <w:gridCol w:w="110"/>
        <w:gridCol w:w="110"/>
        <w:gridCol w:w="317"/>
        <w:gridCol w:w="1091"/>
        <w:gridCol w:w="164"/>
        <w:gridCol w:w="112"/>
        <w:gridCol w:w="112"/>
        <w:gridCol w:w="112"/>
        <w:gridCol w:w="268"/>
        <w:gridCol w:w="923"/>
        <w:gridCol w:w="139"/>
        <w:gridCol w:w="109"/>
        <w:gridCol w:w="109"/>
        <w:gridCol w:w="109"/>
        <w:gridCol w:w="109"/>
        <w:gridCol w:w="167"/>
      </w:tblGrid>
      <w:tr>
        <w:trPr/>
        <w:tc>
          <w:tcPr>
            <w:tcW w:w="10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603" w:type="dxa"/>
            <w:gridSpan w:val="5"/>
            <w:tcBorders/>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CONSOLIDATED STATEMENTS OF INCOME (UNAUDITED)</w:t>
            </w:r>
          </w:p>
        </w:tc>
        <w:tc>
          <w:tcPr>
            <w:tcW w:w="603" w:type="dxa"/>
            <w:gridSpan w:val="5"/>
            <w:tcBorders/>
          </w:tcPr>
          <w:p>
            <w:pPr>
              <w:pStyle w:val="TableContents"/>
              <w:bidi w:val="0"/>
              <w:spacing w:before="0" w:after="283"/>
              <w:jc w:val="left"/>
              <w:rPr>
                <w:sz w:val="4"/>
                <w:szCs w:val="4"/>
              </w:rPr>
            </w:pPr>
            <w:r>
              <w:rPr>
                <w:sz w:val="4"/>
                <w:szCs w:val="4"/>
              </w:rPr>
            </w:r>
          </w:p>
        </w:tc>
      </w:tr>
      <w:tr>
        <w:trPr/>
        <w:tc>
          <w:tcPr>
            <w:tcW w:w="960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603" w:type="dxa"/>
            <w:gridSpan w:val="5"/>
            <w:tcBorders/>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2023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Holding Company</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Investment Company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Holding Company</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credit losses</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 net of amortization</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under the fair value option</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taxes</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preferred shareholders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17"/>
        <w:gridCol w:w="967"/>
        <w:gridCol w:w="976"/>
        <w:gridCol w:w="310"/>
        <w:gridCol w:w="906"/>
        <w:gridCol w:w="160"/>
        <w:gridCol w:w="123"/>
        <w:gridCol w:w="123"/>
        <w:gridCol w:w="123"/>
        <w:gridCol w:w="255"/>
        <w:gridCol w:w="873"/>
        <w:gridCol w:w="131"/>
        <w:gridCol w:w="123"/>
        <w:gridCol w:w="123"/>
        <w:gridCol w:w="123"/>
        <w:gridCol w:w="293"/>
        <w:gridCol w:w="1001"/>
        <w:gridCol w:w="151"/>
        <w:gridCol w:w="123"/>
        <w:gridCol w:w="123"/>
        <w:gridCol w:w="123"/>
        <w:gridCol w:w="255"/>
        <w:gridCol w:w="873"/>
        <w:gridCol w:w="131"/>
        <w:gridCol w:w="109"/>
        <w:gridCol w:w="109"/>
        <w:gridCol w:w="109"/>
        <w:gridCol w:w="109"/>
        <w:gridCol w:w="163"/>
      </w:tblGrid>
      <w:tr>
        <w:trPr/>
        <w:tc>
          <w:tcPr>
            <w:tcW w:w="1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99" w:type="dxa"/>
            <w:gridSpan w:val="5"/>
            <w:tcBorders/>
          </w:tcPr>
          <w:p>
            <w:pPr>
              <w:pStyle w:val="TableContents"/>
              <w:bidi w:val="0"/>
              <w:spacing w:before="0" w:after="283"/>
              <w:jc w:val="left"/>
              <w:rPr>
                <w:sz w:val="4"/>
                <w:szCs w:val="4"/>
              </w:rPr>
            </w:pPr>
            <w:r>
              <w:rPr>
                <w:sz w:val="4"/>
                <w:szCs w:val="4"/>
              </w:rPr>
            </w:r>
          </w:p>
        </w:tc>
      </w:tr>
      <w:tr>
        <w:trPr/>
        <w:tc>
          <w:tcPr>
            <w:tcW w:w="96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(UNAUDITED)</w:t>
            </w:r>
          </w:p>
        </w:tc>
        <w:tc>
          <w:tcPr>
            <w:tcW w:w="599" w:type="dxa"/>
            <w:gridSpan w:val="5"/>
            <w:tcBorders/>
          </w:tcPr>
          <w:p>
            <w:pPr>
              <w:pStyle w:val="TableContents"/>
              <w:bidi w:val="0"/>
              <w:spacing w:before="0" w:after="283"/>
              <w:jc w:val="left"/>
              <w:rPr>
                <w:sz w:val="4"/>
                <w:szCs w:val="4"/>
              </w:rPr>
            </w:pPr>
            <w:r>
              <w:rPr>
                <w:sz w:val="4"/>
                <w:szCs w:val="4"/>
              </w:rPr>
            </w:r>
          </w:p>
        </w:tc>
      </w:tr>
      <w:tr>
        <w:trPr/>
        <w:tc>
          <w:tcPr>
            <w:tcW w:w="96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99" w:type="dxa"/>
            <w:gridSpan w:val="5"/>
            <w:tcBorders/>
          </w:tcPr>
          <w:p>
            <w:pPr>
              <w:pStyle w:val="TableContents"/>
              <w:bidi w:val="0"/>
              <w:spacing w:before="0" w:after="283"/>
              <w:jc w:val="left"/>
              <w:rPr>
                <w:sz w:val="4"/>
                <w:szCs w:val="4"/>
              </w:rPr>
            </w:pPr>
            <w:r>
              <w:rPr>
                <w:sz w:val="4"/>
                <w:szCs w:val="4"/>
              </w:rPr>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Holding Company</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Holding Company</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debt securities available-for-sale during the period</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1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28,361 </w:t>
            </w:r>
          </w:p>
        </w:tc>
        <w:tc>
          <w:tcPr>
            <w:tcW w:w="1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2580"/>
                <wp:effectExtent l="0" t="0" r="0" b="0"/>
                <wp:wrapNone/>
                <wp:docPr id="10"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2698" w:type="dxa"/>
        <w:jc w:val="left"/>
        <w:tblInd w:w="0" w:type="dxa"/>
        <w:tblLayout w:type="fixed"/>
        <w:tblCellMar>
          <w:top w:w="28" w:type="dxa"/>
          <w:left w:w="28" w:type="dxa"/>
          <w:bottom w:w="28" w:type="dxa"/>
          <w:right w:w="28" w:type="dxa"/>
        </w:tblCellMar>
      </w:tblPr>
      <w:tblGrid>
        <w:gridCol w:w="834"/>
        <w:gridCol w:w="258"/>
        <w:gridCol w:w="259"/>
        <w:gridCol w:w="360"/>
        <w:gridCol w:w="361"/>
        <w:gridCol w:w="246"/>
        <w:gridCol w:w="109"/>
        <w:gridCol w:w="109"/>
        <w:gridCol w:w="109"/>
        <w:gridCol w:w="225"/>
        <w:gridCol w:w="498"/>
        <w:gridCol w:w="118"/>
        <w:gridCol w:w="109"/>
        <w:gridCol w:w="109"/>
        <w:gridCol w:w="109"/>
        <w:gridCol w:w="245"/>
        <w:gridCol w:w="245"/>
        <w:gridCol w:w="246"/>
        <w:gridCol w:w="109"/>
        <w:gridCol w:w="109"/>
        <w:gridCol w:w="109"/>
        <w:gridCol w:w="211"/>
        <w:gridCol w:w="721"/>
        <w:gridCol w:w="109"/>
        <w:gridCol w:w="109"/>
        <w:gridCol w:w="109"/>
        <w:gridCol w:w="109"/>
        <w:gridCol w:w="211"/>
        <w:gridCol w:w="826"/>
        <w:gridCol w:w="109"/>
        <w:gridCol w:w="109"/>
        <w:gridCol w:w="109"/>
        <w:gridCol w:w="109"/>
        <w:gridCol w:w="379"/>
        <w:gridCol w:w="865"/>
        <w:gridCol w:w="197"/>
        <w:gridCol w:w="109"/>
        <w:gridCol w:w="109"/>
        <w:gridCol w:w="109"/>
        <w:gridCol w:w="109"/>
        <w:gridCol w:w="109"/>
        <w:gridCol w:w="109"/>
        <w:gridCol w:w="109"/>
        <w:gridCol w:w="109"/>
        <w:gridCol w:w="109"/>
        <w:gridCol w:w="211"/>
        <w:gridCol w:w="721"/>
        <w:gridCol w:w="109"/>
        <w:gridCol w:w="109"/>
        <w:gridCol w:w="109"/>
        <w:gridCol w:w="109"/>
        <w:gridCol w:w="211"/>
        <w:gridCol w:w="82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80"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1518" w:type="dxa"/>
            <w:gridSpan w:val="6"/>
            <w:tcBorders/>
          </w:tcPr>
          <w:p>
            <w:pPr>
              <w:pStyle w:val="TableContents"/>
              <w:bidi w:val="0"/>
              <w:spacing w:before="0" w:after="283"/>
              <w:jc w:val="left"/>
              <w:rPr>
                <w:sz w:val="4"/>
                <w:szCs w:val="4"/>
              </w:rPr>
            </w:pPr>
            <w:r>
              <w:rPr>
                <w:sz w:val="4"/>
                <w:szCs w:val="4"/>
              </w:rPr>
            </w:r>
          </w:p>
        </w:tc>
      </w:tr>
      <w:tr>
        <w:trPr/>
        <w:tc>
          <w:tcPr>
            <w:tcW w:w="11180"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c>
          <w:tcPr>
            <w:tcW w:w="1518" w:type="dxa"/>
            <w:gridSpan w:val="6"/>
            <w:tcBorders/>
          </w:tcPr>
          <w:p>
            <w:pPr>
              <w:pStyle w:val="TableContents"/>
              <w:bidi w:val="0"/>
              <w:spacing w:before="0" w:after="283"/>
              <w:jc w:val="left"/>
              <w:rPr>
                <w:sz w:val="4"/>
                <w:szCs w:val="4"/>
              </w:rPr>
            </w:pPr>
            <w:r>
              <w:rPr>
                <w:sz w:val="4"/>
                <w:szCs w:val="4"/>
              </w:rPr>
            </w:r>
          </w:p>
        </w:tc>
      </w:tr>
      <w:tr>
        <w:trPr/>
        <w:tc>
          <w:tcPr>
            <w:tcW w:w="11180"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Addition-al paid-in capital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Retained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forfeitures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 net of accrued dividends 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net of forfeitures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($0.18/share)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preferred shares ($12.27/share)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2580"/>
                <wp:effectExtent l="0" t="0" r="0" b="0"/>
                <wp:wrapNone/>
                <wp:docPr id="1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1826" w:type="dxa"/>
        <w:jc w:val="left"/>
        <w:tblInd w:w="0" w:type="dxa"/>
        <w:tblLayout w:type="fixed"/>
        <w:tblCellMar>
          <w:top w:w="28" w:type="dxa"/>
          <w:left w:w="28" w:type="dxa"/>
          <w:bottom w:w="28" w:type="dxa"/>
          <w:right w:w="28" w:type="dxa"/>
        </w:tblCellMar>
      </w:tblPr>
      <w:tblGrid>
        <w:gridCol w:w="744"/>
        <w:gridCol w:w="258"/>
        <w:gridCol w:w="259"/>
        <w:gridCol w:w="360"/>
        <w:gridCol w:w="361"/>
        <w:gridCol w:w="178"/>
        <w:gridCol w:w="109"/>
        <w:gridCol w:w="109"/>
        <w:gridCol w:w="109"/>
        <w:gridCol w:w="211"/>
        <w:gridCol w:w="466"/>
        <w:gridCol w:w="109"/>
        <w:gridCol w:w="109"/>
        <w:gridCol w:w="109"/>
        <w:gridCol w:w="109"/>
        <w:gridCol w:w="109"/>
        <w:gridCol w:w="109"/>
        <w:gridCol w:w="1351"/>
        <w:gridCol w:w="109"/>
        <w:gridCol w:w="211"/>
        <w:gridCol w:w="826"/>
        <w:gridCol w:w="109"/>
        <w:gridCol w:w="109"/>
        <w:gridCol w:w="109"/>
        <w:gridCol w:w="109"/>
        <w:gridCol w:w="1231"/>
        <w:gridCol w:w="109"/>
        <w:gridCol w:w="211"/>
        <w:gridCol w:w="721"/>
        <w:gridCol w:w="109"/>
        <w:gridCol w:w="109"/>
        <w:gridCol w:w="109"/>
        <w:gridCol w:w="109"/>
        <w:gridCol w:w="109"/>
        <w:gridCol w:w="109"/>
        <w:gridCol w:w="109"/>
        <w:gridCol w:w="109"/>
        <w:gridCol w:w="631"/>
        <w:gridCol w:w="109"/>
        <w:gridCol w:w="211"/>
        <w:gridCol w:w="82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402" w:type="dxa"/>
            <w:gridSpan w:val="20"/>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undistributed earnings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($0.75/share)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resulting from operations:</w:t>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2580"/>
                <wp:effectExtent l="0" t="0" r="0" b="0"/>
                <wp:wrapNone/>
                <wp:docPr id="12"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3707" w:type="dxa"/>
        <w:jc w:val="left"/>
        <w:tblInd w:w="0" w:type="dxa"/>
        <w:tblLayout w:type="fixed"/>
        <w:tblCellMar>
          <w:top w:w="28" w:type="dxa"/>
          <w:left w:w="28" w:type="dxa"/>
          <w:bottom w:w="28" w:type="dxa"/>
          <w:right w:w="28" w:type="dxa"/>
        </w:tblCellMar>
      </w:tblPr>
      <w:tblGrid>
        <w:gridCol w:w="728"/>
        <w:gridCol w:w="311"/>
        <w:gridCol w:w="312"/>
        <w:gridCol w:w="360"/>
        <w:gridCol w:w="361"/>
        <w:gridCol w:w="246"/>
        <w:gridCol w:w="109"/>
        <w:gridCol w:w="109"/>
        <w:gridCol w:w="109"/>
        <w:gridCol w:w="225"/>
        <w:gridCol w:w="498"/>
        <w:gridCol w:w="118"/>
        <w:gridCol w:w="109"/>
        <w:gridCol w:w="109"/>
        <w:gridCol w:w="109"/>
        <w:gridCol w:w="245"/>
        <w:gridCol w:w="245"/>
        <w:gridCol w:w="246"/>
        <w:gridCol w:w="109"/>
        <w:gridCol w:w="109"/>
        <w:gridCol w:w="109"/>
        <w:gridCol w:w="211"/>
        <w:gridCol w:w="721"/>
        <w:gridCol w:w="109"/>
        <w:gridCol w:w="109"/>
        <w:gridCol w:w="109"/>
        <w:gridCol w:w="109"/>
        <w:gridCol w:w="211"/>
        <w:gridCol w:w="826"/>
        <w:gridCol w:w="109"/>
        <w:gridCol w:w="109"/>
        <w:gridCol w:w="109"/>
        <w:gridCol w:w="109"/>
        <w:gridCol w:w="379"/>
        <w:gridCol w:w="865"/>
        <w:gridCol w:w="197"/>
        <w:gridCol w:w="109"/>
        <w:gridCol w:w="109"/>
        <w:gridCol w:w="109"/>
        <w:gridCol w:w="270"/>
        <w:gridCol w:w="925"/>
        <w:gridCol w:w="141"/>
        <w:gridCol w:w="109"/>
        <w:gridCol w:w="109"/>
        <w:gridCol w:w="109"/>
        <w:gridCol w:w="211"/>
        <w:gridCol w:w="721"/>
        <w:gridCol w:w="109"/>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07"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r>
      <w:tr>
        <w:trPr/>
        <w:tc>
          <w:tcPr>
            <w:tcW w:w="13707"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r>
      <w:tr>
        <w:trPr/>
        <w:tc>
          <w:tcPr>
            <w:tcW w:w="13707"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Addition-al paid-in capital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undistrib-uted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Retained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from BDC to Bank Holding Company Adjustments: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presentation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fair value adjustments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controlled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Reassessment of deferred tax assets and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forfeitures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 net of accrued dividends 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net of forfeitures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Preferred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issuance costs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($0.18/share)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preferred shares ($12.27/share)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2580"/>
                <wp:effectExtent l="0" t="0" r="0" b="0"/>
                <wp:wrapNone/>
                <wp:docPr id="13" name="Frame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826" w:type="dxa"/>
        <w:jc w:val="left"/>
        <w:tblInd w:w="0" w:type="dxa"/>
        <w:tblLayout w:type="fixed"/>
        <w:tblCellMar>
          <w:top w:w="28" w:type="dxa"/>
          <w:left w:w="28" w:type="dxa"/>
          <w:bottom w:w="28" w:type="dxa"/>
          <w:right w:w="28" w:type="dxa"/>
        </w:tblCellMar>
      </w:tblPr>
      <w:tblGrid>
        <w:gridCol w:w="638"/>
        <w:gridCol w:w="311"/>
        <w:gridCol w:w="312"/>
        <w:gridCol w:w="360"/>
        <w:gridCol w:w="361"/>
        <w:gridCol w:w="178"/>
        <w:gridCol w:w="109"/>
        <w:gridCol w:w="109"/>
        <w:gridCol w:w="109"/>
        <w:gridCol w:w="211"/>
        <w:gridCol w:w="466"/>
        <w:gridCol w:w="109"/>
        <w:gridCol w:w="109"/>
        <w:gridCol w:w="109"/>
        <w:gridCol w:w="109"/>
        <w:gridCol w:w="109"/>
        <w:gridCol w:w="109"/>
        <w:gridCol w:w="1351"/>
        <w:gridCol w:w="109"/>
        <w:gridCol w:w="211"/>
        <w:gridCol w:w="826"/>
        <w:gridCol w:w="109"/>
        <w:gridCol w:w="109"/>
        <w:gridCol w:w="109"/>
        <w:gridCol w:w="109"/>
        <w:gridCol w:w="1231"/>
        <w:gridCol w:w="109"/>
        <w:gridCol w:w="211"/>
        <w:gridCol w:w="721"/>
        <w:gridCol w:w="109"/>
        <w:gridCol w:w="109"/>
        <w:gridCol w:w="109"/>
        <w:gridCol w:w="109"/>
        <w:gridCol w:w="109"/>
        <w:gridCol w:w="109"/>
        <w:gridCol w:w="109"/>
        <w:gridCol w:w="109"/>
        <w:gridCol w:w="63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402" w:type="dxa"/>
            <w:gridSpan w:val="20"/>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undistributed earnings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resulting from operations: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2580"/>
                <wp:effectExtent l="0" t="0" r="0" b="0"/>
                <wp:wrapNone/>
                <wp:docPr id="14" name="Frame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76"/>
        <w:gridCol w:w="1648"/>
        <w:gridCol w:w="1653"/>
        <w:gridCol w:w="408"/>
        <w:gridCol w:w="1398"/>
        <w:gridCol w:w="210"/>
        <w:gridCol w:w="210"/>
        <w:gridCol w:w="210"/>
        <w:gridCol w:w="210"/>
        <w:gridCol w:w="408"/>
        <w:gridCol w:w="1398"/>
        <w:gridCol w:w="210"/>
        <w:gridCol w:w="109"/>
        <w:gridCol w:w="157"/>
      </w:tblGrid>
      <w:tr>
        <w:trPr/>
        <w:tc>
          <w:tcPr>
            <w:tcW w:w="197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66" w:type="dxa"/>
            <w:gridSpan w:val="2"/>
            <w:tcBorders/>
          </w:tcPr>
          <w:p>
            <w:pPr>
              <w:pStyle w:val="TableContents"/>
              <w:bidi w:val="0"/>
              <w:spacing w:before="0" w:after="283"/>
              <w:jc w:val="left"/>
              <w:rPr>
                <w:sz w:val="4"/>
                <w:szCs w:val="4"/>
              </w:rPr>
            </w:pPr>
            <w:r>
              <w:rPr>
                <w:sz w:val="4"/>
                <w:szCs w:val="4"/>
              </w:rPr>
            </w:r>
          </w:p>
        </w:tc>
      </w:tr>
      <w:tr>
        <w:trPr/>
        <w:tc>
          <w:tcPr>
            <w:tcW w:w="99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c>
        <w:tc>
          <w:tcPr>
            <w:tcW w:w="266" w:type="dxa"/>
            <w:gridSpan w:val="2"/>
            <w:tcBorders/>
          </w:tcPr>
          <w:p>
            <w:pPr>
              <w:pStyle w:val="TableContents"/>
              <w:bidi w:val="0"/>
              <w:spacing w:before="0" w:after="283"/>
              <w:jc w:val="left"/>
              <w:rPr>
                <w:sz w:val="4"/>
                <w:szCs w:val="4"/>
              </w:rPr>
            </w:pPr>
            <w:r>
              <w:rPr>
                <w:sz w:val="4"/>
                <w:szCs w:val="4"/>
              </w:rPr>
            </w:r>
          </w:p>
        </w:tc>
      </w:tr>
      <w:tr>
        <w:trPr/>
        <w:tc>
          <w:tcPr>
            <w:tcW w:w="99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66" w:type="dxa"/>
            <w:gridSpan w:val="2"/>
            <w:tcBorders/>
          </w:tcPr>
          <w:p>
            <w:pPr>
              <w:pStyle w:val="TableContents"/>
              <w:bidi w:val="0"/>
              <w:spacing w:before="0" w:after="283"/>
              <w:jc w:val="left"/>
              <w:rPr>
                <w:sz w:val="4"/>
                <w:szCs w:val="4"/>
              </w:rPr>
            </w:pPr>
            <w:r>
              <w:rPr>
                <w:sz w:val="4"/>
                <w:szCs w:val="4"/>
              </w:rPr>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266" w:type="dxa"/>
            <w:gridSpan w:val="2"/>
            <w:tcBorders/>
          </w:tcPr>
          <w:p>
            <w:pPr>
              <w:pStyle w:val="TableContents"/>
              <w:bidi w:val="0"/>
              <w:spacing w:before="0" w:after="283"/>
              <w:jc w:val="left"/>
              <w:rPr>
                <w:sz w:val="4"/>
                <w:szCs w:val="4"/>
              </w:rPr>
            </w:pPr>
            <w:r>
              <w:rPr>
                <w:sz w:val="4"/>
                <w:szCs w:val="4"/>
              </w:rPr>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2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Holding Company</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operating activities:</w:t>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joint ventures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servicing assets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derivative transactions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accretion of premium/discount</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 of cost or market adjustment on loans held for sale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loans held for sale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534,378 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held for sale from affiliate</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held for sale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loans held for sale</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(532,993)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(586,858)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controlled investments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non-control/affiliate investment</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received on loans held for sale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received from controlled investments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controlled investments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to joint ventures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servicing asset</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(116,690)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(127,593)</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2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loans held for investment, at fair value</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loans held for investment, at cost</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(115,968)</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fixed assets</w:t>
            </w:r>
          </w:p>
        </w:tc>
        <w:tc>
          <w:tcPr>
            <w:tcW w:w="2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Federal Home Loan and Federal Reserve Bank stock</w:t>
            </w:r>
          </w:p>
        </w:tc>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2580"/>
                <wp:effectExtent l="0" t="0" r="0" b="0"/>
                <wp:wrapNone/>
                <wp:docPr id="15" name="Frame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552"/>
        <w:gridCol w:w="1560"/>
        <w:gridCol w:w="424"/>
        <w:gridCol w:w="1663"/>
        <w:gridCol w:w="218"/>
        <w:gridCol w:w="218"/>
        <w:gridCol w:w="218"/>
        <w:gridCol w:w="218"/>
        <w:gridCol w:w="424"/>
        <w:gridCol w:w="1451"/>
        <w:gridCol w:w="218"/>
        <w:gridCol w:w="109"/>
        <w:gridCol w:w="162"/>
      </w:tblGrid>
      <w:tr>
        <w:trPr/>
        <w:tc>
          <w:tcPr>
            <w:tcW w:w="177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71" w:type="dxa"/>
            <w:gridSpan w:val="2"/>
            <w:tcBorders/>
          </w:tcPr>
          <w:p>
            <w:pPr>
              <w:pStyle w:val="TableContents"/>
              <w:bidi w:val="0"/>
              <w:spacing w:before="0" w:after="283"/>
              <w:jc w:val="left"/>
              <w:rPr>
                <w:sz w:val="4"/>
                <w:szCs w:val="4"/>
              </w:rPr>
            </w:pPr>
            <w:r>
              <w:rPr>
                <w:sz w:val="4"/>
                <w:szCs w:val="4"/>
              </w:rPr>
            </w:r>
          </w:p>
        </w:tc>
      </w:tr>
      <w:tr>
        <w:trP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c>
        <w:tc>
          <w:tcPr>
            <w:tcW w:w="271" w:type="dxa"/>
            <w:gridSpan w:val="2"/>
            <w:tcBorders/>
          </w:tcPr>
          <w:p>
            <w:pPr>
              <w:pStyle w:val="TableContents"/>
              <w:bidi w:val="0"/>
              <w:spacing w:before="0" w:after="283"/>
              <w:jc w:val="left"/>
              <w:rPr>
                <w:sz w:val="4"/>
                <w:szCs w:val="4"/>
              </w:rPr>
            </w:pPr>
            <w:r>
              <w:rPr>
                <w:sz w:val="4"/>
                <w:szCs w:val="4"/>
              </w:rPr>
            </w:r>
          </w:p>
        </w:tc>
      </w:tr>
      <w:tr>
        <w:trPr/>
        <w:tc>
          <w:tcPr>
            <w:tcW w:w="99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71" w:type="dxa"/>
            <w:gridSpan w:val="2"/>
            <w:tcBorders/>
          </w:tcPr>
          <w:p>
            <w:pPr>
              <w:pStyle w:val="TableContents"/>
              <w:bidi w:val="0"/>
              <w:spacing w:before="0" w:after="283"/>
              <w:jc w:val="left"/>
              <w:rPr>
                <w:sz w:val="4"/>
                <w:szCs w:val="4"/>
              </w:rPr>
            </w:pPr>
            <w:r>
              <w:rPr>
                <w:sz w:val="4"/>
                <w:szCs w:val="4"/>
              </w:rPr>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271" w:type="dxa"/>
            <w:gridSpan w:val="2"/>
            <w:tcBorders/>
          </w:tcPr>
          <w:p>
            <w:pPr>
              <w:pStyle w:val="TableContents"/>
              <w:bidi w:val="0"/>
              <w:spacing w:before="0" w:after="283"/>
              <w:jc w:val="left"/>
              <w:rPr>
                <w:sz w:val="4"/>
                <w:szCs w:val="4"/>
              </w:rPr>
            </w:pPr>
            <w:r>
              <w:rPr>
                <w:sz w:val="4"/>
                <w:szCs w:val="4"/>
              </w:rPr>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available-for-sale securities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(123,017)</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2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(paydowns) borrowings on bank notes payable</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deposits</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Federal Home Loan Bank advances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shares sold, net of offering costs</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preferred stock, net of offering costs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repayments under related party line of credit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2025 5.00% Notes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2025 8.125% Notes</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2028 8.00% Notes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2025 6.85% Notes</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Notes Payable - Securitization Trusts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Notes Payable - Securitization Trusts</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net of dividend reinvestment plan</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financing costs</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vAlign w:val="center"/>
          </w:tcPr>
          <w:p>
            <w:pPr>
              <w:pStyle w:val="TableContents"/>
              <w:bidi w:val="0"/>
              <w:spacing w:before="0" w:after="283"/>
              <w:jc w:val="left"/>
              <w:rPr>
                <w:sz w:val="4"/>
                <w:szCs w:val="4"/>
              </w:rPr>
            </w:pPr>
            <w:r>
              <w:rPr>
                <w:sz w:val="4"/>
                <w:szCs w:val="4"/>
              </w:rPr>
            </w:r>
          </w:p>
        </w:tc>
        <w:tc>
          <w:tcPr>
            <w:tcW w:w="230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315,488 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restricted cash</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cash—beginning of period (Note 2)</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cash from controlled investments</w:t>
            </w:r>
          </w:p>
        </w:tc>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22,306</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cash—end of period (Note 2)</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223,693 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investing and financing activities:</w:t>
            </w:r>
          </w:p>
        </w:tc>
        <w:tc>
          <w:tcPr>
            <w:tcW w:w="2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but not paid during the period</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under dividend reinvestment plan</w:t>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2580"/>
                <wp:effectExtent l="0" t="0" r="0" b="0"/>
                <wp:wrapNone/>
                <wp:docPr id="16" name="Frame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57" w:type="dxa"/>
        <w:jc w:val="center"/>
        <w:tblInd w:w="0" w:type="dxa"/>
        <w:tblLayout w:type="fixed"/>
        <w:tblCellMar>
          <w:top w:w="28" w:type="dxa"/>
          <w:left w:w="28" w:type="dxa"/>
          <w:bottom w:w="28" w:type="dxa"/>
          <w:right w:w="28" w:type="dxa"/>
        </w:tblCellMar>
      </w:tblPr>
      <w:tblGrid>
        <w:gridCol w:w="384"/>
        <w:gridCol w:w="335"/>
        <w:gridCol w:w="335"/>
        <w:gridCol w:w="335"/>
        <w:gridCol w:w="335"/>
        <w:gridCol w:w="335"/>
        <w:gridCol w:w="335"/>
        <w:gridCol w:w="335"/>
        <w:gridCol w:w="335"/>
        <w:gridCol w:w="335"/>
        <w:gridCol w:w="335"/>
        <w:gridCol w:w="335"/>
        <w:gridCol w:w="335"/>
        <w:gridCol w:w="335"/>
        <w:gridCol w:w="518"/>
      </w:tblGrid>
      <w:tr>
        <w:trPr/>
        <w:tc>
          <w:tcPr>
            <w:tcW w:w="38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257"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NEWTEKONE, INC. AND SUBSIDIARIES </w:t>
            </w:r>
          </w:p>
          <w:p>
            <w:pPr>
              <w:pStyle w:val="TableContents"/>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1—DESCRIPTION OF BUSINESS AND BASIS OF PRESENTATION: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financial holding company that is a leading provider of business and financial solutions to SMBs and provides SMBs with the following Newtek® branded business and financial solutions: Newtek Bank, Newtek Lending, Newtek Payments, Newtek Insurance, Newtek Payroll and Newtek Technology.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pursuant to which the Company acquired from NBNYC’s shareholders all of the issued and outstanding stock of NBNYC for $20 million, plus reimbursement of certain expenses. NBNYC has been renamed Newtek Bank, National Association and has become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January 6, 2023, the Company filed with the SEC a Form N-54C, Notification of Withdrawal of Election to be Subject to the 1940 Act, and has ceased to be a BDC effective as of January 6, 2023. As a result of the Acquisition, the Company is now a financial holding company subject to the regulation and supervision of the Federal Reserve and the Federal Reserve Bank of Atlanta. The Company no longer qualifies as a regulated investment company (RIC) for federal income tax purposes and no longer qualifies for accounting treatment as an investment company. As a result, in addition to Newtek Bank and its consolidated subsidiary, SBL, the following NewtekOne portfolio companies and subsidiaries are now consolidated non-bank subsidiaries in the Company’s financial statements: NSBF; NMS; Mobil Money; NBC; PMT; NIA; TAM; Holdco 6; NCL; EWS; and NTS. Our investment in POS is treated as a non-controlling interest and is included on our consolidated financial statements. In addition, as a result of commitments made to the Federal Reserve, the Company will divest or otherwise terminate the activities conducted by NTS, including its subsidiary SIDCO, and EWS, within two years of becoming a financial holding company, subject to any extension of the two-year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on April 13, 2023, the Company, NSBF and the SBA entered into an agreement in connection with NSBF’s and Newtek Bank’s participation in the SBA 7(a) loan program (the "Wind-down Agreement"). The Company’s business plan prepared in connection with the Acquisition provided for all SBA 7(a) loan originations to be transitioned to Newtek Bank and for NSBF to cease originations of SBA 7(a) loans. Pursuant to the Wind-down Agreement, NSBF has begun to wind-down its operations and NSBF’s SBA 7(a) pipeline of new loans was transitioned to Newtek Bank during the second quarter of 2023. During this wind-down process, NSBF will continue to own the SBA 7(a) loans and PPP Loans currently in its SBA loan portfolio to maturity, liquidation, charge-off or (subject to SBA’s prior written approval) sale or transfer. SBL will service and liquidate NSBF’s SBA loan portfolio, including processing forgiveness and loan reviews for PPP Loans,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The Company has guaranteed NSBF’s obligations to the SBA and has funded a $10 million account at Newtek Bank to secure these potential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Acquisition and its effects as described above, comparisons to prior periods include adjustments made to reconcile prior investment company accounting to the current financial holding company accounting requirements. For example, the statement of changes in stockholders’ equity includes adjustments for changes in presentation between accumulated undistributed earnings and additional paid in capital, removal of fair value adjustments on entities that are now consolidating entities, and the reassessment of deferred tax assets and liabilities relating to the consolidation of the previous portfolio companies investments. The statement of cash flows includes an adjustment to the opening cash balance for the cash from the previously unconsolidated subsidiaries.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17, 2023, the Company changed its name from Newtek Business Services Corp. to NewtekOne, Inc.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2580"/>
                <wp:effectExtent l="0" t="0" r="0" b="0"/>
                <wp:wrapNone/>
                <wp:docPr id="17" name="Frame1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all financial information included in the tables in the following footnotes is stated in thousands, except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to the unaudited consolidated financial statements should be read in conjunction with the Company’s Annual Report on Form 10-K for the year ended December 31, 2022, filed on March 15, 2023.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results of operations for an interim period may not give a true indication of the results for the entire year. The December 31, 2022 consolidated statement of assets and liabilities has been derived from the audited financial statements as of that date. All intercompany balances and transactions have been eliminated in consolidation.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 during the reporting period. The level of uncertainty in estimates and assumptions increases with the length of time until the underlying transactions are complete. Actual results could differ from those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to certain of its financial instruments in accordance with ASC Topic 820 — Fair Value Measurement (“ASC Topic 820”). ASC Topic 820 defines fair value, establishes a framework used to measure fair value and requires disclosures for fair value measurements. In accordance with ASC Topic 820, the Company has categorized its financial instruments carried at fair value, based on the priority of the valuation technique, into a three-level fair value hierarchy. Fair value is a market-based measure considered from the perspective of the market participant who holds the financial instrument rather than an entity-specific measure. Therefore, when market assumptions are not readily available, the Company’s own assumptions reflect those that management believe market participants would use in pricing the financial instrument at the measurement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was greatest for financial instruments classified as Level 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changes to the valuation methodology are reviewed by management to confirm that the changes are appropriate. As markets change, new products develop and the pricing for products becomes more or less transparent, the Company will continue to refine its valuation methodologies. See further description of fair value methodology in NOTE 9—FAIR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Debt securities, available for sale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securities portfolio primarily consists of available for sale debt securities held by Newtek Bank that are classified as “available for sale” and carried at their estimated fair value, with any unrealized gains or losses, net of taxes, reported as accumulated other comprehensive income or loss in stockholders’ equity. The fair values of our instruments are affected by changes in market interest rates and credit spreads. In general, as interest rates rise and/or credit spreads widen, the fair value of instruments will decline. As interest rates fall and/or credit spreads tighten, the fair value of instruments will rise. The Company evaluates available-for-sale instruments in unrealized loss positions at least quarterly to determine if an allowance for credit losses is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sales of debt securities are accounted for on a trade-date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instruments with maturities of three months or less when purchased to be cash equivalents. Invested cash is held exclusively at financial institutions of high credit quality. As of September 30, 2023, cash deposits in excess of insured amounts totaled $63.4 million. The Company has not experienced any losses with respect to cash balances in excess of insured amounts and management does not believe there was a significant concentration of risk with respect to cash balances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includes amounts due on SBA loan-related remittances to third parties, cash reserves established as part of agreements with the SBA, cash reserves associated with securitization transactions, and cash margin as collateral for derivative instruments. As of September 30, 2023, total restricted cash was $70.7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bearing deposits in banks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bearing deposits in banks reflects cash held at other financial institutions that earn interest.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as of September 30, 2023 and 2022 and December 31, 2022 and 2021:</w:t>
      </w:r>
    </w:p>
    <w:p>
      <w:pPr>
        <w:pStyle w:val="TextBody"/>
        <w:bidi w:val="0"/>
        <w:spacing w:before="0" w:after="0"/>
        <w:jc w:val="left"/>
        <w:rPr/>
      </w:pPr>
      <w:r>
        <w:rPr/>
      </w:r>
    </w:p>
    <w:tbl>
      <w:tblPr>
        <w:tblW w:w="9948" w:type="dxa"/>
        <w:jc w:val="center"/>
        <w:tblInd w:w="0" w:type="dxa"/>
        <w:tblLayout w:type="fixed"/>
        <w:tblCellMar>
          <w:top w:w="28" w:type="dxa"/>
          <w:left w:w="28" w:type="dxa"/>
          <w:bottom w:w="28" w:type="dxa"/>
          <w:right w:w="28" w:type="dxa"/>
        </w:tblCellMar>
      </w:tblPr>
      <w:tblGrid>
        <w:gridCol w:w="1024"/>
        <w:gridCol w:w="901"/>
        <w:gridCol w:w="910"/>
        <w:gridCol w:w="284"/>
        <w:gridCol w:w="1114"/>
        <w:gridCol w:w="147"/>
        <w:gridCol w:w="109"/>
        <w:gridCol w:w="109"/>
        <w:gridCol w:w="109"/>
        <w:gridCol w:w="313"/>
        <w:gridCol w:w="1070"/>
        <w:gridCol w:w="161"/>
        <w:gridCol w:w="109"/>
        <w:gridCol w:w="109"/>
        <w:gridCol w:w="109"/>
        <w:gridCol w:w="276"/>
        <w:gridCol w:w="1081"/>
        <w:gridCol w:w="142"/>
        <w:gridCol w:w="109"/>
        <w:gridCol w:w="109"/>
        <w:gridCol w:w="109"/>
        <w:gridCol w:w="273"/>
        <w:gridCol w:w="1072"/>
        <w:gridCol w:w="199"/>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223,693 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 – Loans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Accounting Standards Update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(“CECL”) approach requires an estimate of the credit losses expected over the life of a loan (or pool of loans). It replaces the incurred loss approach’s threshold that required the recognition of a credit loss when it was probable a loss event was incurred. The allowance for credit losses is a valuation account that is deducted from, or added to, the loans’ amortized cost basis to present the net, lifetime amount expected to be collected on the loans. Loan losses are charged off against the allowance when management believes a loan balance is confirmed to be uncollectible. Expected recoveries do not exceed the aggregate of amounts previously charged-off and expected to be charged-off.</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estimates the allowance balance using relevant available information, from internal and external sources, related to past events, current conditions, and reasonable and supportable forecasts. Historical credit loss experience provides the basis for the estimation of expected credit losses. Company historical loss experience was supplemented with peer information when there was insufficient loss data for the Company. Peer selection was based on a review of institutions with comparable loss experience as well as loan yield, bank size, portfolio concentration and geography.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 Significant management judgment is required at each point in the measurement process.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Portfolio segment is defined as the level at which an entity develops and documents a systematic methodology to determine its allowance for credit losses. Management developed segments for estimating loss based on type of borrower and collateral which is generally based upon federal call report segmentation and have been combined or sub-segmented as needed to ensure loans of similar risk profiles are appropriately pooled. These portfolio segments are as follows: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Commercial Real Estate</w:t>
      </w:r>
      <w:r>
        <w:rPr>
          <w:rFonts w:ascii="Times New Roman;sans-serif" w:hAnsi="Times New Roman;sans-serif"/>
          <w:b/>
          <w:i/>
          <w:color w:val="000000"/>
          <w:sz w:val="20"/>
        </w:rPr>
        <w:t xml:space="preserve">: </w:t>
      </w:r>
      <w:r>
        <w:rPr>
          <w:rFonts w:ascii="Times New Roman;sans-serif" w:hAnsi="Times New Roman;sans-serif"/>
          <w:b w:val="false"/>
          <w:color w:val="000000"/>
          <w:sz w:val="20"/>
        </w:rPr>
        <w:t>The commercial real estate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Commercial &amp; Industrial: </w:t>
      </w:r>
      <w:r>
        <w:rPr>
          <w:rFonts w:ascii="Times New Roman;sans-serif" w:hAnsi="Times New Roman;sans-serif"/>
          <w:b w:val="false"/>
          <w:color w:val="000000"/>
          <w:sz w:val="20"/>
        </w:rPr>
        <w:t xml:space="preserve">The commercial &amp; industrial portfolio consists of loans made for general business purposes consisting of short-term working capital loans, equipment loans and unsecured business lines. </w:t>
      </w:r>
    </w:p>
    <w:p>
      <w:pPr>
        <w:pStyle w:val="TextBody"/>
        <w:bidi w:val="0"/>
        <w:spacing w:before="0" w:after="0"/>
        <w:jc w:val="both"/>
        <w:rPr/>
      </w:pPr>
      <w:r>
        <w:rPr/>
      </w:r>
    </w:p>
    <w:p>
      <w:pPr>
        <w:pStyle w:val="TextBody"/>
        <w:bidi w:val="0"/>
        <w:spacing w:lineRule="auto" w:line="256" w:before="0" w:after="0"/>
        <w:jc w:val="left"/>
        <w:rPr/>
      </w:pPr>
      <w:r>
        <w:rPr>
          <w:rFonts w:ascii="Times New Roman;sans-serif" w:hAnsi="Times New Roman;sans-serif"/>
          <w:b w:val="false"/>
          <w:i/>
          <w:color w:val="000000"/>
          <w:sz w:val="20"/>
        </w:rPr>
        <w:t xml:space="preserve">SBA 7(a): </w:t>
      </w:r>
      <w:r>
        <w:rPr>
          <w:rFonts w:ascii="Times New Roman;sans-serif" w:hAnsi="Times New Roman;sans-serif"/>
          <w:b w:val="false"/>
          <w:color w:val="000000"/>
          <w:sz w:val="20"/>
        </w:rPr>
        <w:t>The SBA 7(a) portfolio includes loans originated under the federal Section 7(a) loan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may underwrite loans between $5,000 and $5.0 million for a variety of general business purposes based on the SBA’s loan program requirements. The guaranteed portion of the loans are held for sale and carried at LCM and therefore are not subject to CECL. The unguaranteed portion of the loans are held on balance sheet at amortized cost and are subject to CECL.</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shd w:fill="FFFFFF" w:val="clear"/>
        </w:rPr>
        <w:t>Allowance for Credit Losses – Available-fo</w:t>
      </w:r>
      <w:r>
        <w:rPr>
          <w:rFonts w:ascii="Times New Roman;sans-serif" w:hAnsi="Times New Roman;sans-serif"/>
          <w:b/>
          <w:i/>
          <w:color w:val="000000"/>
          <w:sz w:val="20"/>
        </w:rPr>
        <w:t>r Sale (“AFS”) Debt Securities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The impairment model for </w:t>
      </w:r>
      <w:r>
        <w:rPr>
          <w:rFonts w:ascii="Times New Roman;sans-serif" w:hAnsi="Times New Roman;sans-serif"/>
          <w:b w:val="false"/>
          <w:color w:val="000000"/>
          <w:sz w:val="20"/>
        </w:rPr>
        <w:t>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September 30, 2023, the Company det</w:t>
      </w:r>
      <w:r>
        <w:rPr>
          <w:rFonts w:ascii="Times New Roman;sans-serif" w:hAnsi="Times New Roman;sans-serif"/>
          <w:b w:val="false"/>
          <w:color w:val="000000"/>
          <w:sz w:val="20"/>
          <w:shd w:fill="FFFFFF" w:val="clear"/>
        </w:rPr>
        <w:t>ermined that the unrealized loss positions in the AFS securities were not the result of credit losses, and therefore, an allowance for credit losses was not recorded.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Settlement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 represents amounts due from third parties for guaranteed portions of SBA 7(a) loans which have been sold at period-end but have not yet settled.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Loans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Held for Investment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receivable that management has the intent and ability to hold for the foreseeable future or until maturity or pay-off are classified as held for investment.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At amortized cost, net of deferred fees and costs: </w:t>
      </w:r>
      <w:r>
        <w:rPr>
          <w:rFonts w:ascii="Times New Roman;sans-serif" w:hAnsi="Times New Roman;sans-serif"/>
          <w:b w:val="false"/>
          <w:color w:val="000000"/>
          <w:sz w:val="20"/>
        </w:rPr>
        <w:t>Loans are reported at their principal amount outstanding, net of charge-offs, deferred origination costs and fees and purchase premiums and 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 over the remaining period to contractual maturity. Currently, all LHI at amortized cost, net of deferred fees and costs are originated and carried at Newtek Bank and have a weighted average life of five years. Newtek Bank originates SBA 7(a) loans, under its PLP status, and typically sells the guaranteed portions and holds the unguaranteed portions for investment. Newtek Bank also holds CRE and C&amp;I loans for investment.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At fair value: </w:t>
      </w:r>
      <w:r>
        <w:rPr>
          <w:rFonts w:ascii="Times New Roman;sans-serif" w:hAnsi="Times New Roman;sans-serif"/>
          <w:b w:val="false"/>
          <w:color w:val="000000"/>
          <w:sz w:val="20"/>
        </w:rPr>
        <w:t>On a quarterly basis, management determines the fair values of the retained unguaranteed portions of SBA 7(a) loans HFI, and unrealized changes in FV are recognized in the income statement. The loans within this portfolio were originated by NSBF. Refer to the “Fair Value Option” section below for further information on loans HFI carried at FV under the FV option.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Held for Sale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designates loans as HFS based on its intent to sell loans, or portions of loans, in established secondary markets or to participant banks and credit unions. Salability requirements of government guaranteed portions include, but are not limited to, full disbursement of the loan commitment amount. The Company occasionally transfers loans between the HFS and HFI classifications based on its intent and ability to hold or sell loans. Management’s intent to sell may be impacted by secondary market conditions, loan credit quality, or other factors.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At lower of amortized cost basis or fair value</w:t>
      </w:r>
      <w:r>
        <w:rPr>
          <w:rFonts w:ascii="Times New Roman;sans-serif" w:hAnsi="Times New Roman;sans-serif"/>
          <w:b w:val="false"/>
          <w:color w:val="000000"/>
          <w:sz w:val="20"/>
        </w:rPr>
        <w:t>: Both mortgage and nonmortgage loans classified as HFS are carried at the LCM. If the amortized cost basis of a loan exceeds FV, a valuation allowance s</w:t>
      </w:r>
      <w:r>
        <w:rPr>
          <w:rFonts w:ascii="Times New Roman;sans-serif" w:hAnsi="Times New Roman;sans-serif"/>
          <w:b w:val="false"/>
          <w:color w:val="000000"/>
          <w:sz w:val="20"/>
          <w:shd w:fill="FFFFFF" w:val="clear"/>
        </w:rPr>
        <w:t>hould b</w:t>
      </w:r>
      <w:r>
        <w:rPr>
          <w:rFonts w:ascii="Times New Roman;sans-serif" w:hAnsi="Times New Roman;sans-serif"/>
          <w:b w:val="false"/>
          <w:color w:val="000000"/>
          <w:sz w:val="20"/>
        </w:rPr>
        <w:t>e established for the difference. Currently, HFS loans at LCM are carried at Newtek Bank. This includes the government guaranteed portion of SBA 7(a) loans and SBA 504 loans. Management may also make a determination to market for sale certain CRE and C&amp;I loans on a loan by loan basis.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At fair value</w:t>
      </w:r>
      <w:r>
        <w:rPr>
          <w:rFonts w:ascii="Times New Roman;sans-serif" w:hAnsi="Times New Roman;sans-serif"/>
          <w:b w:val="false"/>
          <w:color w:val="000000"/>
          <w:sz w:val="20"/>
        </w:rPr>
        <w:t>: The Company originates nonconforming loans HFS via its nonbank subsidiaries, and joint ventures. Nonconforming loans are carried at FV. The Company also originated SBA 504 loans HFS prior to the Acquisition through its nonbank subsidiaries. SBA 504 loans HFS held at Holdco 6 are accounted for under the FV option. Nonconforming loans are held at Holdco 6, NCL JV, and TSO JV and are also accounted for under the FV option. Additionally, the existing government guaranteed portion of SBA 7(a) loans held at NSBF are also HFS at FV. Refer to the “Fair Value Option” section below for further information on loans HFS carried at FV under the FV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Those loans for which the FV option were elected are measured at FV and classified as either HFS or HFI, as outlined above. Not electing FV generally results in a larger discount being recorded on the date of the sale. This discount will subsequently be accreted into interest income over the underlying loan’s remaining term using the effective interest method. Management made this change of election in alignment with its ongoing effort to reduce volatility and drive more predictable revenue. In accordance with accounting standards, any loans for which FV was previously elected continue to be measured as such. Interest income is recognized in the same manner on loans reported at FV as on non-FV loans, except in regard to origination fees and costs which are recognized immediately upon FV election. The changes in FV of loans are reported in noninterest income as Net gain (loss) on loans accounted for under the fair value option. FV of loans includes adjustments for historical credit losses, market liquidity, and economic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an indefinite lived asset, which is not amortized and is instead subject to impairment testing, at least annually. Intangible assets, such as customer merchant accounts, with finite lives are amortized over an estimated useful life of 66 to 168 months. (See NOTE 8—GOODWILL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Assets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Transfers of Financial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 If the sale criteria are not met, the transfer is considered to be a secured borrowing, the assets remain on the Company’s consolidated balance sheets and the sale proceeds are recognized as a liability.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2010 through September 30, 2023, NSBF engaged in thirteen (13) securitizations of the unguaranteed portions of its SBA 7(a) loans. A securitization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vehicles, based on its power to direct activities through its role as servicer for the Trusts and its obligation to absorb losses and right to receive benefits, it needed to consolidate the Trusts. The Company therefore consolidates the entities using the carrying amounts of the Trusts’ assets and liabilities and reflects the assets in SBA Unguaranteed Loans and reflects the associated financing in Notes Payable - Securitization trusts on the Consolidated Statements of Assets and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Consolidation</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related to transactions that do not meet ASC Topic 860 — Transfers and Servicing (“ASC Topic 860”) requirements for accounting sale treatment are reflected in the Company’s consolidated statements of assets and liabilities as investments. Those assets are owned by the securitization trusts and are included in the Company’s consolidated financial statements. The creditors of the special purpose entities have received security interests in such assets and such assets are not intended to be available to the creditors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 amounts owed to the Company by third parties for electronic payment processing, technology services and related residuals. The Company estimates losses on accounts receivable based on known troubled accounts and historical experience of losses incurred.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Doubtful Accounts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Technology: </w:t>
      </w:r>
      <w:r>
        <w:rPr>
          <w:rFonts w:ascii="Times New Roman;sans-serif" w:hAnsi="Times New Roman;sans-serif"/>
          <w:b w:val="false"/>
          <w:color w:val="000000"/>
          <w:sz w:val="20"/>
        </w:rPr>
        <w:t xml:space="preserve">The allowance for doubtful accounts is established by management through provisions for bad debts charged against income. Amounts deemed to be uncollectible are charged against the allowance for doubtful accounts and subsequent recoveries, if any, are credited to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the allowance for doubtful accounts is inherently subjective, as it requires making material estimates which may vary from actual results. Management’s ongoing estimates of the allowance for doubtful accounts are particularly affected by the performance of the client in their ability to provide the Company with future receivables coupled with the collections of their current receivables. The allowance consists of general and specific components. The specific component relates to a client’s aggregate net balance that is owed to the Company that is classified as doubtful. The general component covers non-classified balances and is based on historical loss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client’s aggregate net balance is considered uncollectible when, based on current information and events, it is probable that the Company will be unable to collect the receivable payments or the Company has greatly reduced the amount of receivables to be purchased. The Company’s charge-off policy is based on a client-by-client review for which the estimated uncollectible portion is charged off against the corresponding client’s net balance and the allowance for doubtful accounts.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0"/>
        </w:rPr>
        <w:t xml:space="preserve">Payments: </w:t>
      </w:r>
      <w:r>
        <w:rPr>
          <w:rFonts w:ascii="Times New Roman;sans-serif" w:hAnsi="Times New Roman;sans-serif"/>
          <w:b w:val="false"/>
          <w:color w:val="000000"/>
          <w:sz w:val="20"/>
        </w:rPr>
        <w:t>Disputes between a cardholder and a merchant periodically arise as a result of, among other things, cardholder dissatisfaction with merchandise quality or merchant services. Such disputes may not be resolved in the merchant’s favor. In these cases, the transaction is “charged back” to the merchant, which means the purchase price is refunded to the customer through the merchant’s acquiring bank and charged to the merchant. If the merchant has inadequate funds, the Company or, under limited circumstances, the Company and the acquiring bank, must bear the credit risk for the full amount of the transaction. The Company evaluates its risk for such transactions and estimates its potential loss for chargebacks based primarily on historical experience and other relevant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reserves for charge-backs when such amounts are deemed to be probable and estimable. The required reserves may change in the future due to new developments, including, but not limited to, changes in litigation or increased charge-back exposure as the result of merchant insolvency, liquidation, or other reasons. The required reserves are reviewed periodically to determine if adjustments are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allowance for doubtful accounts was $0.8 million. There was no allowance for doubtful accounts as of December 31, 2022 prior to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Accrued Interest Receivable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Historically, the Company has not experienced uncollectible accrued interest receivable on investment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equipment to be installed in NMS merchant locations to enable the NMS merchants to process electronic transactions. Inventory is stated at the lower of cost or net realizable value, which is determined on a FIFO (first in-first out)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Fixed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which are composed of merchant processing terminals, software, telephone systems, computer equipment, automobile, website and leasehold improvements, are stated at cost less accumulated depreciation and amortization. Depreciation of fixed assets is provided on a straight-line basis using estimated useful lives of the related assets ranging from three to seven years. Amortization of leasehold improvements is provided on a straight-line basis using the lesser of the useful life of the asset, which is generally three to five years, or lease term.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software development costs for internal use. Costs incurred during the preliminary project stage are expensed as incurred, while application stage projects are capitalized. The latter costs are typically employee and/or consulting services directly associated with the development of the internal use software. Software and website costs are included in fixed assets in the accompanying consolidated balance sheets. Amortization commences once the software and website costs are ready for their intended use and are amortized using the straight-line method over the estimated useful life, typically three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Due to Participants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 represents amounts due to third party investors in the SBA guaranteed portion of SBA 7(a) and PPP loans. When the Company receives principal payments, including PPP loan forgiveness, after the loan has been either partially or fully sold to the participant, the remittances received by the Company are either owed in part or in full to the participant and amounts are recorded as a liability on the consolidated statements of assets and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to the Company's common stockholders are recorded on the declaration date. The timing and amount to be paid out as a dividend or distribution is determined by the Company's Board each quarter.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Loan Interest Income Recognition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Held for Investment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At LCM:</w:t>
      </w:r>
      <w:r>
        <w:rPr>
          <w:color w:val="000000"/>
        </w:rPr>
        <w:t xml:space="preserve"> </w:t>
      </w:r>
      <w:r>
        <w:rPr>
          <w:rFonts w:ascii="Times New Roman;sans-serif" w:hAnsi="Times New Roman;sans-serif"/>
          <w:b w:val="false"/>
          <w:color w:val="000000"/>
          <w:sz w:val="20"/>
        </w:rPr>
        <w:t>Interest on loans is generally recognized on a daily accrual basis at the applicable interest rate.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 xml:space="preserve">At FV: </w:t>
      </w:r>
      <w:r>
        <w:rPr>
          <w:rFonts w:ascii="Times New Roman;sans-serif" w:hAnsi="Times New Roman;sans-serif"/>
          <w:b w:val="false"/>
          <w:color w:val="000000"/>
          <w:sz w:val="20"/>
        </w:rPr>
        <w:t>In accordance with accounting standards, any loans for which FV was previously elected continue to be measured as such. Interest income is recognized in the same manner on loans reported 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Held for Sale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At LCM: </w:t>
      </w:r>
      <w:r>
        <w:rPr>
          <w:rFonts w:ascii="Times New Roman;sans-serif" w:hAnsi="Times New Roman;sans-serif"/>
          <w:b w:val="false"/>
          <w:color w:val="000000"/>
          <w:sz w:val="20"/>
        </w:rPr>
        <w:t>Net unrealized losses, if any, on loans without a FV election, are recognized through a valuation allowance and recorded as a charge to Other noninterest income. The cost basis of loans HFS includes unamortized loan origination fees and costs. The pro-rata portion, based on the percent of the total loan sold, of the remaining deferred fees and costs are recognized as an adjustment to the gain on sale. Not electing FV generally results in a larger discount being recorded on the date of the sale. This discount will subsequently be accreted into interest income over the underlying loan’s remaining term using the effective interest method. Management made this change of election in alignment with its ongoing effort to reduce volatility and drive more predictable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transfer is accounted for as a sale, the loans are derecognized from the Company’s consolidated balance sheet and a gain or loss is recognized in net gains on sales of loans line item on the consolidated statements of income. The gain on sale recognized in income is the sum of the premium on the guaranteed loan and the FV of the servicing assets recognized, less the discount recorded on the unguaranteed portion of the loan retained, and any FV fluctuations in associated exchange-traded interest rate futures contracts. If the transfer does not satisfy the aforementioned control criteria, the transaction is recorded as a secured borrowing with the transferred loans remaining on the Company’s consolidated balance sheet and proceeds recognized as a liability.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 xml:space="preserve">At FV: </w:t>
      </w:r>
      <w:r>
        <w:rPr>
          <w:rFonts w:ascii="Times New Roman;sans-serif" w:hAnsi="Times New Roman;sans-serif"/>
          <w:b w:val="false"/>
          <w:color w:val="000000"/>
          <w:sz w:val="20"/>
        </w:rPr>
        <w:t>In accordance with accounting standards, any loans for which FV was previously elected continue to be measured as such. Interest income is recognized in the same manner on loans reported at FV as on non-FV loans, except in regard to origination fees and costs which are recognized immediately upon FV election. The changes in FV of loans are reported within noninterest income as Net gain (loss) on loans accounted for under the fair value option. FV of loans includes adjustments for historical credit losses, market liquidity, and economic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bidi w:val="0"/>
        <w:spacing w:lineRule="auto" w:line="288" w:before="240" w:after="283"/>
        <w:jc w:val="left"/>
        <w:rPr/>
      </w:pPr>
      <w:r>
        <w:rPr>
          <w:rFonts w:ascii="Times New Roman;sans-serif" w:hAnsi="Times New Roman;sans-serif"/>
          <w:b w:val="false"/>
          <w:i/>
          <w:color w:val="000000"/>
          <w:sz w:val="20"/>
          <w:u w:val="single"/>
        </w:rPr>
        <w:t>Dividend income:</w:t>
      </w:r>
      <w:r>
        <w:rPr>
          <w:color w:val="000000"/>
        </w:rPr>
        <w:t xml:space="preserve"> </w:t>
      </w:r>
      <w:r>
        <w:rPr>
          <w:rFonts w:ascii="Times New Roman;sans-serif" w:hAnsi="Times New Roman;sans-serif"/>
          <w:b w:val="false"/>
          <w:color w:val="000000"/>
          <w:sz w:val="20"/>
        </w:rPr>
        <w:t>Dividend income is recognized on an accrual basis for equity securities to the extent that such amounts are expected to be collected or realized. In determining the amount of dividend income to recognize, if any, from cash distributions on equity securities, we assess many factors, including the joint ventures’ and non-controlled equity investments’ cumulative undistributed income and operating cash flow. Cash distributions from equity securities received in excess of such undistributed amounts are recorded first as a reduction of our investment and then as a realized gain on investment.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u w:val="single"/>
        </w:rPr>
        <w:t xml:space="preserve">Servicing income: </w:t>
      </w:r>
      <w:r>
        <w:rPr>
          <w:rFonts w:ascii="Times New Roman;sans-serif" w:hAnsi="Times New Roman;sans-serif"/>
          <w:b w:val="false"/>
          <w:color w:val="000000"/>
          <w:sz w:val="20"/>
        </w:rPr>
        <w:t>The Company earns servicing income related to the guaranteed portions of SBA 7(a) loan investments sold into the secondary market. These recurring servicing fees are earned and recorded daily. Servicing income is earned for the full term of the loan or until the loan is repaid.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0"/>
          <w:u w:val="single"/>
        </w:rPr>
        <w:t>Electronic payment processing income:</w:t>
      </w:r>
      <w:r>
        <w:rPr>
          <w:color w:val="000000"/>
        </w:rPr>
        <w:t xml:space="preserve"> </w:t>
      </w:r>
      <w:r>
        <w:rPr>
          <w:rFonts w:ascii="Times New Roman;sans-serif" w:hAnsi="Times New Roman;sans-serif"/>
          <w:b w:val="false"/>
          <w:color w:val="000000"/>
          <w:sz w:val="20"/>
        </w:rPr>
        <w:t>Revenues are recognized when control of the promised goods or services is transferred to the Company's customers, in an amount that reflects the consideration the Company expects to be entitled to in exchange for those goods or services. To achieve this core principle, the Company applies the following five steps: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Identify the contract with a customer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Identify the performance obligations in the contract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Determine the transaction price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Allocate the transaction price to the performance obligations in the contract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Recognize revenue when or as the Company satisfies a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net of taxes collected from customers, which are subsequently remitted to governmental authorities.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NMS’s revenue is primarily derived from electronic payment processing and related fee income.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and fee income is derived from NMS’s electronic processing of credit and debit card transactions that are authorized and captured through third-party networks. Typically, merchants are charged for these processing services by applying a percentage to the dollar amount of each transaction plus a flat fee per transaction. Certain merchant customers are charged miscellaneous fees, including fees for handling charge-backs or returns, monthly minimum fees, statement fees and fees for other miscellaneous services. Revenues derived from the electronic processing of MasterCard®, Visa®, American Express® and Discover® sourced credit and debit card transactions are reported gross of amounts paid to sponsor banks.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NMS's performance obligations are to stand ready to provide holistic electronic payment processing services consisting of a series of distinct elements that are substantially the same and have the same pattern of transfer over time. NMS’s promise to its customers is to perform an unknown or unspecified quantity of tasks and the consideration received is contingent upon the customers’ use (i.e., number of payment transactions processed, number of cards on file, etc.); as such, the total transaction price is variable. The Company allocates the variable fees charged to the day in which it has the contractual right to bill under the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2014-09, "Revenues from Contracts with Customers (“Topic 606”)" (“ASC 606”) requires that the Company determine for each customer arrangement whether revenue should be recognized at a point in time or over time. For the quarter ended September 30, 2023, substantially all of the Company’s revenues were recognized at a point in time.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Technology and IT support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segment sells a range of services and goods, including managed IT services, product and procurement services, professional services, webhosting, secure private cloud hosting, and backup disaster recovery. Our technology segment sells hardware and software products on both a stand-alone basis without any services and as solutions bundled with services. When our technology segment provides a combination of hardware and software products with the provision of services, it separately identifies its performance obligations under its contract with the customer as the distinct goods (hardware and/or software products) or services that will be provided. The total transaction price for an arrangement with multiple performance obligations is allocated at contract inception to each distinct performance obligation in proportion to its stand-alone selling price. The stand-alone selling price is the price at which it would sell a promised good or service separately to a customer. Our technology segment estimates the price based on observable inputs, including direct labor hours and allocatable costs, or uses observable stand-alone prices when they are available. Our technology segment’s professional services include the design and implementation of a wide range of IT products and services. Such services are typically provided by us or third-party sub-contractor vendors on a stand-alone basis.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measured based on the consideration specified in a contract with a customer. Our technology segment recognizes revenue when it satisfies a performance obligation by transferring control of a product or service or by arranging for the sale of a vendor’s products or service to a customer. Our technology segment recognizes revenue from sale of services as its technology segment performs the underlying services, typically based on time and materials basis based upon hours incurred for the performance completed to date for which we have the right to consideration. Our technology segment recognizes revenue on sales of goods at a point in time when customer takes control of goods, which typically occurs when title and risk of loss have passed to the customer. Our technology segment recognizes revenue on a gross basis for each of its services and product offerings principally because it is primarily responsible for fulfilling the promise to provide specified goods or service and it has discretion in establishing the price of specified good or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noninterest income: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Receivable fees; </w:t>
      </w:r>
      <w:r>
        <w:rPr>
          <w:rFonts w:ascii="Times New Roman;sans-serif" w:hAnsi="Times New Roman;sans-serif"/>
          <w:b w:val="false"/>
          <w:color w:val="000000"/>
          <w:sz w:val="20"/>
        </w:rPr>
        <w:t>Receivable fees are derived from the funding (purchase) of receivables from the Company’s finance clients. The Company recognizes revenue on the date receivables are purchased at a percentage of face value as agreed to by the client. The Company also has arrangements with certain of its clients whereby it purchases the client’s receivables and charges a fee at a specified rate based on the amount of funds advanced against such receivables. The funds provided are collateralized and the income is recognized as earned which occurs as time passes.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Realized gains or losses on joint ventures:</w:t>
      </w:r>
      <w:r>
        <w:rPr>
          <w:color w:val="000000"/>
        </w:rPr>
        <w:t xml:space="preserve"> </w:t>
      </w:r>
      <w:r>
        <w:rPr>
          <w:rFonts w:ascii="Times New Roman;sans-serif" w:hAnsi="Times New Roman;sans-serif"/>
          <w:b w:val="false"/>
          <w:color w:val="000000"/>
          <w:sz w:val="20"/>
        </w:rPr>
        <w:t>Realized gains or losses on joint ventures are measured by the difference between the net proceeds from the disposition and the cost basis of investment, without regard to unrealized gains or losses previously recognized. The Company reports current period changes in the fair value of joint venture investments as a component of the net change in unrealized appreciation (depreciation) on joint ventures in the consolidated statements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The Company earns a variety of fees from borrowers in the ordinary course of conducting its business, including packaging, legal, late payment and prepayment fees. All other income is recorded when earned. Other income is generally non-recurring in nature and earned as “one time” fees in connection with the origination of new loans with non-affiliates.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Electronic Payment Processing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costs consist principally of costs directly related to the processing of merchant sales volume, bank processing fees and costs paid to third-party processing networks. Such costs are recognized at the time the merchant transactions are processed or when the services are performed.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costs directly related to the processing of merchant sales volume, electronic payment processing costs also include residual expenses. Residual expenses represent fees paid to third-party sales referral sources. Residual expenses are paid in accordance with contracted terms. These are generally linked to revenues derived from merchants successfully referred to the Company and that begin using the Company for merchant processing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Such residual expenses are recognized in the Company’s consolidated statements of income. During the quarter ended September 30, 2023, the Company partnered with two sponsor banks for substantially all merchant transactions. Substantially all merchant transactions were processed by one merchant processor.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Technology Services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 and goods sold include product costs, outbound and inbound freight costs, and direct time and materials in delivering service and goods to customers.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 include salaries and wages for staff who are not directly associated with delivering services, bonuses and incentives, employee-related expenses, facility-related expenses, marketing and advertising expense, depreciation of property and equipment, professional fees, amortization of intangible assets, provisions for losses on accounts receivable and other operating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 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accounts for its equity-based compensation plans using the fair value method, as prescribed by ASC Topic 718 </w:t>
      </w:r>
      <w:r>
        <w:rPr>
          <w:color w:val="000000"/>
        </w:rPr>
        <w:t xml:space="preserve">– </w:t>
      </w:r>
      <w:r>
        <w:rPr>
          <w:rFonts w:ascii="Times New Roman;sans-serif" w:hAnsi="Times New Roman;sans-serif"/>
          <w:b w:val="false"/>
          <w:color w:val="000000"/>
          <w:sz w:val="20"/>
        </w:rPr>
        <w:t>Stock Compensation. Accordingly, for restricted stock awards, the Company measures the grant date fair value based upon the market price of the Company’s Common Stock on the date of the grant and amortizes this fair value to salaries and benefits ratably over the requisite service period or vesting term.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These differences stem from net unrealized gains and losses generated by the Company and on the book value of intangible assets held by the Company.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assets and liabilities recorded on the statement of financial condition were a deferred tax asset, net of $8.7 million at September 30, 2023 and a deferred tax liability, net of $19.2 million at December 31, 2022, respectively.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Company’s U.S. federal and state income tax returns prior to fiscal year 2019 are generally closed, and management continually evaluates expiring</w:t>
      </w:r>
      <w:r>
        <w:rPr>
          <w:color w:val="000000"/>
        </w:rPr>
        <w:t xml:space="preserve"> </w:t>
      </w:r>
      <w:r>
        <w:rPr>
          <w:rFonts w:ascii="Times New Roman;sans-serif" w:hAnsi="Times New Roman;sans-serif"/>
          <w:b w:val="false"/>
          <w:color w:val="000000"/>
          <w:sz w:val="20"/>
        </w:rPr>
        <w:t xml:space="preserve">statutes of limitations, audits, proposed settlements, changes in tax law and new authoritative rulings.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Formerly, as a RIC ending with the Company’s December 31, 2022 fiscal year end, the Company was not subject to corporate level income tax. Beginning on January 1, 2023 with the start of the 2023 fiscal year, the Company no longer qualifies as a RIC and will be subject to corporate level income tax. See NOTE 19—INCOME TAXES</w:t>
      </w:r>
      <w:r>
        <w:rPr>
          <w:rFonts w:ascii="Times New Roman;sans-serif" w:hAnsi="Times New Roman;sans-serif"/>
          <w:b/>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components of an enterprise about which separate financial information is available that is evaluated regularly by the chief operating decision maker in deciding how to allocate resources and in assessing performance. Management has determined that the Company has four reportable operating segments: Banking, Non-Bank SBA 7(a) Lending, Technology, Payments, and Other as discussed more fully in NOTE 20—SEGMENTS. In determining the appropriateness of a segment definition, the Company considers the criteria of FASB ASC 280, Segment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in which the identifiable assets acquired and liabilities assumed are generally measured and recognized at fair value as of the acquisition date, with the excess of the purchase price over the fair value of the net assets acquired recognized as goodwill. Items such as acquired income-tax related balances are recognized in accordance with other applicable GAAP, which may result in measurements that differ from fair value. Business combinations are included in the consolidated financial statements from the respective dates of acquisition. Historical reporting periods reflect only the results of legacy Company operations. Acquisition-related costs are expensed in the period incurred and presented within the applicable non-interest expense category. Additional information regarding the Company’s acquisitions can be found within NOTE 3—BUSINESS COMBINATION.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Beginning in 2023, the Company applies accounting standards applicable to our current status as a financial holding company.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FASB issued ASU No. 2022-03, “Fair Value Measurement (Topic 820),” which clarifies the guidance in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does not expect any material impact from adopting ASU No. 2022-03 on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3—BUSINESS COMBINATION: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 of NBNYC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 $1.3 million. NBNYC has been renamed Newtek Bank and has become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NBNYC transaction is accounted for in accordance with ASC 805, Business Combinations, and the Company has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above, the Company recorded the estimate of fair value of the consideration paid for the fair value of assets acquired and liabilities assumed from NBNYC, based on initial valuations at January 6, 2023. Due to the timing between the Acquisition and the Company’s filing of this quarterly report on Form 10-Q, these fair values are considered preliminary as of September 30, 2023, and subject to adjustment for up to one year after January 6, 2023. While the Company believes that the information available on January 6, 2023 provided a reasonable basis for estimating fair value, the Company expects that it may obtain additional information and evidence during the measurement period that would result in changes to the estimated fair value amounts. Management believes that final goodwill will not be materially adjusted. Valuations subject to change include, but are not limited to, loans and leases, certain deposits, intangibles, deferred tax assets and liabilities, and certain other assets and other liabilities.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results of operations for the three and nine months ended September 30, 2023 include the results of operations of Newtek Bank on and after January 6, 2023. Results for the period prior to January 6, 2023 do not include the results of operations of NBNYC.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preliminary allocation of consideration paid for the fair value of assets acquired and liabilities assumed from NBNYC as of January 6, 2023:</w:t>
      </w:r>
    </w:p>
    <w:p>
      <w:pPr>
        <w:pStyle w:val="TextBody"/>
        <w:bidi w:val="0"/>
        <w:spacing w:before="0" w:after="0"/>
        <w:jc w:val="left"/>
        <w:rPr/>
      </w:pPr>
      <w:r>
        <w:rPr/>
      </w:r>
    </w:p>
    <w:tbl>
      <w:tblPr>
        <w:tblW w:w="3965" w:type="dxa"/>
        <w:jc w:val="left"/>
        <w:tblInd w:w="0" w:type="dxa"/>
        <w:tblLayout w:type="fixed"/>
        <w:tblCellMar>
          <w:top w:w="28" w:type="dxa"/>
          <w:left w:w="28" w:type="dxa"/>
          <w:bottom w:w="28" w:type="dxa"/>
          <w:right w:w="28" w:type="dxa"/>
        </w:tblCellMar>
      </w:tblPr>
      <w:tblGrid>
        <w:gridCol w:w="1042"/>
        <w:gridCol w:w="916"/>
        <w:gridCol w:w="921"/>
        <w:gridCol w:w="211"/>
        <w:gridCol w:w="72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Mortgage</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 intangible</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 acquired</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202,108</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137,015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27,972</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15,799</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assumed</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180,786</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the Company recorded $1.2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 Information regarding the allocation of goodwill to the Company’s reportable segments, as well as the carrying amounts and amortization of the core deposit intangible, can be found within NOTE 20—SEGMENTS and NOTE 8—GOODWILL AND INTANGIBLE ASSETS,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Assets Acquired and Liabilities Assumed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reflecting assumptions that a market participant would use when pricing an asset or liability. In some cases, the estimation of fair values requires management to make estimates about discount rates, future expected cash flows, market conditions, and other future events that are highly subjective in nature and are subject to change. Described below are the methods used to determine the fair values of the significant assets acquired and liabilities assumed in the NBNYC Acquisition.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 xml:space="preserve">Cash and cash equivalents. </w:t>
      </w:r>
      <w:r>
        <w:rPr>
          <w:rFonts w:ascii="Times New Roman;sans-serif" w:hAnsi="Times New Roman;sans-serif"/>
          <w:b w:val="false"/>
          <w:color w:val="000000"/>
          <w:sz w:val="20"/>
        </w:rPr>
        <w:t>The estimated fair values of cash and cash equivalents approximate their stated face amounts, as these financial instruments are either due on demand or have short-term maturities.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Investment securities available-for-sale</w:t>
      </w:r>
      <w:r>
        <w:rPr>
          <w:rFonts w:ascii="Times New Roman;sans-serif" w:hAnsi="Times New Roman;sans-serif"/>
          <w:b w:val="false"/>
          <w:color w:val="000000"/>
          <w:sz w:val="20"/>
        </w:rPr>
        <w:t xml:space="preserve">. Quoted market prices for the securities acquired were used to determine their fair values. If quoted market prices were not available for a specific security, then quoted prices for similar securities in active markets were used to estimate the fair value.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Loans. </w:t>
      </w:r>
      <w:r>
        <w:rPr>
          <w:rFonts w:ascii="Times New Roman;sans-serif" w:hAnsi="Times New Roman;sans-serif"/>
          <w:b w:val="false"/>
          <w:color w:val="000000"/>
          <w:sz w:val="20"/>
        </w:rPr>
        <w:t>Each loan was assessed individually. The fair values for loans were estimated using a discounted cash flow methodology that considered factors including the type of loan and the related 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Core Deposit Intangible. </w:t>
      </w:r>
      <w:r>
        <w:rPr>
          <w:rFonts w:ascii="Times New Roman;sans-serif" w:hAnsi="Times New Roman;sans-serif"/>
          <w:b w:val="false"/>
          <w:color w:val="000000"/>
          <w:sz w:val="20"/>
        </w:rPr>
        <w:t>CDI is a measure of the value of non-interest-bearing and interest-bearing checking accounts, savings accounts, and money market 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Deposit Liabilities. </w:t>
      </w:r>
      <w:r>
        <w:rPr>
          <w:rFonts w:ascii="Times New Roman;sans-serif" w:hAnsi="Times New Roman;sans-serif"/>
          <w:b w:val="false"/>
          <w:color w:val="000000"/>
          <w:sz w:val="20"/>
        </w:rPr>
        <w:t>The fair values used for the demand and savings deposits by definition equal the amount payable on demand at the Acquisition date. The fair values for time deposits were estimated using a discounted cash flow methodology that applies interest rates currently being offered to the contractual interest rates on such time deposits.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Borrowings</w:t>
      </w:r>
      <w:r>
        <w:rPr>
          <w:rFonts w:ascii="Times New Roman;sans-serif" w:hAnsi="Times New Roman;sans-serif"/>
          <w:b w:val="false"/>
          <w:color w:val="000000"/>
          <w:sz w:val="20"/>
        </w:rPr>
        <w:t>. The estimated fair value of borrowed funds is based on bid quotations received from securities dealers or the discounted value of contractual cash flows with interest rates currently in effect for borrowed funds with similar maturities.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PCD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Purchased loans that reflect a more-than-insignificant deterioration of credit from origination are considered PCD. For PCD loans and leases, the initial estimate of expected credit losses 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pStyle w:val="TextBody"/>
        <w:bidi w:val="0"/>
        <w:spacing w:before="0" w:after="0"/>
        <w:jc w:val="left"/>
        <w:rPr/>
      </w:pPr>
      <w:r>
        <w:rPr/>
      </w:r>
    </w:p>
    <w:tbl>
      <w:tblPr>
        <w:tblW w:w="4145" w:type="dxa"/>
        <w:jc w:val="left"/>
        <w:tblInd w:w="0" w:type="dxa"/>
        <w:tblLayout w:type="fixed"/>
        <w:tblCellMar>
          <w:top w:w="28" w:type="dxa"/>
          <w:left w:w="28" w:type="dxa"/>
          <w:bottom w:w="28" w:type="dxa"/>
          <w:right w:w="28" w:type="dxa"/>
        </w:tblCellMar>
      </w:tblPr>
      <w:tblGrid>
        <w:gridCol w:w="1108"/>
        <w:gridCol w:w="972"/>
        <w:gridCol w:w="97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(unpaid 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at acquisition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Non-credit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transaction costs of $0.2 million during the nine months ended September 30, 2023, related to the NBNYC Acquisition. These costs have been included in the Consolidated Statement of Operations in Professional Services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consisted of the following at:</w:t>
      </w:r>
    </w:p>
    <w:tbl>
      <w:tblPr>
        <w:tblW w:w="8682" w:type="dxa"/>
        <w:jc w:val="left"/>
        <w:tblInd w:w="0" w:type="dxa"/>
        <w:tblLayout w:type="fixed"/>
        <w:tblCellMar>
          <w:top w:w="28" w:type="dxa"/>
          <w:left w:w="28" w:type="dxa"/>
          <w:bottom w:w="28" w:type="dxa"/>
          <w:right w:w="28" w:type="dxa"/>
        </w:tblCellMar>
      </w:tblPr>
      <w:tblGrid>
        <w:gridCol w:w="1071"/>
        <w:gridCol w:w="941"/>
        <w:gridCol w:w="94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Non-controlled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Company’s Non-Conforming Conventional Loan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NCL JV:</w:t>
      </w:r>
      <w:r>
        <w:rPr>
          <w:color w:val="000000"/>
        </w:rPr>
        <w:t xml:space="preserve"> </w:t>
      </w:r>
      <w:r>
        <w:rPr>
          <w:rFonts w:ascii="Times New Roman;sans-serif" w:hAnsi="Times New Roman;sans-serif"/>
          <w:b w:val="false"/>
          <w:color w:val="000000"/>
          <w:sz w:val="20"/>
        </w:rPr>
        <w:t xml:space="preserve">On May 20, 2019, the Company and its joint venture partner launched NCL JV to provide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loans during 2020. On January 28, 2022, NCL JV closed a conventional commercial loan securitization with the sale of $56.3 million of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certain summarized financial information for NCL JV:</w:t>
      </w:r>
    </w:p>
    <w:tbl>
      <w:tblPr>
        <w:tblW w:w="10205" w:type="dxa"/>
        <w:jc w:val="center"/>
        <w:tblInd w:w="0" w:type="dxa"/>
        <w:tblLayout w:type="fixed"/>
        <w:tblCellMar>
          <w:top w:w="28" w:type="dxa"/>
          <w:left w:w="28" w:type="dxa"/>
          <w:bottom w:w="28" w:type="dxa"/>
          <w:right w:w="28" w:type="dxa"/>
        </w:tblCellMar>
      </w:tblPr>
      <w:tblGrid>
        <w:gridCol w:w="2488"/>
        <w:gridCol w:w="2179"/>
        <w:gridCol w:w="2184"/>
        <w:gridCol w:w="301"/>
        <w:gridCol w:w="1053"/>
        <w:gridCol w:w="155"/>
        <w:gridCol w:w="109"/>
        <w:gridCol w:w="109"/>
        <w:gridCol w:w="109"/>
        <w:gridCol w:w="290"/>
        <w:gridCol w:w="1012"/>
        <w:gridCol w:w="216"/>
      </w:tblGrid>
      <w:tr>
        <w:trPr/>
        <w:tc>
          <w:tcPr>
            <w:tcW w:w="248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 of Assets and Liabilities Information</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494949"/>
                <w:sz w:val="16"/>
              </w:rPr>
            </w:pPr>
            <w:r>
              <w:rPr>
                <w:rFonts w:ascii="Times New Roman;sans-serif" w:hAnsi="Times New Roman;sans-serif"/>
                <w:b/>
                <w:color w:val="494949"/>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494949"/>
                <w:sz w:val="16"/>
              </w:rPr>
            </w:pPr>
            <w:r>
              <w:rPr>
                <w:rFonts w:ascii="Times New Roman;sans-serif" w:hAnsi="Times New Roman;sans-serif"/>
                <w:b/>
                <w:color w:val="494949"/>
                <w:sz w:val="16"/>
              </w:rPr>
              <w:t>(Unaudited)</w:t>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at fair value (amortized cost of $70,173 and $78,785, respectively)</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75,994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83,555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payable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40,557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net assets</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75,994</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83,555</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93"/>
        <w:gridCol w:w="1477"/>
        <w:gridCol w:w="1480"/>
        <w:gridCol w:w="244"/>
        <w:gridCol w:w="714"/>
        <w:gridCol w:w="125"/>
        <w:gridCol w:w="125"/>
        <w:gridCol w:w="125"/>
        <w:gridCol w:w="125"/>
        <w:gridCol w:w="244"/>
        <w:gridCol w:w="795"/>
        <w:gridCol w:w="125"/>
        <w:gridCol w:w="109"/>
        <w:gridCol w:w="109"/>
        <w:gridCol w:w="109"/>
        <w:gridCol w:w="236"/>
        <w:gridCol w:w="691"/>
        <w:gridCol w:w="122"/>
        <w:gridCol w:w="122"/>
        <w:gridCol w:w="122"/>
        <w:gridCol w:w="122"/>
        <w:gridCol w:w="236"/>
        <w:gridCol w:w="768"/>
        <w:gridCol w:w="187"/>
      </w:tblGrid>
      <w:tr>
        <w:trPr/>
        <w:tc>
          <w:tcPr>
            <w:tcW w:w="169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Statements of Operations Information</w:t>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(depreciation) appreciation on investments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net assets resulting from operations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TSO JV: On August 5, 2022, NCL and TSO II Booster Aggregator, L.P. (“TSO II”) entered into a joint venture, TSO JV, governed by the Amended and Restated Limited Partnership Agreement for the TSO JV. TSO JV began making investments in non-conforming conventional commercial and industrial term loans during the fourth quarter of 2022. NCL and TSO II each committed to contribute an equal share of equity funding to the TSO JV and each have equal voting rights on all material matters. TSO JV intends to deploy capital over the course of time with additional leverage supported by a warehouse line of credit. The intended purpose of TSO JV is to invest in non-conforming conventional commercial and industrial term loans made to middle-market companies as well as small businesses.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certain summarized financial information for TSO JV:</w:t>
      </w:r>
    </w:p>
    <w:tbl>
      <w:tblPr>
        <w:tblW w:w="10205" w:type="dxa"/>
        <w:jc w:val="center"/>
        <w:tblInd w:w="0" w:type="dxa"/>
        <w:tblLayout w:type="fixed"/>
        <w:tblCellMar>
          <w:top w:w="28" w:type="dxa"/>
          <w:left w:w="28" w:type="dxa"/>
          <w:bottom w:w="28" w:type="dxa"/>
          <w:right w:w="28" w:type="dxa"/>
        </w:tblCellMar>
      </w:tblPr>
      <w:tblGrid>
        <w:gridCol w:w="2483"/>
        <w:gridCol w:w="2181"/>
        <w:gridCol w:w="2186"/>
        <w:gridCol w:w="301"/>
        <w:gridCol w:w="1054"/>
        <w:gridCol w:w="155"/>
        <w:gridCol w:w="109"/>
        <w:gridCol w:w="109"/>
        <w:gridCol w:w="109"/>
        <w:gridCol w:w="290"/>
        <w:gridCol w:w="1013"/>
        <w:gridCol w:w="215"/>
      </w:tblGrid>
      <w:tr>
        <w:trPr/>
        <w:tc>
          <w:tcPr>
            <w:tcW w:w="2483"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 of Assets and Liabilities Information</w:t>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494949"/>
                <w:sz w:val="16"/>
              </w:rPr>
            </w:pPr>
            <w:r>
              <w:rPr>
                <w:rFonts w:ascii="Times New Roman;sans-serif" w:hAnsi="Times New Roman;sans-serif"/>
                <w:b/>
                <w:color w:val="494949"/>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494949"/>
                <w:sz w:val="16"/>
              </w:rPr>
            </w:pPr>
            <w:r>
              <w:rPr>
                <w:rFonts w:ascii="Times New Roman;sans-serif" w:hAnsi="Times New Roman;sans-serif"/>
                <w:b/>
                <w:color w:val="494949"/>
                <w:sz w:val="16"/>
              </w:rPr>
              <w:t>(Unaudited)</w:t>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at fair value (amortized cost of $63,102 and $21,038, respectively)</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72,446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26,027</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50"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30,419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13,156</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72,446</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26,027</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79" w:type="dxa"/>
        <w:jc w:val="center"/>
        <w:tblInd w:w="0" w:type="dxa"/>
        <w:tblLayout w:type="fixed"/>
        <w:tblCellMar>
          <w:top w:w="28" w:type="dxa"/>
          <w:left w:w="28" w:type="dxa"/>
          <w:bottom w:w="28" w:type="dxa"/>
          <w:right w:w="28" w:type="dxa"/>
        </w:tblCellMar>
      </w:tblPr>
      <w:tblGrid>
        <w:gridCol w:w="1528"/>
        <w:gridCol w:w="1341"/>
        <w:gridCol w:w="1345"/>
        <w:gridCol w:w="284"/>
        <w:gridCol w:w="831"/>
        <w:gridCol w:w="147"/>
        <w:gridCol w:w="147"/>
        <w:gridCol w:w="147"/>
        <w:gridCol w:w="147"/>
        <w:gridCol w:w="284"/>
        <w:gridCol w:w="548"/>
        <w:gridCol w:w="147"/>
        <w:gridCol w:w="109"/>
        <w:gridCol w:w="109"/>
        <w:gridCol w:w="109"/>
        <w:gridCol w:w="273"/>
        <w:gridCol w:w="799"/>
        <w:gridCol w:w="141"/>
        <w:gridCol w:w="141"/>
        <w:gridCol w:w="141"/>
        <w:gridCol w:w="141"/>
        <w:gridCol w:w="279"/>
        <w:gridCol w:w="538"/>
        <w:gridCol w:w="203"/>
      </w:tblGrid>
      <w:tr>
        <w:trPr/>
        <w:tc>
          <w:tcPr>
            <w:tcW w:w="15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Statements of Operations Information</w:t>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appreciation on investments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investments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 transactions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 transactions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net assets resulting from operations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Debt Securities Available-for-Sale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amortized cost and fair value of available-for-sale securities by major type as of September 30, 2023:</w:t>
      </w:r>
    </w:p>
    <w:p>
      <w:pPr>
        <w:pStyle w:val="TextBody"/>
        <w:bidi w:val="0"/>
        <w:spacing w:before="0" w:after="0"/>
        <w:jc w:val="left"/>
        <w:rPr/>
      </w:pPr>
      <w:r>
        <w:rPr/>
      </w:r>
    </w:p>
    <w:tbl>
      <w:tblPr>
        <w:tblW w:w="9310" w:type="dxa"/>
        <w:jc w:val="center"/>
        <w:tblInd w:w="0" w:type="dxa"/>
        <w:tblLayout w:type="fixed"/>
        <w:tblCellMar>
          <w:top w:w="28" w:type="dxa"/>
          <w:left w:w="28" w:type="dxa"/>
          <w:bottom w:w="28" w:type="dxa"/>
          <w:right w:w="28" w:type="dxa"/>
        </w:tblCellMar>
      </w:tblPr>
      <w:tblGrid>
        <w:gridCol w:w="1010"/>
        <w:gridCol w:w="888"/>
        <w:gridCol w:w="891"/>
        <w:gridCol w:w="279"/>
        <w:gridCol w:w="956"/>
        <w:gridCol w:w="144"/>
        <w:gridCol w:w="109"/>
        <w:gridCol w:w="109"/>
        <w:gridCol w:w="109"/>
        <w:gridCol w:w="436"/>
        <w:gridCol w:w="839"/>
        <w:gridCol w:w="225"/>
        <w:gridCol w:w="109"/>
        <w:gridCol w:w="109"/>
        <w:gridCol w:w="109"/>
        <w:gridCol w:w="423"/>
        <w:gridCol w:w="933"/>
        <w:gridCol w:w="219"/>
        <w:gridCol w:w="109"/>
        <w:gridCol w:w="109"/>
        <w:gridCol w:w="109"/>
        <w:gridCol w:w="211"/>
        <w:gridCol w:w="72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September 30, 2023</w:t>
            </w:r>
          </w:p>
        </w:tc>
      </w:tr>
      <w:tr>
        <w:trPr/>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 securities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was $0.1 million accrued interest receivable on available-for-sale securities at September 30, 2023, and is included in Other assets in the accompanying Unaudited Consolidated Statements of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no securities were sold or settled.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Unrealized Losses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gross unrealized losses and fair value of Newtek Bank’s available-for-sale securities by length of time each major security type has been in a continuous unrealized loss position: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5"/>
        <w:gridCol w:w="321"/>
        <w:gridCol w:w="322"/>
        <w:gridCol w:w="211"/>
        <w:gridCol w:w="721"/>
        <w:gridCol w:w="109"/>
        <w:gridCol w:w="109"/>
        <w:gridCol w:w="109"/>
        <w:gridCol w:w="109"/>
        <w:gridCol w:w="281"/>
        <w:gridCol w:w="620"/>
        <w:gridCol w:w="145"/>
        <w:gridCol w:w="109"/>
        <w:gridCol w:w="109"/>
        <w:gridCol w:w="109"/>
        <w:gridCol w:w="217"/>
        <w:gridCol w:w="418"/>
        <w:gridCol w:w="112"/>
        <w:gridCol w:w="109"/>
        <w:gridCol w:w="109"/>
        <w:gridCol w:w="109"/>
        <w:gridCol w:w="304"/>
        <w:gridCol w:w="586"/>
        <w:gridCol w:w="157"/>
        <w:gridCol w:w="109"/>
        <w:gridCol w:w="109"/>
        <w:gridCol w:w="109"/>
        <w:gridCol w:w="345"/>
        <w:gridCol w:w="419"/>
        <w:gridCol w:w="179"/>
        <w:gridCol w:w="109"/>
        <w:gridCol w:w="109"/>
        <w:gridCol w:w="109"/>
        <w:gridCol w:w="211"/>
        <w:gridCol w:w="721"/>
        <w:gridCol w:w="109"/>
        <w:gridCol w:w="109"/>
        <w:gridCol w:w="109"/>
        <w:gridCol w:w="109"/>
        <w:gridCol w:w="277"/>
        <w:gridCol w:w="612"/>
        <w:gridCol w:w="211"/>
      </w:tblGrid>
      <w:tr>
        <w:trPr/>
        <w:tc>
          <w:tcPr>
            <w:tcW w:w="6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September 30, 2023</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Newtek Bank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Newtek Bank has the intent and ability to hold the securities for a sufficient period of time to recover unrealized losses, none of the losses have been recognized in the Company’s Unaudited Consolidated Statements of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Contractual Maturities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available-for-sale securities by contractual maturity:</w:t>
      </w:r>
    </w:p>
    <w:p>
      <w:pPr>
        <w:pStyle w:val="TextBody"/>
        <w:bidi w:val="0"/>
        <w:spacing w:before="0" w:after="0"/>
        <w:jc w:val="left"/>
        <w:rPr/>
      </w:pPr>
      <w:r>
        <w:rPr/>
      </w:r>
    </w:p>
    <w:tbl>
      <w:tblPr>
        <w:tblW w:w="8583" w:type="dxa"/>
        <w:jc w:val="left"/>
        <w:tblInd w:w="0" w:type="dxa"/>
        <w:tblLayout w:type="fixed"/>
        <w:tblCellMar>
          <w:top w:w="28" w:type="dxa"/>
          <w:left w:w="28" w:type="dxa"/>
          <w:bottom w:w="28" w:type="dxa"/>
          <w:right w:w="28" w:type="dxa"/>
        </w:tblCellMar>
      </w:tblPr>
      <w:tblGrid>
        <w:gridCol w:w="1011"/>
        <w:gridCol w:w="887"/>
        <w:gridCol w:w="891"/>
        <w:gridCol w:w="279"/>
        <w:gridCol w:w="956"/>
        <w:gridCol w:w="144"/>
        <w:gridCol w:w="109"/>
        <w:gridCol w:w="109"/>
        <w:gridCol w:w="109"/>
        <w:gridCol w:w="211"/>
        <w:gridCol w:w="721"/>
        <w:gridCol w:w="109"/>
        <w:gridCol w:w="109"/>
        <w:gridCol w:w="109"/>
        <w:gridCol w:w="109"/>
        <w:gridCol w:w="400"/>
        <w:gridCol w:w="771"/>
        <w:gridCol w:w="208"/>
        <w:gridCol w:w="117"/>
        <w:gridCol w:w="117"/>
        <w:gridCol w:w="117"/>
        <w:gridCol w:w="271"/>
        <w:gridCol w:w="522"/>
        <w:gridCol w:w="197"/>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within 1 year</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1 year through 5 years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 securities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Newtek Bank’s available-for-sale securities pledged for deposits, borrowings, and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tbl>
      <w:tblPr>
        <w:tblW w:w="7689" w:type="dxa"/>
        <w:jc w:val="left"/>
        <w:tblInd w:w="0" w:type="dxa"/>
        <w:tblLayout w:type="fixed"/>
        <w:tblCellMar>
          <w:top w:w="28" w:type="dxa"/>
          <w:left w:w="28" w:type="dxa"/>
          <w:bottom w:w="28" w:type="dxa"/>
          <w:right w:w="28" w:type="dxa"/>
        </w:tblCellMar>
      </w:tblPr>
      <w:tblGrid>
        <w:gridCol w:w="1242"/>
        <w:gridCol w:w="1091"/>
        <w:gridCol w:w="1101"/>
        <w:gridCol w:w="398"/>
        <w:gridCol w:w="1361"/>
        <w:gridCol w:w="205"/>
        <w:gridCol w:w="109"/>
        <w:gridCol w:w="109"/>
        <w:gridCol w:w="109"/>
        <w:gridCol w:w="535"/>
        <w:gridCol w:w="1035"/>
        <w:gridCol w:w="394"/>
      </w:tblGrid>
      <w:tr>
        <w:trPr/>
        <w:tc>
          <w:tcPr>
            <w:tcW w:w="12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for deposits</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for borrowings and other</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available for sale securities pledge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NOTE 5—LOANS HELD FOR INVESTMENT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included SBA 7(a) loans originated by NSBF and Newtek Bank, as well as CRE and C&amp;I loans originated by Newtek Bank. The following tables shows the Company’s loan portfolio by industry for loans held for investment, at fair value and loans held for investment, at amortized cost: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8"/>
        <w:gridCol w:w="1304"/>
        <w:gridCol w:w="131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4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Held for Investment, at Fair Value</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Services and Drinking Places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Trade Contractors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Scientific, and Technical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Ambulatory Health Care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Gambling, and Recreation Industries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Wholesalers, Durable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Support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Wholesalers, Nondurable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and Laundry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Fabricated Metal Product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Truck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of 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Social Assistance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 and Parts Dealers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Activities for 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and Leasing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Material and Garden Equipment and Supplies Dealers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Nursing and Residential Care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16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2160"/>
        <w:gridCol w:w="1894"/>
        <w:gridCol w:w="1898"/>
        <w:gridCol w:w="109"/>
        <w:gridCol w:w="109"/>
        <w:gridCol w:w="109"/>
        <w:gridCol w:w="344"/>
        <w:gridCol w:w="1350"/>
        <w:gridCol w:w="177"/>
        <w:gridCol w:w="177"/>
        <w:gridCol w:w="177"/>
        <w:gridCol w:w="177"/>
        <w:gridCol w:w="418"/>
        <w:gridCol w:w="799"/>
        <w:gridCol w:w="307"/>
      </w:tblGrid>
      <w:tr>
        <w:trPr/>
        <w:tc>
          <w:tcPr>
            <w:tcW w:w="216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Held for Investment, at Amortized Cost</w:t>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281,060 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Past Due and Non-Accrual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aging of accrual and non-accrual loans by class:</w:t>
      </w:r>
    </w:p>
    <w:tbl>
      <w:tblPr>
        <w:tblW w:w="13613"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22"/>
        <w:gridCol w:w="428"/>
        <w:gridCol w:w="11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2"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30-59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60-89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90 or more Days Past Due and Accruing</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 Accounted for Under the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loans that are considered well secured and in the process of collection.</w:t>
      </w:r>
    </w:p>
    <w:tbl>
      <w:tblPr>
        <w:tblW w:w="12396" w:type="dxa"/>
        <w:jc w:val="left"/>
        <w:tblInd w:w="0" w:type="dxa"/>
        <w:tblLayout w:type="fixed"/>
        <w:tblCellMar>
          <w:top w:w="28" w:type="dxa"/>
          <w:left w:w="28" w:type="dxa"/>
          <w:bottom w:w="28" w:type="dxa"/>
          <w:right w:w="28" w:type="dxa"/>
        </w:tblCellMar>
      </w:tblPr>
      <w:tblGrid>
        <w:gridCol w:w="179"/>
        <w:gridCol w:w="158"/>
        <w:gridCol w:w="159"/>
        <w:gridCol w:w="109"/>
        <w:gridCol w:w="109"/>
        <w:gridCol w:w="109"/>
        <w:gridCol w:w="211"/>
        <w:gridCol w:w="721"/>
        <w:gridCol w:w="109"/>
        <w:gridCol w:w="109"/>
        <w:gridCol w:w="109"/>
        <w:gridCol w:w="109"/>
        <w:gridCol w:w="211"/>
        <w:gridCol w:w="721"/>
        <w:gridCol w:w="109"/>
        <w:gridCol w:w="109"/>
        <w:gridCol w:w="109"/>
        <w:gridCol w:w="109"/>
        <w:gridCol w:w="222"/>
        <w:gridCol w:w="428"/>
        <w:gridCol w:w="116"/>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53"/>
        <w:gridCol w:w="487"/>
        <w:gridCol w:w="131"/>
        <w:gridCol w:w="109"/>
        <w:gridCol w:w="109"/>
        <w:gridCol w:w="109"/>
        <w:gridCol w:w="211"/>
        <w:gridCol w:w="826"/>
        <w:gridCol w:w="109"/>
        <w:gridCol w:w="211"/>
        <w:gridCol w:w="826"/>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30-59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60-89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or more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 Accounted for Under the Fair Value Option</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w:t>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identified three loans that did not share similar risk characteristics with the loan segments identified in NOTE 2—SIGNIFICANT ACCOUNTING POLICIES and evaluated them for impairment individually. The unpaid contractual principal balance and recorded investment with no allowance for the loans individually assessed was $5.3 million as of the nine months ended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Credit Quality Indicators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uses internal loan reviews to assess the performance of individual loans. An independent review of the loan portfolio is performed annually by an external firm. The goal of Newtek Bank’s annual review of each borrower’s financial performance is to validate the adequacy of the risk grade assigned.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Newtek Bank’s portfolio. The following guidelines govern the assignment of these risk grades: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value to the net worth of the borrower or guarantor.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asset quality indicators by portfolio class and origination year as of September 30, 2023. </w:t>
      </w:r>
    </w:p>
    <w:p>
      <w:pPr>
        <w:pStyle w:val="TextBody"/>
        <w:bidi w:val="0"/>
        <w:spacing w:before="0" w:after="0"/>
        <w:jc w:val="left"/>
        <w:rPr/>
      </w:pPr>
      <w:r>
        <w:rPr/>
      </w:r>
    </w:p>
    <w:tbl>
      <w:tblPr>
        <w:tblW w:w="11663"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Loans Held for Investment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Loans Held for Investment by Origination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2—SIGNIFICANT ACCOUNTING POLICIES for a description of the methodologies used to estimate the ACL.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ACL for the three months ended September 30,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0"/>
        <w:gridCol w:w="525"/>
        <w:gridCol w:w="528"/>
        <w:gridCol w:w="450"/>
        <w:gridCol w:w="1315"/>
        <w:gridCol w:w="233"/>
        <w:gridCol w:w="109"/>
        <w:gridCol w:w="109"/>
        <w:gridCol w:w="109"/>
        <w:gridCol w:w="550"/>
        <w:gridCol w:w="1216"/>
        <w:gridCol w:w="286"/>
        <w:gridCol w:w="109"/>
        <w:gridCol w:w="109"/>
        <w:gridCol w:w="109"/>
        <w:gridCol w:w="571"/>
        <w:gridCol w:w="1667"/>
        <w:gridCol w:w="295"/>
        <w:gridCol w:w="109"/>
        <w:gridCol w:w="109"/>
        <w:gridCol w:w="109"/>
        <w:gridCol w:w="211"/>
        <w:gridCol w:w="616"/>
        <w:gridCol w:w="161"/>
      </w:tblGrid>
      <w:tr>
        <w:trPr/>
        <w:tc>
          <w:tcPr>
            <w:tcW w:w="60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 Business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 offs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ACL for the nine months ended September 30, 2023:</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83"/>
        <w:gridCol w:w="921"/>
        <w:gridCol w:w="926"/>
        <w:gridCol w:w="365"/>
        <w:gridCol w:w="1067"/>
        <w:gridCol w:w="189"/>
        <w:gridCol w:w="109"/>
        <w:gridCol w:w="109"/>
        <w:gridCol w:w="109"/>
        <w:gridCol w:w="443"/>
        <w:gridCol w:w="979"/>
        <w:gridCol w:w="230"/>
        <w:gridCol w:w="109"/>
        <w:gridCol w:w="109"/>
        <w:gridCol w:w="109"/>
        <w:gridCol w:w="458"/>
        <w:gridCol w:w="1338"/>
        <w:gridCol w:w="237"/>
        <w:gridCol w:w="109"/>
        <w:gridCol w:w="109"/>
        <w:gridCol w:w="109"/>
        <w:gridCol w:w="211"/>
        <w:gridCol w:w="616"/>
        <w:gridCol w:w="161"/>
      </w:tblGrid>
      <w:tr>
        <w:trPr/>
        <w:tc>
          <w:tcPr>
            <w:tcW w:w="108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Small Business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 to Beginning Balance due to PCD marks</w:t>
            </w:r>
            <w:r>
              <w:rPr>
                <w:rFonts w:ascii="Times New Roman;sans-serif" w:hAnsi="Times New Roman;sans-serif"/>
                <w:b w:val="false"/>
                <w:color w:val="000000"/>
                <w:sz w:val="13"/>
              </w:rPr>
              <w:t>1</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 offs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Given the January 6, 2023 transition to a financial holding company, the Company established an ACL with the beginning balance representing the purchased credit deteriorated loans acquired through the NBNYC Acquisition. There were no charge-offs or recoveries on the loans held for investment, at amortized cost during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Loan Modifications Made to Borrowers Experiencing Financial Difficulty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make any loan modifications to borrowers experiencing financial difficulty that would require disclosure, such as principal forgiveness, term extension, or interest rate reductions as of the three and nine months ended September 30, 2023. Additionally there were no troubled debt restructurings under legacy U.S. GAAP as of the period ended December 31,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6—TRANSACTIONS WITH AFFILIATED COMPANIES AND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Affiliated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affiliated company is an unconsolidated entity in which the Company has an ownership of 5% or more of its voting securities. Transactions related to our joint ventures and non-controlled investments for the nine months ended September 30, 2023 were as follows:</w:t>
      </w:r>
    </w:p>
    <w:tbl>
      <w:tblPr>
        <w:tblW w:w="11120" w:type="dxa"/>
        <w:jc w:val="center"/>
        <w:tblInd w:w="0" w:type="dxa"/>
        <w:tblLayout w:type="fixed"/>
        <w:tblCellMar>
          <w:top w:w="28" w:type="dxa"/>
          <w:left w:w="28" w:type="dxa"/>
          <w:bottom w:w="28" w:type="dxa"/>
          <w:right w:w="28" w:type="dxa"/>
        </w:tblCellMar>
      </w:tblPr>
      <w:tblGrid>
        <w:gridCol w:w="488"/>
        <w:gridCol w:w="429"/>
        <w:gridCol w:w="329"/>
        <w:gridCol w:w="109"/>
        <w:gridCol w:w="109"/>
        <w:gridCol w:w="109"/>
        <w:gridCol w:w="211"/>
        <w:gridCol w:w="721"/>
        <w:gridCol w:w="109"/>
        <w:gridCol w:w="109"/>
        <w:gridCol w:w="109"/>
        <w:gridCol w:w="109"/>
        <w:gridCol w:w="211"/>
        <w:gridCol w:w="721"/>
        <w:gridCol w:w="109"/>
        <w:gridCol w:w="109"/>
        <w:gridCol w:w="109"/>
        <w:gridCol w:w="109"/>
        <w:gridCol w:w="222"/>
        <w:gridCol w:w="428"/>
        <w:gridCol w:w="116"/>
        <w:gridCol w:w="109"/>
        <w:gridCol w:w="109"/>
        <w:gridCol w:w="109"/>
        <w:gridCol w:w="211"/>
        <w:gridCol w:w="406"/>
        <w:gridCol w:w="109"/>
        <w:gridCol w:w="109"/>
        <w:gridCol w:w="109"/>
        <w:gridCol w:w="109"/>
        <w:gridCol w:w="211"/>
        <w:gridCol w:w="616"/>
        <w:gridCol w:w="109"/>
        <w:gridCol w:w="109"/>
        <w:gridCol w:w="109"/>
        <w:gridCol w:w="109"/>
        <w:gridCol w:w="211"/>
        <w:gridCol w:w="721"/>
        <w:gridCol w:w="109"/>
        <w:gridCol w:w="109"/>
        <w:gridCol w:w="109"/>
        <w:gridCol w:w="109"/>
        <w:gridCol w:w="211"/>
        <w:gridCol w:w="406"/>
        <w:gridCol w:w="109"/>
        <w:gridCol w:w="109"/>
        <w:gridCol w:w="109"/>
        <w:gridCol w:w="109"/>
        <w:gridCol w:w="211"/>
        <w:gridCol w:w="61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Realized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Income</w:t>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 Loan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Biller Genie Software,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Non-Control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Affiliate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affiliated companies was $0.4 million and $1.3 million at September 30, 2023 and December 31, 2022, respectively, and are included within Other Assets. Amounts due to related parties were $0.1 and $1.2 million at September 30, 2023 and December 31, 2022, respectively, and are included within Other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purchased $5.3 million of loans from a related party, TSO JV during the nine months ended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7—SERVICING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 held by NSBF and Newtek Bank are measured at fair value and lower of cost or market, respectively. The Company earns servicing fees from the guaranteed portions of SBA 7(a) loans it originates and sells. As of September 30, 2023 the Company services $1.7 billion in SBA 7(a)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fair value and valuation assumptions related to servicing assets at September 30, 2023 and December 31, 2022:</w:t>
      </w:r>
    </w:p>
    <w:tbl>
      <w:tblPr>
        <w:tblW w:w="11939"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11"/>
        <w:gridCol w:w="721"/>
        <w:gridCol w:w="109"/>
        <w:gridCol w:w="109"/>
        <w:gridCol w:w="109"/>
        <w:gridCol w:w="109"/>
        <w:gridCol w:w="308"/>
        <w:gridCol w:w="308"/>
        <w:gridCol w:w="442"/>
        <w:gridCol w:w="109"/>
        <w:gridCol w:w="109"/>
        <w:gridCol w:w="109"/>
        <w:gridCol w:w="308"/>
        <w:gridCol w:w="308"/>
        <w:gridCol w:w="442"/>
        <w:gridCol w:w="109"/>
        <w:gridCol w:w="109"/>
        <w:gridCol w:w="109"/>
        <w:gridCol w:w="308"/>
        <w:gridCol w:w="308"/>
        <w:gridCol w:w="467"/>
        <w:gridCol w:w="109"/>
        <w:gridCol w:w="109"/>
        <w:gridCol w:w="109"/>
        <w:gridCol w:w="211"/>
        <w:gridCol w:w="721"/>
        <w:gridCol w:w="109"/>
        <w:gridCol w:w="308"/>
        <w:gridCol w:w="308"/>
        <w:gridCol w:w="442"/>
        <w:gridCol w:w="109"/>
        <w:gridCol w:w="109"/>
        <w:gridCol w:w="109"/>
        <w:gridCol w:w="308"/>
        <w:gridCol w:w="308"/>
        <w:gridCol w:w="442"/>
        <w:gridCol w:w="109"/>
        <w:gridCol w:w="109"/>
        <w:gridCol w:w="109"/>
        <w:gridCol w:w="308"/>
        <w:gridCol w:w="308"/>
        <w:gridCol w:w="526"/>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 at FV: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Discount factor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 at LCM: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Discount factor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Determined based on risk spreads and observable secondary market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fee income earned for the three months ended September 30, 2023 and 2022 was $4.6 million and $3.6 million, respectively. Servicing fee income earned for the nine months ended September 30, 2023 and 2022 was $13.3 million and $9.9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the carrying amount of goodwill:</w:t>
      </w:r>
    </w:p>
    <w:p>
      <w:pPr>
        <w:pStyle w:val="TextBody"/>
        <w:bidi w:val="0"/>
        <w:spacing w:before="0" w:after="0"/>
        <w:jc w:val="left"/>
        <w:rPr/>
      </w:pPr>
      <w:r>
        <w:rPr/>
      </w:r>
    </w:p>
    <w:tbl>
      <w:tblPr>
        <w:tblW w:w="5666" w:type="dxa"/>
        <w:jc w:val="center"/>
        <w:tblInd w:w="0" w:type="dxa"/>
        <w:tblLayout w:type="fixed"/>
        <w:tblCellMar>
          <w:top w:w="28" w:type="dxa"/>
          <w:left w:w="28" w:type="dxa"/>
          <w:bottom w:w="28" w:type="dxa"/>
          <w:right w:w="28" w:type="dxa"/>
        </w:tblCellMar>
      </w:tblPr>
      <w:tblGrid>
        <w:gridCol w:w="651"/>
        <w:gridCol w:w="573"/>
        <w:gridCol w:w="576"/>
        <w:gridCol w:w="358"/>
        <w:gridCol w:w="1226"/>
        <w:gridCol w:w="185"/>
        <w:gridCol w:w="109"/>
        <w:gridCol w:w="109"/>
        <w:gridCol w:w="109"/>
        <w:gridCol w:w="484"/>
        <w:gridCol w:w="931"/>
        <w:gridCol w:w="355"/>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 Acquisition</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goodwill as of December 31, 2022 prior to the Acquisition. The $21.1 million balance of goodwill consists of $1.2 million relating to the Acquisition of Newtek Bank itself, as well as $14.9 million and $5.0 million, respectively, from the payments and technology segments due to the consolidation of previously unconsolidated portfolio companies due to the Company’s reorganization related to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3"/>
        <w:gridCol w:w="355"/>
        <w:gridCol w:w="356"/>
        <w:gridCol w:w="248"/>
        <w:gridCol w:w="848"/>
        <w:gridCol w:w="128"/>
        <w:gridCol w:w="109"/>
        <w:gridCol w:w="109"/>
        <w:gridCol w:w="109"/>
        <w:gridCol w:w="279"/>
        <w:gridCol w:w="979"/>
        <w:gridCol w:w="146"/>
        <w:gridCol w:w="109"/>
        <w:gridCol w:w="109"/>
        <w:gridCol w:w="109"/>
        <w:gridCol w:w="249"/>
        <w:gridCol w:w="729"/>
        <w:gridCol w:w="128"/>
        <w:gridCol w:w="109"/>
        <w:gridCol w:w="109"/>
        <w:gridCol w:w="109"/>
        <w:gridCol w:w="293"/>
        <w:gridCol w:w="566"/>
        <w:gridCol w:w="154"/>
        <w:gridCol w:w="109"/>
        <w:gridCol w:w="109"/>
        <w:gridCol w:w="109"/>
        <w:gridCol w:w="407"/>
        <w:gridCol w:w="785"/>
        <w:gridCol w:w="212"/>
        <w:gridCol w:w="109"/>
        <w:gridCol w:w="109"/>
        <w:gridCol w:w="109"/>
        <w:gridCol w:w="290"/>
        <w:gridCol w:w="559"/>
        <w:gridCol w:w="226"/>
      </w:tblGrid>
      <w:tr>
        <w:trPr/>
        <w:tc>
          <w:tcPr>
            <w:tcW w:w="6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2022</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Customer lists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Customer lists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nine months ended September 30, 2023 was $0.4 million and $1.2 million, respectively, and is included in Depreciation and amortization on the Consolidated Statements of Income. There was no amortization expense for the three and nine months ended September 30, 2022 since there were no intangible assets prior to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estimated aggregate future amortization expense for intangible assets as of September 30, 2023 is as follows:</w:t>
      </w:r>
    </w:p>
    <w:p>
      <w:pPr>
        <w:pStyle w:val="TextBody"/>
        <w:bidi w:val="0"/>
        <w:spacing w:before="0" w:after="0"/>
        <w:jc w:val="left"/>
        <w:rPr/>
      </w:pPr>
      <w:r>
        <w:rPr/>
      </w:r>
    </w:p>
    <w:tbl>
      <w:tblPr>
        <w:tblW w:w="3719" w:type="dxa"/>
        <w:jc w:val="left"/>
        <w:tblInd w:w="0" w:type="dxa"/>
        <w:tblLayout w:type="fixed"/>
        <w:tblCellMar>
          <w:top w:w="28" w:type="dxa"/>
          <w:left w:w="28" w:type="dxa"/>
          <w:bottom w:w="28" w:type="dxa"/>
          <w:right w:w="28" w:type="dxa"/>
        </w:tblCellMar>
      </w:tblPr>
      <w:tblGrid>
        <w:gridCol w:w="608"/>
        <w:gridCol w:w="534"/>
        <w:gridCol w:w="538"/>
        <w:gridCol w:w="437"/>
        <w:gridCol w:w="1280"/>
        <w:gridCol w:w="322"/>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Expense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In accordance with GAAP, a fair value hierarchy for inputs is used in measuring fair value that maximizes the use of observable inputs and minimizes the use of unobservable inputs by requiring that the most observable inputs be used when available.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gives the highest priority (Level 1) to quoted prices in active markets for identical assets or liabilities and gives the lowest priority to unobservable inputs (Level 3). The levels of the fair value hierarchy are as follows:</w:t>
      </w:r>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rPr>
        <w:t>Level 1</w:t>
      </w:r>
      <w:r>
        <w:rPr>
          <w:rFonts w:ascii="Times New Roman;sans-serif" w:hAnsi="Times New Roman;sans-serif"/>
          <w:b w:val="false"/>
          <w:color w:val="000000"/>
          <w:sz w:val="20"/>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pStyle w:val="TextBody"/>
        <w:bidi w:val="0"/>
        <w:spacing w:before="0" w:after="0"/>
        <w:ind w:left="0" w:right="0" w:hanging="54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rPr>
        <w:t>Level 2</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900"/>
        <w:jc w:val="left"/>
        <w:rPr/>
      </w:pPr>
      <w:r>
        <w:rPr>
          <w:rFonts w:ascii="Times New Roman;sans-serif" w:hAnsi="Times New Roman;sans-serif"/>
          <w:b/>
          <w:color w:val="000000"/>
          <w:sz w:val="20"/>
        </w:rPr>
        <w:t>Level 3</w:t>
      </w:r>
      <w:r>
        <w:rPr>
          <w:rFonts w:ascii="Times New Roman;sans-serif" w:hAnsi="Times New Roman;sans-serif"/>
          <w:b w:val="false"/>
          <w:color w:val="000000"/>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cases, the inputs used to measure fair value may fall into different levels of the fair value hierarchy. In such cases, an asset or a liability’s categorization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asset or liability. The Company assesses the levels of assets and liabilities at each measurement date. There were no transfers to or from Level 3 of the fair value hierarchy for assets and liabilities during the nine months ended September 30, 2023 or 2022.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investments were valued using quoted market prices. Level 2 investments were valued using market consensus prices that are corroborated by observable market data and quoted market prices for similar assets and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joint venture investments. For TSO JV, the Company calculates the fair value of the investment based on the net asset NAV of the entity. The fair value of the investment is equivalent to 50% of the total NAV of the JV, which represents the Company’s share of the entity and is based upon the practical expedient method permitted under ASC 820. For NCL JV, the Company uses a discounted cash flow methodology and adjusts the NAV of the entity by a fair value adjustment for the fixed rate debt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subject to market risk. Market risk is the potential for changes in the value due to market changes. Market risk is directly impacted by the volatility and liquidity in the markets in which the investments are traded. In addition recent changes in inflation and base interest rates, supply chain disruptions, significant market volatility, risk of recession, recent economic and market events, unrelated bank failures and declines in depositor confidence in depository institutions, the ongoing war between Russia and Ukraine and general uncertainty surrounding the financial and political stability of the United States, United Kingdom, the European Union and China could further negatively impact the fair value of the Company’s investments after September 30, 2023, in addition to other circumstances and events that are not yet known.</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fair value measurements of certain of the Company’s assets and liabilities measured at fair value and indicates the fair value hierarchy of the valuation techniques utilized by the Company to determine such fair values as of September 30, 2023 and December 31, 2022:</w:t>
      </w:r>
    </w:p>
    <w:tbl>
      <w:tblPr>
        <w:tblW w:w="8579" w:type="dxa"/>
        <w:jc w:val="center"/>
        <w:tblInd w:w="0" w:type="dxa"/>
        <w:tblLayout w:type="fixed"/>
        <w:tblCellMar>
          <w:top w:w="28" w:type="dxa"/>
          <w:left w:w="28" w:type="dxa"/>
          <w:bottom w:w="28" w:type="dxa"/>
          <w:right w:w="28" w:type="dxa"/>
        </w:tblCellMar>
      </w:tblPr>
      <w:tblGrid>
        <w:gridCol w:w="1186"/>
        <w:gridCol w:w="1045"/>
        <w:gridCol w:w="1053"/>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September 30, 2023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real estate owned</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Non-controlled/affiliate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 instruments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warrants</w:t>
            </w:r>
            <w:r>
              <w:rPr>
                <w:rFonts w:ascii="Times New Roman;sans-serif" w:hAnsi="Times New Roman;sans-serif"/>
                <w:b w:val="false"/>
                <w:color w:val="000000"/>
                <w:sz w:val="13"/>
              </w:rPr>
              <w:t>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Other Assets on the Consolidated Statements of Assets and Liabilities.</w:t>
      </w:r>
    </w:p>
    <w:p>
      <w:pPr>
        <w:pStyle w:val="TextBody"/>
        <w:bidi w:val="0"/>
        <w:spacing w:lineRule="auto" w:line="288" w:before="0" w:after="6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Measured at fair value on a recurring basis with the net unrealized gains or losses recorded in current period earnings.</w:t>
      </w:r>
    </w:p>
    <w:p>
      <w:pPr>
        <w:pStyle w:val="TextBody"/>
        <w:bidi w:val="0"/>
        <w:spacing w:lineRule="auto" w:line="288" w:before="0" w:after="60"/>
        <w:ind w:left="0" w:right="0" w:hanging="18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Included in Other Liabilities on the Consolidated Statements of Assets and Liabilities.</w:t>
      </w:r>
    </w:p>
    <w:tbl>
      <w:tblPr>
        <w:tblW w:w="8640" w:type="dxa"/>
        <w:jc w:val="center"/>
        <w:tblInd w:w="0" w:type="dxa"/>
        <w:tblLayout w:type="fixed"/>
        <w:tblCellMar>
          <w:top w:w="28" w:type="dxa"/>
          <w:left w:w="28" w:type="dxa"/>
          <w:bottom w:w="28" w:type="dxa"/>
          <w:right w:w="28" w:type="dxa"/>
        </w:tblCellMar>
      </w:tblPr>
      <w:tblGrid>
        <w:gridCol w:w="1283"/>
        <w:gridCol w:w="1133"/>
        <w:gridCol w:w="113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real estate owned</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Controlled investments measured at NAV</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Other Assets on the Consolidated Statements of Assets and Liabilities.</w:t>
      </w:r>
    </w:p>
    <w:p>
      <w:pPr>
        <w:pStyle w:val="TextBody"/>
        <w:bidi w:val="0"/>
        <w:spacing w:lineRule="auto" w:line="288" w:before="0" w:after="6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Company’s investment in TSO JV and NCL JV are measured at fair value using NAV and have not been classified in the fair value hierarchy. The fair value amounts presented in this table are intended to permit reconciliation of the fair value hierarchy to the amounts presented in the Consolidated Statements of Assets and Liabilities.</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represents the changes in the investments, servicing assets and liabilities measured at fair value using Level 3 inputs for the nine months ended September 30, 2023 and 2022: </w:t>
      </w:r>
    </w:p>
    <w:tbl>
      <w:tblPr>
        <w:tblW w:w="11838" w:type="dxa"/>
        <w:jc w:val="center"/>
        <w:tblInd w:w="0" w:type="dxa"/>
        <w:tblLayout w:type="fixed"/>
        <w:tblCellMar>
          <w:top w:w="28" w:type="dxa"/>
          <w:left w:w="28" w:type="dxa"/>
          <w:bottom w:w="28" w:type="dxa"/>
          <w:right w:w="28" w:type="dxa"/>
        </w:tblCellMar>
      </w:tblPr>
      <w:tblGrid>
        <w:gridCol w:w="853"/>
        <w:gridCol w:w="196"/>
        <w:gridCol w:w="19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681"/>
        <w:gridCol w:w="122"/>
        <w:gridCol w:w="109"/>
        <w:gridCol w:w="109"/>
        <w:gridCol w:w="109"/>
        <w:gridCol w:w="233"/>
        <w:gridCol w:w="516"/>
        <w:gridCol w:w="122"/>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Loans HFI,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Loans HFS,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at FV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Controlled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Joint Ventures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Warrant Liabilities</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 Real Estate Owned</w:t>
            </w:r>
            <w:r>
              <w:rPr>
                <w:rFonts w:ascii="Times New Roman;sans-serif" w:hAnsi="Times New Roman;sans-serif"/>
                <w:b/>
                <w:color w:val="000000"/>
                <w:sz w:val="10"/>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Additions/(removal) of entities consolidating after Conversion to BHC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 of loans HFS to HFI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 of loans HFS at FV to HFS at LCM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under the fair value option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 funded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funded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SBA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due to:</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inputs or assumptions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in Other Assets on the Consolidated Statements of Assets and Liabilities.</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Included in Other Liabilities on the Consolidated Statements of Assets and Liabilities.</w:t>
      </w:r>
    </w:p>
    <w:p>
      <w:pPr>
        <w:pStyle w:val="TextBody"/>
        <w:bidi w:val="0"/>
        <w:spacing w:before="0" w:after="0"/>
        <w:ind w:left="0" w:right="0" w:hanging="180"/>
        <w:jc w:val="left"/>
        <w:rPr/>
      </w:pPr>
      <w:r>
        <w:rPr/>
      </w:r>
    </w:p>
    <w:tbl>
      <w:tblPr>
        <w:tblW w:w="10205" w:type="dxa"/>
        <w:jc w:val="center"/>
        <w:tblInd w:w="0" w:type="dxa"/>
        <w:tblLayout w:type="fixed"/>
        <w:tblCellMar>
          <w:top w:w="28" w:type="dxa"/>
          <w:left w:w="28" w:type="dxa"/>
          <w:bottom w:w="28" w:type="dxa"/>
          <w:right w:w="28" w:type="dxa"/>
        </w:tblCellMar>
      </w:tblPr>
      <w:tblGrid>
        <w:gridCol w:w="1319"/>
        <w:gridCol w:w="681"/>
        <w:gridCol w:w="685"/>
        <w:gridCol w:w="247"/>
        <w:gridCol w:w="967"/>
        <w:gridCol w:w="127"/>
        <w:gridCol w:w="109"/>
        <w:gridCol w:w="109"/>
        <w:gridCol w:w="109"/>
        <w:gridCol w:w="229"/>
        <w:gridCol w:w="898"/>
        <w:gridCol w:w="118"/>
        <w:gridCol w:w="109"/>
        <w:gridCol w:w="109"/>
        <w:gridCol w:w="109"/>
        <w:gridCol w:w="217"/>
        <w:gridCol w:w="744"/>
        <w:gridCol w:w="112"/>
        <w:gridCol w:w="109"/>
        <w:gridCol w:w="109"/>
        <w:gridCol w:w="109"/>
        <w:gridCol w:w="264"/>
        <w:gridCol w:w="773"/>
        <w:gridCol w:w="138"/>
        <w:gridCol w:w="109"/>
        <w:gridCol w:w="109"/>
        <w:gridCol w:w="109"/>
        <w:gridCol w:w="109"/>
        <w:gridCol w:w="109"/>
        <w:gridCol w:w="247"/>
        <w:gridCol w:w="723"/>
        <w:gridCol w:w="190"/>
      </w:tblGrid>
      <w:tr>
        <w:trPr/>
        <w:tc>
          <w:tcPr>
            <w:tcW w:w="131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c>
          <w:tcPr>
            <w:tcW w:w="1269" w:type="dxa"/>
            <w:gridSpan w:val="4"/>
            <w:tcBorders/>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SBA Unguaranteed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Controlled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 Real Estate Owned</w:t>
            </w:r>
            <w:r>
              <w:rPr>
                <w:rFonts w:ascii="Times New Roman;sans-serif" w:hAnsi="Times New Roman;sans-serif"/>
                <w:b/>
                <w:color w:val="000000"/>
                <w:sz w:val="10"/>
              </w:rPr>
              <w:t>1</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2021</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424,417 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appreciation (depreciation) on investments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depreciation on servicing assets due to factors other than changes in valuation inputs or assumptions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funded</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from SBA</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investment</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on debt investments</w:t>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September 30, 2022</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in Other Assets on the Consolidated Statements of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quantitative information about the Company’s Level 3 fair value measurements as of September 30, 2023 and December 31, 2022.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September 30, 2023 and December 31, 2022.</w:t>
      </w:r>
    </w:p>
    <w:tbl>
      <w:tblPr>
        <w:tblW w:w="10205" w:type="dxa"/>
        <w:jc w:val="center"/>
        <w:tblInd w:w="0" w:type="dxa"/>
        <w:tblLayout w:type="fixed"/>
        <w:tblCellMar>
          <w:top w:w="28" w:type="dxa"/>
          <w:left w:w="28" w:type="dxa"/>
          <w:bottom w:w="28" w:type="dxa"/>
          <w:right w:w="28" w:type="dxa"/>
        </w:tblCellMar>
      </w:tblPr>
      <w:tblGrid>
        <w:gridCol w:w="845"/>
        <w:gridCol w:w="672"/>
        <w:gridCol w:w="678"/>
        <w:gridCol w:w="109"/>
        <w:gridCol w:w="109"/>
        <w:gridCol w:w="109"/>
        <w:gridCol w:w="233"/>
        <w:gridCol w:w="917"/>
        <w:gridCol w:w="120"/>
        <w:gridCol w:w="109"/>
        <w:gridCol w:w="109"/>
        <w:gridCol w:w="109"/>
        <w:gridCol w:w="109"/>
        <w:gridCol w:w="109"/>
        <w:gridCol w:w="541"/>
        <w:gridCol w:w="541"/>
        <w:gridCol w:w="542"/>
        <w:gridCol w:w="109"/>
        <w:gridCol w:w="109"/>
        <w:gridCol w:w="109"/>
        <w:gridCol w:w="307"/>
        <w:gridCol w:w="309"/>
        <w:gridCol w:w="442"/>
        <w:gridCol w:w="109"/>
        <w:gridCol w:w="109"/>
        <w:gridCol w:w="109"/>
        <w:gridCol w:w="307"/>
        <w:gridCol w:w="309"/>
        <w:gridCol w:w="442"/>
        <w:gridCol w:w="109"/>
        <w:gridCol w:w="109"/>
        <w:gridCol w:w="109"/>
        <w:gridCol w:w="307"/>
        <w:gridCol w:w="309"/>
        <w:gridCol w:w="531"/>
      </w:tblGrid>
      <w:tr>
        <w:trPr/>
        <w:tc>
          <w:tcPr>
            <w:tcW w:w="84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investment, at fair value - 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investment, at fair value -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Held for sale, at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Servicing assets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Appraised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$31.3 million of servicing assets at held at FV and $5.5 million of servicing assets are held at LCM. Refer to NOTE 7—SERVICING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6"/>
        <w:gridCol w:w="676"/>
        <w:gridCol w:w="681"/>
        <w:gridCol w:w="109"/>
        <w:gridCol w:w="109"/>
        <w:gridCol w:w="109"/>
        <w:gridCol w:w="225"/>
        <w:gridCol w:w="882"/>
        <w:gridCol w:w="116"/>
        <w:gridCol w:w="109"/>
        <w:gridCol w:w="109"/>
        <w:gridCol w:w="109"/>
        <w:gridCol w:w="109"/>
        <w:gridCol w:w="109"/>
        <w:gridCol w:w="761"/>
        <w:gridCol w:w="491"/>
        <w:gridCol w:w="493"/>
        <w:gridCol w:w="109"/>
        <w:gridCol w:w="109"/>
        <w:gridCol w:w="109"/>
        <w:gridCol w:w="307"/>
        <w:gridCol w:w="309"/>
        <w:gridCol w:w="442"/>
        <w:gridCol w:w="109"/>
        <w:gridCol w:w="109"/>
        <w:gridCol w:w="109"/>
        <w:gridCol w:w="307"/>
        <w:gridCol w:w="309"/>
        <w:gridCol w:w="442"/>
        <w:gridCol w:w="109"/>
        <w:gridCol w:w="109"/>
        <w:gridCol w:w="109"/>
        <w:gridCol w:w="307"/>
        <w:gridCol w:w="309"/>
        <w:gridCol w:w="529"/>
      </w:tblGrid>
      <w:tr>
        <w:trPr/>
        <w:tc>
          <w:tcPr>
            <w:tcW w:w="7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Controlled equity investments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EBITDA multiples-TTM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8.50x</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EBITDA multiples-NTM</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7.50x</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Revenue multiples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3.20x</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 value multiples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1.20x</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cost of capital</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debt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Recent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Weighted by relative fair value.</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valued $145.6 million of investments using a combination of EBITDA, trailing twelve months (“TTM”) and next twelve months (“NTM”), and revenue multiples in the overall valuation approach, which included the use of market comparable companies. The Company valued $95.3 million of investments using only discounted cash flows.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Estimated Fair Value of Other Financial Instruments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 also requires disclosure of the fair value of financial instruments carried at book value on the Unaudited Consolidated Statements of Financial Condition. The carrying amounts and estimated fair values of the Company’s financial instruments not measured at fair value on a recurring or non-recurring basis are as follows:</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1305"/>
        <w:gridCol w:w="1081"/>
        <w:gridCol w:w="1087"/>
        <w:gridCol w:w="254"/>
        <w:gridCol w:w="870"/>
        <w:gridCol w:w="131"/>
        <w:gridCol w:w="109"/>
        <w:gridCol w:w="109"/>
        <w:gridCol w:w="109"/>
        <w:gridCol w:w="211"/>
        <w:gridCol w:w="721"/>
        <w:gridCol w:w="109"/>
        <w:gridCol w:w="109"/>
        <w:gridCol w:w="109"/>
        <w:gridCol w:w="109"/>
        <w:gridCol w:w="282"/>
        <w:gridCol w:w="544"/>
        <w:gridCol w:w="109"/>
        <w:gridCol w:w="109"/>
        <w:gridCol w:w="109"/>
        <w:gridCol w:w="109"/>
        <w:gridCol w:w="281"/>
        <w:gridCol w:w="545"/>
        <w:gridCol w:w="109"/>
        <w:gridCol w:w="109"/>
        <w:gridCol w:w="109"/>
        <w:gridCol w:w="109"/>
        <w:gridCol w:w="243"/>
        <w:gridCol w:w="833"/>
        <w:gridCol w:w="182"/>
      </w:tblGrid>
      <w:tr>
        <w:trPr/>
        <w:tc>
          <w:tcPr>
            <w:tcW w:w="130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Amount by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r>
      <w:tr>
        <w:trPr/>
        <w:tc>
          <w:tcPr>
            <w:tcW w:w="3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LCM</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amortized cost, net of deferred fees and costs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and Federal Reserve Bank stock</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 at LCM</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Amount by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10—DEPOSITS: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deposits by type:</w:t>
      </w:r>
    </w:p>
    <w:tbl>
      <w:tblPr>
        <w:tblW w:w="10205" w:type="dxa"/>
        <w:jc w:val="left"/>
        <w:tblInd w:w="0" w:type="dxa"/>
        <w:tblLayout w:type="fixed"/>
        <w:tblCellMar>
          <w:top w:w="28" w:type="dxa"/>
          <w:left w:w="28" w:type="dxa"/>
          <w:bottom w:w="28" w:type="dxa"/>
          <w:right w:w="28" w:type="dxa"/>
        </w:tblCellMar>
      </w:tblPr>
      <w:tblGrid>
        <w:gridCol w:w="2280"/>
        <w:gridCol w:w="2010"/>
        <w:gridCol w:w="2014"/>
        <w:gridCol w:w="109"/>
        <w:gridCol w:w="109"/>
        <w:gridCol w:w="109"/>
        <w:gridCol w:w="300"/>
        <w:gridCol w:w="1180"/>
        <w:gridCol w:w="155"/>
        <w:gridCol w:w="109"/>
        <w:gridCol w:w="109"/>
        <w:gridCol w:w="109"/>
        <w:gridCol w:w="438"/>
        <w:gridCol w:w="847"/>
        <w:gridCol w:w="327"/>
      </w:tblGrid>
      <w:tr>
        <w:trPr/>
        <w:tc>
          <w:tcPr>
            <w:tcW w:w="228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money market, and interest-bearing checking obtained through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deposit accounts that exceeded the FDIC limit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deposit overdrafts reclassified as loan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time deposits:</w:t>
      </w:r>
    </w:p>
    <w:p>
      <w:pPr>
        <w:pStyle w:val="TextBody"/>
        <w:bidi w:val="0"/>
        <w:spacing w:before="0" w:after="0"/>
        <w:jc w:val="left"/>
        <w:rPr/>
      </w:pPr>
      <w:r>
        <w:rPr/>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Company had borrowings composed of the following:</w:t>
      </w:r>
    </w:p>
    <w:tbl>
      <w:tblPr>
        <w:tblW w:w="10205" w:type="dxa"/>
        <w:jc w:val="left"/>
        <w:tblInd w:w="0" w:type="dxa"/>
        <w:tblLayout w:type="fixed"/>
        <w:tblCellMar>
          <w:top w:w="28" w:type="dxa"/>
          <w:left w:w="28" w:type="dxa"/>
          <w:bottom w:w="28" w:type="dxa"/>
          <w:right w:w="28" w:type="dxa"/>
        </w:tblCellMar>
      </w:tblPr>
      <w:tblGrid>
        <w:gridCol w:w="913"/>
        <w:gridCol w:w="378"/>
        <w:gridCol w:w="266"/>
        <w:gridCol w:w="211"/>
        <w:gridCol w:w="976"/>
        <w:gridCol w:w="109"/>
        <w:gridCol w:w="109"/>
        <w:gridCol w:w="109"/>
        <w:gridCol w:w="109"/>
        <w:gridCol w:w="220"/>
        <w:gridCol w:w="863"/>
        <w:gridCol w:w="113"/>
        <w:gridCol w:w="109"/>
        <w:gridCol w:w="109"/>
        <w:gridCol w:w="109"/>
        <w:gridCol w:w="348"/>
        <w:gridCol w:w="202"/>
        <w:gridCol w:w="506"/>
        <w:gridCol w:w="109"/>
        <w:gridCol w:w="109"/>
        <w:gridCol w:w="109"/>
        <w:gridCol w:w="211"/>
        <w:gridCol w:w="826"/>
        <w:gridCol w:w="109"/>
        <w:gridCol w:w="109"/>
        <w:gridCol w:w="109"/>
        <w:gridCol w:w="109"/>
        <w:gridCol w:w="220"/>
        <w:gridCol w:w="863"/>
        <w:gridCol w:w="113"/>
        <w:gridCol w:w="109"/>
        <w:gridCol w:w="109"/>
        <w:gridCol w:w="109"/>
        <w:gridCol w:w="351"/>
        <w:gridCol w:w="194"/>
        <w:gridCol w:w="578"/>
      </w:tblGrid>
      <w:tr>
        <w:trPr/>
        <w:tc>
          <w:tcPr>
            <w:tcW w:w="9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guaranteed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unguaranteed</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Webster NMS Note</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SPV I Capital One Facility</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SPV II Deutsche Bank Facility</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SPV III One Florida Bank Facility</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5.00% Notes</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8.125% Notes</w:t>
            </w:r>
            <w:r>
              <w:rPr>
                <w:rFonts w:ascii="Times New Roman;sans-serif" w:hAnsi="Times New Roman;sans-serif"/>
                <w:b w:val="false"/>
                <w:color w:val="000000"/>
                <w:sz w:val="13"/>
              </w:rPr>
              <w:t>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2026 Notes</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2028 Notes</w:t>
            </w:r>
            <w:r>
              <w:rPr>
                <w:rFonts w:ascii="Times New Roman;sans-serif" w:hAnsi="Times New Roman;sans-serif"/>
                <w:b w:val="false"/>
                <w:color w:val="000000"/>
                <w:sz w:val="13"/>
              </w:rPr>
              <w:t>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payable - Securitization Trusts</w:t>
            </w:r>
            <w:r>
              <w:rPr>
                <w:rFonts w:ascii="Times New Roman;sans-serif" w:hAnsi="Times New Roman;sans-serif"/>
                <w:b w:val="false"/>
                <w:color w:val="000000"/>
                <w:sz w:val="13"/>
              </w:rPr>
              <w:t>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combined commitments of the guaranteed and unguaranteed lines of credit were $150.0 million at September 30, 2023 and December 31, 2022.</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Net of deferred financing costs. Negative borrowings outstanding are the result of the facilities being paid down to zero principal balance as of September 30, 2023 while the associated deferred financing costs remain. </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On January 23, 2023 the Company completed a private placement offering of $50.0 million aggregate principal amount of 8.125% notes due 2025, payable semiannually on February 1 and August 1 each year, commencing on August 1, 2023. The Notes will mature on February 1, 2025. </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On August 31, 2023, the Company completed a registered offering of $40.0 million in aggregate principal amount of its 8.00% 2028 Notes payable quarterly on March 1, June 1, September 1 and December 1 of each year, commencing on December 1, 2023. The 2028 Notes trade on the Nasdaq Global Market under the trading symbol “NEWTI.” </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 xml:space="preserve">At September 30, 2023 and 2022, the assets of the consolidated Trusts totaled $10.8 million and $14.1 million, respectively.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 that are presented net of deferred financing costs including the bank lines of credit, the 2024, 2025, 2026, and 2028 Notes, and the Notes payable - Securitization Trusts consisted of the following:</w:t>
      </w:r>
    </w:p>
    <w:tbl>
      <w:tblPr>
        <w:tblW w:w="10205" w:type="dxa"/>
        <w:jc w:val="center"/>
        <w:tblInd w:w="0" w:type="dxa"/>
        <w:tblLayout w:type="fixed"/>
        <w:tblCellMar>
          <w:top w:w="28" w:type="dxa"/>
          <w:left w:w="28" w:type="dxa"/>
          <w:bottom w:w="28" w:type="dxa"/>
          <w:right w:w="28" w:type="dxa"/>
        </w:tblCellMar>
      </w:tblPr>
      <w:tblGrid>
        <w:gridCol w:w="870"/>
        <w:gridCol w:w="256"/>
        <w:gridCol w:w="258"/>
        <w:gridCol w:w="109"/>
        <w:gridCol w:w="109"/>
        <w:gridCol w:w="109"/>
        <w:gridCol w:w="504"/>
        <w:gridCol w:w="324"/>
        <w:gridCol w:w="283"/>
        <w:gridCol w:w="109"/>
        <w:gridCol w:w="109"/>
        <w:gridCol w:w="109"/>
        <w:gridCol w:w="392"/>
        <w:gridCol w:w="392"/>
        <w:gridCol w:w="393"/>
        <w:gridCol w:w="109"/>
        <w:gridCol w:w="109"/>
        <w:gridCol w:w="109"/>
        <w:gridCol w:w="561"/>
        <w:gridCol w:w="269"/>
        <w:gridCol w:w="270"/>
        <w:gridCol w:w="109"/>
        <w:gridCol w:w="109"/>
        <w:gridCol w:w="109"/>
        <w:gridCol w:w="504"/>
        <w:gridCol w:w="324"/>
        <w:gridCol w:w="283"/>
        <w:gridCol w:w="109"/>
        <w:gridCol w:w="109"/>
        <w:gridCol w:w="109"/>
        <w:gridCol w:w="392"/>
        <w:gridCol w:w="392"/>
        <w:gridCol w:w="393"/>
        <w:gridCol w:w="109"/>
        <w:gridCol w:w="109"/>
        <w:gridCol w:w="109"/>
        <w:gridCol w:w="532"/>
        <w:gridCol w:w="296"/>
        <w:gridCol w:w="355"/>
      </w:tblGrid>
      <w:tr>
        <w:trPr/>
        <w:tc>
          <w:tcPr>
            <w:tcW w:w="8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Net carrying amount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6.85%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of deferred financing costs. Negative borrowings outstanding are the result of the facilities being paid down to zero principal balance as of September 30, 2023 while the associated deferred financing costs remain.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carrying amount of the Company’s borrowings under the Capital One, Deutsche Bank, Webster, and One Florida lines of credit, and the Notes payable - Securitization Trusts, approximates fair value due to their variable interest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carrying amount of Newtek Bank’s FHLB borrowings includes a $0.2 million purchase accounting adjustment from the $23.8 million current principal amount to reach a balance sheet value of $23.6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fixed rate 2028 Notes, 2026 Notes and 2024 Notes are based on the closing public share price on the date of measurement as included in the chart below. </w:t>
      </w:r>
    </w:p>
    <w:tbl>
      <w:tblPr>
        <w:tblW w:w="7201" w:type="dxa"/>
        <w:jc w:val="left"/>
        <w:tblInd w:w="0" w:type="dxa"/>
        <w:tblLayout w:type="fixed"/>
        <w:tblCellMar>
          <w:top w:w="28" w:type="dxa"/>
          <w:left w:w="28" w:type="dxa"/>
          <w:bottom w:w="28" w:type="dxa"/>
          <w:right w:w="28" w:type="dxa"/>
        </w:tblCellMar>
      </w:tblPr>
      <w:tblGrid>
        <w:gridCol w:w="380"/>
        <w:gridCol w:w="333"/>
        <w:gridCol w:w="337"/>
        <w:gridCol w:w="109"/>
        <w:gridCol w:w="109"/>
        <w:gridCol w:w="109"/>
        <w:gridCol w:w="270"/>
        <w:gridCol w:w="790"/>
        <w:gridCol w:w="139"/>
        <w:gridCol w:w="109"/>
        <w:gridCol w:w="109"/>
        <w:gridCol w:w="109"/>
        <w:gridCol w:w="211"/>
        <w:gridCol w:w="721"/>
        <w:gridCol w:w="109"/>
        <w:gridCol w:w="109"/>
        <w:gridCol w:w="109"/>
        <w:gridCol w:w="109"/>
        <w:gridCol w:w="399"/>
        <w:gridCol w:w="399"/>
        <w:gridCol w:w="401"/>
        <w:gridCol w:w="164"/>
        <w:gridCol w:w="164"/>
        <w:gridCol w:w="164"/>
        <w:gridCol w:w="413"/>
        <w:gridCol w:w="413"/>
        <w:gridCol w:w="413"/>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Closing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Closing Price</w:t>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borrowings are not recorded at fair value on a recurring basis. The fixed rate 2025 Notes are held at par as of September 30, 2023 and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including unused line fees and amortization of deferred financing costs related to borrowings for the nine months ended September 30, 2023 and 2022 was $38.9 million and $17.4 million, respectively. Total interest expense including unused line fees and amortization of deferred financing costs related to borrowings for the three months ended September 30, 2023 and 2022 was $13.4 million and $6.9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12—DERIVATIVE INSTRUMENTS: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September 30, 2023 and December 31, 2022:</w:t>
      </w:r>
    </w:p>
    <w:tbl>
      <w:tblPr>
        <w:tblW w:w="10205" w:type="dxa"/>
        <w:jc w:val="center"/>
        <w:tblInd w:w="0" w:type="dxa"/>
        <w:tblLayout w:type="fixed"/>
        <w:tblCellMar>
          <w:top w:w="28" w:type="dxa"/>
          <w:left w:w="28" w:type="dxa"/>
          <w:bottom w:w="28" w:type="dxa"/>
          <w:right w:w="28" w:type="dxa"/>
        </w:tblCellMar>
      </w:tblPr>
      <w:tblGrid>
        <w:gridCol w:w="364"/>
        <w:gridCol w:w="283"/>
        <w:gridCol w:w="285"/>
        <w:gridCol w:w="109"/>
        <w:gridCol w:w="109"/>
        <w:gridCol w:w="109"/>
        <w:gridCol w:w="211"/>
        <w:gridCol w:w="741"/>
        <w:gridCol w:w="109"/>
        <w:gridCol w:w="109"/>
        <w:gridCol w:w="109"/>
        <w:gridCol w:w="109"/>
        <w:gridCol w:w="211"/>
        <w:gridCol w:w="466"/>
        <w:gridCol w:w="109"/>
        <w:gridCol w:w="109"/>
        <w:gridCol w:w="109"/>
        <w:gridCol w:w="109"/>
        <w:gridCol w:w="211"/>
        <w:gridCol w:w="406"/>
        <w:gridCol w:w="109"/>
        <w:gridCol w:w="109"/>
        <w:gridCol w:w="109"/>
        <w:gridCol w:w="109"/>
        <w:gridCol w:w="307"/>
        <w:gridCol w:w="307"/>
        <w:gridCol w:w="308"/>
        <w:gridCol w:w="109"/>
        <w:gridCol w:w="109"/>
        <w:gridCol w:w="109"/>
        <w:gridCol w:w="213"/>
        <w:gridCol w:w="411"/>
        <w:gridCol w:w="112"/>
        <w:gridCol w:w="109"/>
        <w:gridCol w:w="109"/>
        <w:gridCol w:w="109"/>
        <w:gridCol w:w="211"/>
        <w:gridCol w:w="406"/>
        <w:gridCol w:w="109"/>
        <w:gridCol w:w="109"/>
        <w:gridCol w:w="109"/>
        <w:gridCol w:w="109"/>
        <w:gridCol w:w="211"/>
        <w:gridCol w:w="406"/>
        <w:gridCol w:w="109"/>
        <w:gridCol w:w="109"/>
        <w:gridCol w:w="109"/>
        <w:gridCol w:w="109"/>
        <w:gridCol w:w="283"/>
        <w:gridCol w:w="283"/>
        <w:gridCol w:w="408"/>
      </w:tblGrid>
      <w:tr>
        <w:trPr/>
        <w:tc>
          <w:tcPr>
            <w:tcW w:w="3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Notional</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Asset</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(years)</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5-year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Shown as a negative number when the position is sold short. </w:t>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Shown in Other Assets in the accompanying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indicated the net realized gains (losses) and unrealized appreciation (depreciation) on derivatives as included in Other Noninterest Income in the consolidated statements of operations for the three and nine months ended September 30, 2023 and 2022:</w:t>
      </w:r>
    </w:p>
    <w:tbl>
      <w:tblPr>
        <w:tblW w:w="11105" w:type="dxa"/>
        <w:jc w:val="center"/>
        <w:tblInd w:w="0" w:type="dxa"/>
        <w:tblLayout w:type="fixed"/>
        <w:tblCellMar>
          <w:top w:w="28" w:type="dxa"/>
          <w:left w:w="28" w:type="dxa"/>
          <w:bottom w:w="28" w:type="dxa"/>
          <w:right w:w="28" w:type="dxa"/>
        </w:tblCellMar>
      </w:tblPr>
      <w:tblGrid>
        <w:gridCol w:w="328"/>
        <w:gridCol w:w="248"/>
        <w:gridCol w:w="250"/>
        <w:gridCol w:w="109"/>
        <w:gridCol w:w="109"/>
        <w:gridCol w:w="109"/>
        <w:gridCol w:w="288"/>
        <w:gridCol w:w="658"/>
        <w:gridCol w:w="150"/>
        <w:gridCol w:w="109"/>
        <w:gridCol w:w="109"/>
        <w:gridCol w:w="109"/>
        <w:gridCol w:w="211"/>
        <w:gridCol w:w="616"/>
        <w:gridCol w:w="109"/>
        <w:gridCol w:w="109"/>
        <w:gridCol w:w="109"/>
        <w:gridCol w:w="109"/>
        <w:gridCol w:w="318"/>
        <w:gridCol w:w="612"/>
        <w:gridCol w:w="166"/>
        <w:gridCol w:w="109"/>
        <w:gridCol w:w="109"/>
        <w:gridCol w:w="109"/>
        <w:gridCol w:w="211"/>
        <w:gridCol w:w="406"/>
        <w:gridCol w:w="109"/>
        <w:gridCol w:w="109"/>
        <w:gridCol w:w="109"/>
        <w:gridCol w:w="109"/>
        <w:gridCol w:w="339"/>
        <w:gridCol w:w="580"/>
        <w:gridCol w:w="177"/>
        <w:gridCol w:w="109"/>
        <w:gridCol w:w="109"/>
        <w:gridCol w:w="109"/>
        <w:gridCol w:w="211"/>
        <w:gridCol w:w="466"/>
        <w:gridCol w:w="109"/>
        <w:gridCol w:w="109"/>
        <w:gridCol w:w="109"/>
        <w:gridCol w:w="109"/>
        <w:gridCol w:w="294"/>
        <w:gridCol w:w="649"/>
        <w:gridCol w:w="153"/>
        <w:gridCol w:w="109"/>
        <w:gridCol w:w="109"/>
        <w:gridCol w:w="109"/>
        <w:gridCol w:w="211"/>
        <w:gridCol w:w="466"/>
        <w:gridCol w:w="154"/>
      </w:tblGrid>
      <w:tr>
        <w:trPr/>
        <w:tc>
          <w:tcPr>
            <w:tcW w:w="3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5-year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and Employment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2023, the Company entered into one-year employment agreements with its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obligations and commitments, as of September 30, 2023 for future minimum cash payments required under operating lease and employment agreements:</w:t>
      </w:r>
    </w:p>
    <w:tbl>
      <w:tblPr>
        <w:tblW w:w="5924" w:type="dxa"/>
        <w:jc w:val="center"/>
        <w:tblInd w:w="0" w:type="dxa"/>
        <w:tblLayout w:type="fixed"/>
        <w:tblCellMar>
          <w:top w:w="28" w:type="dxa"/>
          <w:left w:w="28" w:type="dxa"/>
          <w:bottom w:w="28" w:type="dxa"/>
          <w:right w:w="28" w:type="dxa"/>
        </w:tblCellMar>
      </w:tblPr>
      <w:tblGrid>
        <w:gridCol w:w="340"/>
        <w:gridCol w:w="300"/>
        <w:gridCol w:w="306"/>
        <w:gridCol w:w="307"/>
        <w:gridCol w:w="898"/>
        <w:gridCol w:w="159"/>
        <w:gridCol w:w="109"/>
        <w:gridCol w:w="109"/>
        <w:gridCol w:w="109"/>
        <w:gridCol w:w="446"/>
        <w:gridCol w:w="1301"/>
        <w:gridCol w:w="232"/>
        <w:gridCol w:w="109"/>
        <w:gridCol w:w="109"/>
        <w:gridCol w:w="109"/>
        <w:gridCol w:w="211"/>
        <w:gridCol w:w="61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Employment Agreements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Employment agreements with certain of the Company’s named executive officers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As of September 30, 2023, the Company had accrued a reserve of $0.5 million.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a litigation brought by the Federal Trade Commission (the “FTC”) in October 2012, NMS voluntarily entered into, and continues to operate under, a permanent injunction with respect to certain of its business practices.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 Capital One Facility. Maximum borrowings under the SPV I Facility are $60.0 million. The lender’s commitments terminate in November 2024, with all amounts due under the SPV I Facility maturing in November 2025. At September 30, 2023, total principal owed by SPV I was $0.0 million. At September 30, 2023, the Company determined that it is not probable that payments would be required to be made under the guarantee.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II Deutsche Bank Facility. Maximum borrowings under the SPV II Deutsche Bank Facility are $50.0 million. The Deutsche Bank Facility matures in November 2024. At September 30, 2023, total principal owed by SPV II was $0.0 million. At September 30, 2023, the Company determined that it is not probable that payments would be required to be made under the guarantee.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III One Florida Bank Facility. Maximum borrowings under the SPV III One Florida Bank Facility are $30.0 million. The One Florida Bank Facility matures in May 2025. At September 30, 2023, total principal owed by SPV III was $0.0 million. At September 30, 2023, the Company determined that it is not probable that payments would be required to be made under the guarantee. On April 27, 2023, the SPV III One Florida Bank Facility was amended to increase maximum borrowings under the line to $30.0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Webster Facility, a term loan facility between NMS with Webster Bank with an aggregate principal amount up to $54.9 million. The Webster Facility matures in November 2027. At September 30, 2023, total principal outstanding was $37.9 million. At September 30, 2023, the Company determined that it is not probable that payments would be required to be made under the guarantee.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Unfunded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$98.0 million of unfunded commitments consisting of $18.4 million in connection with its SBA 7(a) loans, $74.0 million in connection with its SBA 504 loans, and $5.6 million relating to commercial and industrial loans. The Company anticipates these commitments will be funded from the same sources it used to fund its other loan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14—STOCK 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Corporate Governance and Nominating Committee of the Board approves the issuance of shares of restricted stock to employees and directors pursuant to the following Board and shareholder equity incentive plans: the 2015 Stock Incentive Plan, which was terminated by the Board in April 2023, and the 2023 Stock Incentive Plan, which was approved by the Board in April 2023 and the Company’s shareholders on June 14, 2023. Shares of restricted stock granted under these plans generally vest over a one- to three-year period from the grant date. The fair value is expensed over the service period, starting on the grant date. The following table summarizes the restricted stock issuances under the 2015 Stock Incentive Plan, net of shares forfeited, if any.</w:t>
      </w:r>
    </w:p>
    <w:tbl>
      <w:tblPr>
        <w:tblW w:w="5581" w:type="dxa"/>
        <w:jc w:val="center"/>
        <w:tblInd w:w="0" w:type="dxa"/>
        <w:tblLayout w:type="fixed"/>
        <w:tblCellMar>
          <w:top w:w="28" w:type="dxa"/>
          <w:left w:w="28" w:type="dxa"/>
          <w:bottom w:w="28" w:type="dxa"/>
          <w:right w:w="28" w:type="dxa"/>
        </w:tblCellMar>
      </w:tblPr>
      <w:tblGrid>
        <w:gridCol w:w="1494"/>
        <w:gridCol w:w="1311"/>
        <w:gridCol w:w="1319"/>
        <w:gridCol w:w="109"/>
        <w:gridCol w:w="109"/>
        <w:gridCol w:w="109"/>
        <w:gridCol w:w="488"/>
        <w:gridCol w:w="488"/>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Restricted Stock authorized under the 2015 plan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restricted stock (granted)/forfeited during: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restricted stock (granted)/forfeited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No stock options were granted under the 2015 Stock Incentive Plan. The 2015 Stock Incentive Plan was terminated by the Board in April 2023 and the 2023 Stock Incentive Plan was approved by the Board in April 2023 and the Company’s shareholders on June 14,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stock issuances under the 2023 Stock Incentive Plan, net of shares forfeited, if any.</w:t>
      </w:r>
    </w:p>
    <w:p>
      <w:pPr>
        <w:pStyle w:val="TextBody"/>
        <w:bidi w:val="0"/>
        <w:spacing w:before="0" w:after="0"/>
        <w:jc w:val="center"/>
        <w:rPr/>
      </w:pPr>
      <w:r>
        <w:rPr/>
      </w:r>
    </w:p>
    <w:tbl>
      <w:tblPr>
        <w:tblW w:w="5581" w:type="dxa"/>
        <w:jc w:val="left"/>
        <w:tblInd w:w="0" w:type="dxa"/>
        <w:tblLayout w:type="fixed"/>
        <w:tblCellMar>
          <w:top w:w="28" w:type="dxa"/>
          <w:left w:w="28" w:type="dxa"/>
          <w:bottom w:w="28" w:type="dxa"/>
          <w:right w:w="28" w:type="dxa"/>
        </w:tblCellMar>
      </w:tblPr>
      <w:tblGrid>
        <w:gridCol w:w="1494"/>
        <w:gridCol w:w="1311"/>
        <w:gridCol w:w="1319"/>
        <w:gridCol w:w="109"/>
        <w:gridCol w:w="109"/>
        <w:gridCol w:w="109"/>
        <w:gridCol w:w="488"/>
        <w:gridCol w:w="488"/>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Restricted Stock authorized under the 2023 plan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restricted stock (granted)/forfeited during: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restricted stock (granted)/forfeited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No stock options were granted under the 2023 Stock Incentive Plan. The 2023 Stock Incentive Plan provides for grants of up to 3,000,000 shares of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$4.1 million of total unrecognized compensation expense related to unvested shares of restricted stock granted. This compensation expense is expected to be recognized over a remaining weighted-average period of approximately 1.8 years as of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the Company recognized total stock-based compensation expense of $0.6 million and $0.6 million, respectively. For the nine months ended September 30, 2023 and 2022 the Company recognized total stock-based compensation expense of $2.0 million and $1.8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For the three and nine months ended September 30, 2023, we had 1.0 million and 0.9 million of anti-dilutive shares,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calculations for earnings per share for the three and nine months ended September 30, 2023 and 2022: </w:t>
      </w:r>
    </w:p>
    <w:tbl>
      <w:tblPr>
        <w:tblW w:w="10205" w:type="dxa"/>
        <w:jc w:val="left"/>
        <w:tblInd w:w="0" w:type="dxa"/>
        <w:tblLayout w:type="fixed"/>
        <w:tblCellMar>
          <w:top w:w="28" w:type="dxa"/>
          <w:left w:w="28" w:type="dxa"/>
          <w:bottom w:w="28" w:type="dxa"/>
          <w:right w:w="28" w:type="dxa"/>
        </w:tblCellMar>
      </w:tblPr>
      <w:tblGrid>
        <w:gridCol w:w="903"/>
        <w:gridCol w:w="721"/>
        <w:gridCol w:w="729"/>
        <w:gridCol w:w="109"/>
        <w:gridCol w:w="109"/>
        <w:gridCol w:w="109"/>
        <w:gridCol w:w="233"/>
        <w:gridCol w:w="682"/>
        <w:gridCol w:w="120"/>
        <w:gridCol w:w="255"/>
        <w:gridCol w:w="256"/>
        <w:gridCol w:w="300"/>
        <w:gridCol w:w="109"/>
        <w:gridCol w:w="109"/>
        <w:gridCol w:w="109"/>
        <w:gridCol w:w="237"/>
        <w:gridCol w:w="811"/>
        <w:gridCol w:w="122"/>
        <w:gridCol w:w="109"/>
        <w:gridCol w:w="113"/>
        <w:gridCol w:w="113"/>
        <w:gridCol w:w="113"/>
        <w:gridCol w:w="228"/>
        <w:gridCol w:w="782"/>
        <w:gridCol w:w="118"/>
        <w:gridCol w:w="255"/>
        <w:gridCol w:w="256"/>
        <w:gridCol w:w="293"/>
        <w:gridCol w:w="155"/>
        <w:gridCol w:w="155"/>
        <w:gridCol w:w="156"/>
        <w:gridCol w:w="237"/>
        <w:gridCol w:w="811"/>
        <w:gridCol w:w="122"/>
        <w:gridCol w:w="166"/>
      </w:tblGrid>
      <w:tr>
        <w:trPr/>
        <w:tc>
          <w:tcPr>
            <w:tcW w:w="90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336" w:type="dxa"/>
            <w:gridSpan w:val="4"/>
            <w:tcBorders/>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36" w:type="dxa"/>
            <w:gridSpan w:val="4"/>
            <w:tcBorders/>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Financial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Investment Company</w:t>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Financial Holding Company</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Investment Company</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Series A Convertible Preferred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weighted average shares outstanding</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EPS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net income -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net income - Series A Convertible 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February 3, 2023, we entered into a Securities Purchase Agreement with Patriot Financial Partners IV, L.P., and Patriot Financial Partners Parallel IV, L.P. in respect of 20 shares of the Company’s Series A Convertible Preferred Stock, par value $0.02 per share, in a private placement transaction. The aggregate purchase price was $20.0 million. Each share of Series A Preferred Stock was issued at a price of $1,000 per share and is convertible at the holder’s option into 47.54053782 shares of the Company’s Common Stock. For the three and nine months ended September 30, 2023, the convertible preferred stock has an anti-dilutive impact on earnings per share. There was no preferred stock prior to February 3, 2023.</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The Company issued warrants to Patriot to purchase, in the aggregate, 47.54 shares of Common Stock for $21.03468 per share. The Warrants are exercisable in whole or in part until the ten year anniversary of the closing of the transaction and may be exercised for cash or on a “net share” basis, with the number of shares withheld determined based on the closing price of the Common Stock on the date of such exercise. For the three and nine months ended September 30, 2023, the Warrants have an anti-dilutive impact on earnings per share. There were no Warrants prior to February 3, 2023.</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Diluted EPS may not exceed Basic EPS; therefore, antidilutive securities are excluded from the Diluted EPS calculation.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operating lease expense is generally recognized on a straight-line basis over the term of the lease. The Company has entered into operating lease agreements for office space with remaining contractual terms up to four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cash flow and other information related to our operating leases:</w:t>
      </w:r>
    </w:p>
    <w:tbl>
      <w:tblPr>
        <w:tblW w:w="10205" w:type="dxa"/>
        <w:jc w:val="center"/>
        <w:tblInd w:w="0" w:type="dxa"/>
        <w:tblLayout w:type="fixed"/>
        <w:tblCellMar>
          <w:top w:w="28" w:type="dxa"/>
          <w:left w:w="28" w:type="dxa"/>
          <w:bottom w:w="28" w:type="dxa"/>
          <w:right w:w="28" w:type="dxa"/>
        </w:tblCellMar>
      </w:tblPr>
      <w:tblGrid>
        <w:gridCol w:w="2031"/>
        <w:gridCol w:w="1584"/>
        <w:gridCol w:w="1593"/>
        <w:gridCol w:w="109"/>
        <w:gridCol w:w="109"/>
        <w:gridCol w:w="109"/>
        <w:gridCol w:w="303"/>
        <w:gridCol w:w="208"/>
        <w:gridCol w:w="202"/>
        <w:gridCol w:w="197"/>
        <w:gridCol w:w="197"/>
        <w:gridCol w:w="197"/>
        <w:gridCol w:w="303"/>
        <w:gridCol w:w="208"/>
        <w:gridCol w:w="202"/>
        <w:gridCol w:w="109"/>
        <w:gridCol w:w="109"/>
        <w:gridCol w:w="109"/>
        <w:gridCol w:w="298"/>
        <w:gridCol w:w="293"/>
        <w:gridCol w:w="202"/>
        <w:gridCol w:w="192"/>
        <w:gridCol w:w="192"/>
        <w:gridCol w:w="192"/>
        <w:gridCol w:w="298"/>
        <w:gridCol w:w="293"/>
        <w:gridCol w:w="202"/>
        <w:gridCol w:w="164"/>
      </w:tblGrid>
      <w:tr>
        <w:trPr/>
        <w:tc>
          <w:tcPr>
            <w:tcW w:w="203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64" w:type="dxa"/>
            <w:tcBorders/>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(operating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$2,015</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 years</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(included in other general and administrative costs on the 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maturity of the Company’s operating lease liabilities as of September 30, 2023:</w:t>
      </w:r>
    </w:p>
    <w:tbl>
      <w:tblPr>
        <w:tblW w:w="5015" w:type="dxa"/>
        <w:jc w:val="center"/>
        <w:tblInd w:w="0" w:type="dxa"/>
        <w:tblLayout w:type="fixed"/>
        <w:tblCellMar>
          <w:top w:w="28" w:type="dxa"/>
          <w:left w:w="28" w:type="dxa"/>
          <w:bottom w:w="28" w:type="dxa"/>
          <w:right w:w="28" w:type="dxa"/>
        </w:tblCellMar>
      </w:tblPr>
      <w:tblGrid>
        <w:gridCol w:w="1461"/>
        <w:gridCol w:w="1284"/>
        <w:gridCol w:w="1289"/>
        <w:gridCol w:w="211"/>
        <w:gridCol w:w="61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Maturity of Lease Liabilities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17—DIVIDENDS AND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2023, the Company issued 20 shares of the Company’s Series A Convertible Preferred Stock, par value $0.02 per share, in a private placement transaction. The aggregate purchase price was $20.0 million. Each share of Series A Preferred Stock was issued at a price of $1,000 per share and is convertible at the holder’s option into 47.54 shares of the Company’s Common Stock. During the nine months ended September 30, 2023 the Company paid $1.0 million in dividends on its preferred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dividends and distributions on the Company’s common shares are recorded on the declaration date. The following table summarizes the Company’s dividend declarations and distributions during the nine months ended September 30, 2023 and 2022.</w:t>
      </w:r>
    </w:p>
    <w:tbl>
      <w:tblPr>
        <w:tblW w:w="10205" w:type="dxa"/>
        <w:jc w:val="center"/>
        <w:tblInd w:w="0" w:type="dxa"/>
        <w:tblLayout w:type="fixed"/>
        <w:tblCellMar>
          <w:top w:w="28" w:type="dxa"/>
          <w:left w:w="28" w:type="dxa"/>
          <w:bottom w:w="28" w:type="dxa"/>
          <w:right w:w="28" w:type="dxa"/>
        </w:tblCellMar>
      </w:tblPr>
      <w:tblGrid>
        <w:gridCol w:w="700"/>
        <w:gridCol w:w="498"/>
        <w:gridCol w:w="500"/>
        <w:gridCol w:w="109"/>
        <w:gridCol w:w="109"/>
        <w:gridCol w:w="109"/>
        <w:gridCol w:w="529"/>
        <w:gridCol w:w="364"/>
        <w:gridCol w:w="343"/>
        <w:gridCol w:w="109"/>
        <w:gridCol w:w="109"/>
        <w:gridCol w:w="109"/>
        <w:gridCol w:w="501"/>
        <w:gridCol w:w="367"/>
        <w:gridCol w:w="368"/>
        <w:gridCol w:w="109"/>
        <w:gridCol w:w="109"/>
        <w:gridCol w:w="109"/>
        <w:gridCol w:w="268"/>
        <w:gridCol w:w="650"/>
        <w:gridCol w:w="138"/>
        <w:gridCol w:w="109"/>
        <w:gridCol w:w="109"/>
        <w:gridCol w:w="109"/>
        <w:gridCol w:w="235"/>
        <w:gridCol w:w="806"/>
        <w:gridCol w:w="121"/>
        <w:gridCol w:w="109"/>
        <w:gridCol w:w="109"/>
        <w:gridCol w:w="109"/>
        <w:gridCol w:w="306"/>
        <w:gridCol w:w="306"/>
        <w:gridCol w:w="308"/>
        <w:gridCol w:w="109"/>
        <w:gridCol w:w="109"/>
        <w:gridCol w:w="109"/>
        <w:gridCol w:w="235"/>
        <w:gridCol w:w="519"/>
        <w:gridCol w:w="181"/>
      </w:tblGrid>
      <w:tr>
        <w:trPr/>
        <w:tc>
          <w:tcPr>
            <w:tcW w:w="70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DRIP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DRIP </w:t>
              <w:br/>
              <w:t>Shares Value</w:t>
            </w:r>
          </w:p>
        </w:tc>
      </w:tr>
      <w:tr>
        <w:trPr/>
        <w:tc>
          <w:tcPr>
            <w:tcW w:w="1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Nine months ended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an additional 12,700 and 21,700 shares valued at $0.2 million and $0.4 million, respectively, were issued related to dividends on unvested shares of restricted stock granted.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18—BENEFIT PLANS: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Defined Contribution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14, 2023, the Company's stockholders approved the ESPP. The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$25,000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 During the third quarter of 2023, There were no shares purchased under the ESPP.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While the Company operated as a RIC, it was required to distribute substantially all of its respective net taxable income each tax year as dividends to its shareholders.</w:t>
      </w:r>
      <w:r>
        <w:rPr>
          <w:color w:val="000000"/>
        </w:rPr>
        <w:t xml:space="preserve"> </w:t>
      </w:r>
      <w:r>
        <w:rPr>
          <w:rFonts w:ascii="Times New Roman;sans-serif" w:hAnsi="Times New Roman;sans-serif"/>
          <w:b w:val="false"/>
          <w:color w:val="000000"/>
          <w:sz w:val="20"/>
        </w:rPr>
        <w:t>Accordingly, for the period September 30, 2022, no provision for federal income tax was made in the financial statements. For 2023, the Company no longer qualifies as a RIC and instead will file a consolidated U.S. federal income tax return. Financial holding companies are subject to federal and state income taxes in essentially the same manner as other corporations.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Company’s former consolidated holding companies is undergoing a NYS tax audit for the fiscal years ended December 31, 2020 and December 31, 2021.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Tax Rate and Net Operating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2.30% for the nine months ended September 30, 2023. The effective tax rate differs from the federal tax rate of 21% for the nine months ended September 30, 2023 due primarily to the recognition of subsidiary federal net operating losses (“NOLs”) expected to be realized in a federal consolidated return setting and other discrete items.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had NOLs in the amount of $34.5 million. Certain of these NOLs ($4.6 million) expire in 2029 through 2037 with the remainder NOLs ($29.9 million) having indefinite lives. The Tax Cuts &amp; Jobs Act of 2017 limits the amount of net operating loss utilized each year after December 31, 2020 to 80% of taxable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recorded using the asset and liability method. Deferred tax assets and liabilities are recognized for the expected future tax consequences attributable to temporary differences between amounts reported for income tax purposes and financial statement purposes, using current tax rates. A valuation allowance is recognized if it is anticipated that some or all of a deferred tax asset will not be realized. The Company must assess the likelihood that its deferred tax assets will be recovered from future taxable income and, to the extent that the Company believes that recovery is not likely, it must establish a valuation allowance. Significant management judgment is required in determining the provision for income taxes, deferred tax assets and liabilities and any valuation allowance recorded against net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and its subsidiaries’ federal income tax returns are generally open to review by the tax authorities for the tax years ended in 2019 and beyond. However, the Company’s NOLs continue to be subject to review by tax authorities in the period utilized notwithstanding origination in closed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20—SEGMENTS: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Newtek Bank originates, services and sells SBA 7(a) loans in a similar manner to NSBF’s historic business model (see Non-Bank Lending below) and originates and services SBA 504 loans, C&amp;I loans, CRE loans and ABL loans. In addition, Newtek Bank offers depository services.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xml:space="preserve">- relates to NSBF’s legacy portfolio held outside Newtek Bank, no new originating activity takes place. NSBF’s legacy portfolio consists of SBA 7(a) Loans, a material portion of which reside in securitization trusts. </w:t>
      </w:r>
    </w:p>
    <w:p>
      <w:pPr>
        <w:pStyle w:val="TextBody"/>
        <w:bidi w:val="0"/>
        <w:spacing w:lineRule="auto" w:line="268" w:before="0" w:after="0"/>
        <w:jc w:val="both"/>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Includes NMS, POS and Mobil Money. NMS markets credit and debit card processing services, check approval services, processing equipment, and software and: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Assist merchants with initial installation of equipment and on-going service, as well as any other special processing needs that they may have.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Handles payment processing for Mobil Money’s merchant portfolio of taxi cabs and related licensed payment processing software.</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xml:space="preserve">- Includes NTS and EWS. NTS provides website hosting, dedicated server hosting, cloud hosting, internet marketing, ecommerce, data storage, backup and disaster recovery, and other related services including consulting and implementing technology solutions for enterprise and commercial clients across the U.S. EWS provides web design and development. As a result of commitments made to the Federal Reserve, the Company will divest or otherwise terminate the activities conducted by EWS and NTS, including its subsidiary SIDCO, within two years of becoming a financial holding company, subject to any extension of the two-year period.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The information provided under the caption “Corporate and Other” represents operations not considered to be reportable segments and/or general operating expenses of the Company, and includes the parent company, other non-bank subsidiaries including Newtek Insurance and Newtek Payroll, and elimination adjustments to reconcile the results of the operating segments to the unaudited condensed consolidated financial statements prepared in conformity with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financial information for the Company's segments:</w:t>
      </w:r>
    </w:p>
    <w:p>
      <w:pPr>
        <w:pStyle w:val="TextBody"/>
        <w:bidi w:val="0"/>
        <w:spacing w:before="0" w:after="0"/>
        <w:jc w:val="left"/>
        <w:rPr/>
      </w:pPr>
      <w:r>
        <w:rPr/>
      </w:r>
    </w:p>
    <w:p>
      <w:pPr>
        <w:pStyle w:val="TextBody"/>
        <w:bidi w:val="0"/>
        <w:spacing w:before="0" w:after="0"/>
        <w:jc w:val="left"/>
        <w:rPr/>
      </w:pPr>
      <w:r>
        <w:rPr/>
      </w:r>
    </w:p>
    <w:tbl>
      <w:tblPr>
        <w:tblW w:w="11105" w:type="dxa"/>
        <w:jc w:val="left"/>
        <w:tblInd w:w="0" w:type="dxa"/>
        <w:tblLayout w:type="fixed"/>
        <w:tblCellMar>
          <w:top w:w="28" w:type="dxa"/>
          <w:left w:w="28" w:type="dxa"/>
          <w:bottom w:w="28" w:type="dxa"/>
          <w:right w:w="28" w:type="dxa"/>
        </w:tblCellMar>
      </w:tblPr>
      <w:tblGrid>
        <w:gridCol w:w="606"/>
        <w:gridCol w:w="229"/>
        <w:gridCol w:w="231"/>
        <w:gridCol w:w="211"/>
        <w:gridCol w:w="826"/>
        <w:gridCol w:w="109"/>
        <w:gridCol w:w="109"/>
        <w:gridCol w:w="109"/>
        <w:gridCol w:w="109"/>
        <w:gridCol w:w="222"/>
        <w:gridCol w:w="759"/>
        <w:gridCol w:w="115"/>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and for the three months ended September 30, 2023</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(651,993)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105" w:type="dxa"/>
        <w:jc w:val="left"/>
        <w:tblInd w:w="0" w:type="dxa"/>
        <w:tblLayout w:type="fixed"/>
        <w:tblCellMar>
          <w:top w:w="28" w:type="dxa"/>
          <w:left w:w="28" w:type="dxa"/>
          <w:bottom w:w="28" w:type="dxa"/>
          <w:right w:w="28" w:type="dxa"/>
        </w:tblCellMar>
      </w:tblPr>
      <w:tblGrid>
        <w:gridCol w:w="606"/>
        <w:gridCol w:w="229"/>
        <w:gridCol w:w="231"/>
        <w:gridCol w:w="211"/>
        <w:gridCol w:w="826"/>
        <w:gridCol w:w="109"/>
        <w:gridCol w:w="109"/>
        <w:gridCol w:w="109"/>
        <w:gridCol w:w="109"/>
        <w:gridCol w:w="222"/>
        <w:gridCol w:w="759"/>
        <w:gridCol w:w="115"/>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and for the nine months ended September 30, 2023</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(651,993)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21—SUBSEQUENT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 2023, the Company paid off and terminated NSBF’s Capital One line of credit for both guaranteed and unguaranteed loans. The Company recognized $0.3 million of loss on extinguishment of debt in association with the payoff.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the Company issued a 30-day notice of its termination of the DRIP.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w:t>
      </w:r>
      <w:r>
        <w:rPr>
          <w:color w:val="0000FF"/>
        </w:rPr>
        <w:t xml:space="preserve"> </w:t>
      </w:r>
      <w:r>
        <w:rPr>
          <w:rFonts w:ascii="Times New Roman;sans-serif" w:hAnsi="Times New Roman;sans-serif"/>
          <w:b w:val="false"/>
          <w:color w:val="000000"/>
          <w:sz w:val="20"/>
        </w:rPr>
        <w:t>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prospects and the prospects of our subsidiaries;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contractual arrangements and relationships with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dependence of our future success on the general economy and its impact on the industries in which we invest;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business to achieve its objectives;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impact of a protracted decline in the liquidity of credit markets on our business;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adequacy of our cash resources and working capital;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operate as a financial holding company and increased compliance and other costs associated with such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adequately manage liquidity, deposits, capital levels and interest rate risk, which have come under greater scrutiny in light of recent unrelated bank failures;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operate our subsidiary Newtek Bank, a national bank regulated and supervised by the OCC, and increased compliance and other costs associated with such operations;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timing of cash flows, if any, from the operations of our subsidiaries; </w:t>
      </w:r>
    </w:p>
    <w:p>
      <w:pPr>
        <w:pStyle w:val="TextBody"/>
        <w:bidi w:val="0"/>
        <w:spacing w:lineRule="auto" w:line="288"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economic downturn, which could impair our subsidiaries’ ability to continue to operate or repay their borrowings, which could adversely affect our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contraction of available credit and/or an inability to access the equity markets could impair our lending and business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interest rate volatility, including the decommissioning of LIBOR, which could adversely affect our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impacts to financial markets and the global macroeconomic and geopolitical environment, including higher inflation and its impacts;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higher interest rates and the impacts on macroeconomic conditions and Company’s funding costs;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to the SBA 7(a) loan program, including recent revisions to SBA Standard Operating Procedure (“SOP”);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risks, uncertainties and other factors we identify in “Risk Factors” and elsewhere in this report and in our filings with the SEC, including the documents we incorporate by reference.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the Quarterly Report on Form 10-Q for the period ended June 30, 2023, filed with the SEC on August 7, 2023, under Part I “Item 1A. Risk Factors” of our Annual Report on Form 10-K for the year ended December 31, 2022, filed with the SEC on March 15, 2023, under “Forward-Looking Statements” of this Item 2 and in any subsequent filings we have made with the SEC that are incorporated by reference into this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Conversion to a Financial Holding Company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As of January 6, 2023, we are a financial holding company that, together with our consolidated subsidiaries, provides a wide range of business and financial solutions under the NewtekOne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 to the SMB market. Effective January 6, 2023, following authorization by our shareholders, we withdrew our previous election to be regulated as a BDC under the 1940 Act. Prior to such time, we operated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National Association and has become our wholly owned bank subsidiary. In connection with the completion of the Acquisition, we contributed to Newtek Bank $31 million of cash and two of our subsidiaries, NBL and SBL (subsequently, NBL was merged into SBL). As a result of the Acquisition, we are now a financial holding company subject to the regulation and supervision of the Federal Reserve and the Federal Reserve Bank of Atlanta. We no longer qualify as a RIC under Subchapter M of the Code for federal income tax purposes and will no longer qualify for accounting treatment as an investment company. As a result, in addition to Newtek Bank and its consolidated subsidiary SBL, the following former portfolio companies and subsidiaries are now consolidated non-bank subsidiaries in our financial statements: NSBF; NMS; Mobil Money; NBC; PMT; NIA; TAM; Holdco 6; NCL; EWS; NTS and POS. In addition, as a result of commitments made to the Federal Reserve, we will divest or otherwise terminate the activities conducted by NTS and its subsidiary SIDCO, and EWS, within two years of becoming a financial holding company, subject to any extension of the two-year period. See </w:t>
      </w:r>
      <w:r>
        <w:rPr>
          <w:color w:val="000000"/>
          <w:shd w:fill="FFFFFF" w:val="clear"/>
        </w:rPr>
        <w:t>“</w:t>
      </w:r>
      <w:r>
        <w:rPr>
          <w:rFonts w:ascii="Times New Roman;sans-serif" w:hAnsi="Times New Roman;sans-serif"/>
          <w:b w:val="false"/>
          <w:color w:val="000000"/>
          <w:sz w:val="20"/>
          <w:shd w:fill="FFFFFF" w:val="clear"/>
        </w:rPr>
        <w:t xml:space="preserve">Item 1A. Risk Factors – Risks Related to Regulation, Supervision and Compliance – </w:t>
      </w:r>
      <w:r>
        <w:rPr>
          <w:rFonts w:ascii="Times New Roman;sans-serif" w:hAnsi="Times New Roman;sans-serif"/>
          <w:b w:val="false"/>
          <w:color w:val="000000"/>
          <w:sz w:val="20"/>
        </w:rPr>
        <w:t>Our status as a financial holding company requires us to curtail certain activities and imposes limitations on certain activities, which may negatively impact the Company’s business, financial condition and results of operations</w:t>
      </w:r>
      <w:r>
        <w:rPr>
          <w:rFonts w:ascii="Times New Roman;sans-serif" w:hAnsi="Times New Roman;sans-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13, 2023, we filed Articles of Amendment amending our Charter to change the name of the Company to “NewtekOne, Inc.”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2023, the Company, NSBF and the SBA entered into the Wind-down Agreement, pursuant to which NSBF has begun to wind-down its operations and NSBF’s SBA 7(a) pipeline of new loans were transitioned to Newtek Bank. During this wind-down process, NSBF will continue to own the SBA 7(a) loans and PPP Loans currently in its SBA loan portfolio to maturity, liquidation, charge-off or (subject to SBA’s prior written approval) sale or transfer. SBL will service and liquidate NSBF’s SBA loan portfolio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certain of NSBF’s obligations to the SBA.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Historical Business Regulation and Taxation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its total assets (less total liabilities other than indebtedness represented by senior securities) to its total indebtedness represented by senior securities plus preferred stock, if any, was at least 150%. As of December 31 2022, our asset coverage was 169%. Although we are no longer regulated as a BDC, certain covenants in our outstanding 2024 and 2026 Notes require us to maintain an asset coverage of at least 150% as long as the 2024 and 2026 Notes are outstanding. See “Risk Factors – Risks Related to Our Common Stock – We are subject to 150% asset coverage requirements due to covenants contained in the indentures under which the 2024 and 2026 Notes were issued” in our Annual Report on Form 10-K for the year ended December 31, 2022.</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 maintain our qualification as a RIC</w:t>
      </w:r>
      <w:r>
        <w:rPr>
          <w:color w:val="000000"/>
        </w:rPr>
        <w:t xml:space="preserve"> </w:t>
      </w:r>
      <w:r>
        <w:rPr>
          <w:rFonts w:ascii="Times New Roman;sans-serif" w:hAnsi="Times New Roman;sans-serif"/>
          <w:b w:val="false"/>
          <w:color w:val="000000"/>
          <w:sz w:val="20"/>
        </w:rPr>
        <w:t xml:space="preserve">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no longer qualify as a RIC for U.S. federal income tax purposes and will file a consolidated U.S. federal income tax return.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From 2012 through December 31, 2022, NSBF, a wholly-owned subsidiary, was consistently the largest non-bank SBA 7(a) lender in the U.S. based on dollar volume of loan approvals, and, as of December 31, 2022, was the third largest SBA 7(a) lender in the United States. When combining Newtek Bank and NSBF, the Company ranked as the third largest SBA 7(a) lender based on dollar volume of loans approved as of September 30, 2023, which is the SBA's fiscal year.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NSBF has begun to wind down its operations and has transitioned SBA 7(a) loan originations to Newtek Bank. NSBF will continue to own the 7(a) Loans and PPP Loans in its SBA loan portfolio to maturity, liquidation, charge-off or (subject to SBA’s prior written approval) sale or transfer</w:t>
      </w:r>
      <w:r>
        <w:rPr>
          <w:color w:val="000000"/>
        </w:rPr>
        <w:t xml:space="preserve"> </w:t>
      </w:r>
      <w:r>
        <w:rPr>
          <w:rFonts w:ascii="Times New Roman;sans-serif" w:hAnsi="Times New Roman;sans-serif"/>
          <w:b w:val="false"/>
          <w:color w:val="000000"/>
          <w:sz w:val="20"/>
        </w:rPr>
        <w:t xml:space="preserve">pursuant to the Wind-down Agreement and as described further above.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and our subsidiaries have historically provided a wide range of business and financial solutions to SMB relationships, including Business Lending, which includes SBA 7(a) loans, SBA 504 loans and nonconforming conventional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SMB relationships nationwide across all industries. We supported the operations of our subsidiaries by providing access to our proprietary and patented technology platform, including NewTracker®, our patented prospect management software. We have historically defined SMBs as companies having revenues of $1 million to $100 million, and we have generally estimated the SMB market to be over 30 million businesses in the United States. We have historically made loans and provided business and financial solutions to the SMB market through NSBF and our controlled portfolio companies (now subsidiaries). In addition, the Company has begun to rollout the Newtek Advantage®, the One Dashboard for All of Your Business Needs®, which provides SMBs with instant access to a team of Newtek business and financial solutions experts in the areas of Business Lending, Electronic Payment Processing, Managed Technology Solutions, personal and commercial lines Insurance Services and Payroll and Benefits Solutions. Moreover, we believe that the Newtek Advantage can provide our SMB clients with analytics on their businesses, as well as transactional capabilities that other organizations do not presently offer.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Following the Acquisition, there can be no assurance regarding our continued lending prospects or operations as a financial holding company.</w:t>
      </w:r>
      <w:r>
        <w:rPr>
          <w:color w:val="000000"/>
        </w:rPr>
        <w:t xml:space="preserve"> </w:t>
      </w:r>
      <w:r>
        <w:rPr>
          <w:rFonts w:ascii="Times New Roman;sans-serif" w:hAnsi="Times New Roman;sans-serif"/>
          <w:b w:val="false"/>
          <w:color w:val="000000"/>
          <w:sz w:val="20"/>
        </w:rPr>
        <w:t xml:space="preserve">See “Item 1A. Risk Factors – Risks Related to Regulation, Supervision and Compliance – We have a limited operating history as a financial holding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shares are currently listed on the Nasdaq Global Market under the symbol “NEWT”.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is a national bank and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 in our Annual Report on Form 10-K for the year ended December 31, 2022 and “Item 1A. Risk Factors - Changes to the SBA Section 7(a) Program can negatively impact our SBA 7(a) loan origination volume.”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Economic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observed and continue to observe supply chain interruptions, significant labor and resource shortages, commodity inflation, rising interest rates, unrelated bank failures and declines in depositor confidence in certain types of depository institutions, economic sanctions as a result of the ongoing war between Russia and Ukraine and elements of economic and financial market instability in the United States, the United Kingdom, the European Union and China.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we operate in and the results of some of the companies similar to those in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borrowers will not be negatively impacted by economic conditions, which could have a negative impact on our future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recently, concerns have arisen with respect to the financial condition of a number of banking organizations in the United States, in particular those with exposure to certain types of depositors and large portfolios of investment securities. On March 10, 2023 Silicon Valley Bank was closed by the California Department of Financial Protection and Innovation and the Federal Deposit Insurance Corporation was appointed receiver of Silicon Valley Bank. On March 11, 2023, Signature Bank was similarly closed and placed into receivership and concurrently the Federal Reserve Board announced it will make available additional funding to eligible depository institutions to assist eligible banking organizations with potential liquidity needs. Subsequently, First Republic Bank entered FDIC receivership and its assets were sold to JPMorgan Chase Bank, N.A. While the Company’s business, balance sheet and depositor profile differ substantially from banking institutions that are the focus of the greatest scrutiny, the operating environment and public trading prices of financial services sector securities can be highly correlated, in particular in times of stress, which may adversely affect the trading price of the Company’s common stock and potentially its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For the quarterly period ended September 30, 2023, we generated income in the form of interest, net gains on sale of the guaranteed portions of SBA 7(a) loans originated, dividends, electronic payment processing income, technology and IT support income, servicing income, and other fee income </w:t>
      </w:r>
      <w:r>
        <w:rPr>
          <w:rFonts w:ascii="Times New Roman;sans-serif" w:hAnsi="Times New Roman;sans-serif"/>
          <w:b w:val="false"/>
          <w:color w:val="000000"/>
          <w:sz w:val="20"/>
          <w:shd w:fill="FFFFFF" w:val="clear"/>
        </w:rPr>
        <w:t xml:space="preserve">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September 30, 2023 also reflects the proceeds of sales of guaranteed portions of SBA 7(a) loans we originated. In addition, we received servicing income related to the guaranteed portions of SBA 7(a) loans which we originated and sold into the secondary market. These recurring fees were earned daily and recorded when earned. In addition, we generated revenue in the form of loan packaging, loan prepayment, legal and late fees. We recorded such fees related to loans as other income. Distributions of earnings from our joint ventures were evaluated to determine if the distribution was income, return of capital or realized gain.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 recognized realized gains or losses on loans based on the difference between the net proceeds from the disposition and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w:t>
      </w:r>
      <w:r>
        <w:rPr>
          <w:rFonts w:ascii="Times New Roman;sans-serif" w:hAnsi="Times New Roman;sans-serif"/>
          <w:b w:val="false"/>
          <w:color w:val="000000"/>
          <w:sz w:val="20"/>
        </w:rPr>
        <w:t>rvicing assets, as appropriate, in the consolidated statements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our primary operating expenses were salaries and benefits, interest expense including interest on deposits, electronic payment processing expense, technology services expenses, origination and servicing and other general and administrative costs, such as professional fees, marketing, referral fees, servicing costs and 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 Capital One Facility, SPV II Deutsche Bank Facility and SPV III One Florida Bank Facility. Maximum borrowings under the SPV I Capital One Facility are $60.0 million; the lenders’ commitments terminate in November 2024, with all amounts due under the facility maturing in November 2025. Maximum borrowings under the SPV II Deutsche Bank facility are $50.0 million with a maturity date in November 2024. Maximum borrowings under the SPV III One Florida Bank facility are $30.0 million with a maturity date in May 2025. At September 30, 2023, total principal owed under these facilities was $0.0 million. On April 27, 2023, the SPV III One Florida Bank Facility was amended to increase maximum borrowings under the line to $30.0 million. At September 30, 2023, the Company determined that it is not probable that payments would be required to be made under these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Webster Facility, a term loan facility between NMS with Webster Bank with an aggregate principal commitment amount of up to $54.9 million. The Webster Facility matures in November 2027. At September 30, 2023, total principal outstanding was $37.9 million. At September 30, 2023, the Company determined that it is not probable that payments would be required to be made under the guarantee.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The Company’s Non-Conforming Conventional Commercial Loan Program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NCL JV: We established a 50/50 joint venture, NCL JV, between NCL, a wholly-owned subsidiary of Newtek, and Conventional Lending TCP Holding, LLC, a wholly-owned, indirect subsidiary of BlackRock TCP Capital Corp. (Nasdaq:TCPC). NCL JV provided non-conforming conventional commercial and industrial term loans to U.S. middle-market companies and small businesses. NCL JV ceased funding new loans during 2020. On January 28, 2022, NCL JV closed a conventional commercial loan securitization with the sale of $56.3 million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September 30,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TSO JV: On August 5, 2022, NCL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for the purpose of investing in non-conforming conventional commercial and industrial term loans made to middle-market companies as well as small businesses. Refer to NOTE 4—INVESTMENTS for selected financial information and a schedule of investments of TSO JV as of September 30,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Unfunded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$98.0 million of unfunded commitments consisting of $18.4 million in connection with its SBA 7(a) loans, $74.0 million in connection with its SBA 504 loans, and $5.6 million relating to commercial and industrial loans. The Company funds these commitments from the same sources it uses to fund its other loan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Discussion and Analysis of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September 30, 2023 vs.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financial statement line items from December 31, 2022 to September 30, 2023 are impacted by the Company’s transition to a financial holding company. Controlled investments have been removed from the balance sheet and replaced with the consolidated assets, liabilities and profits and losses of the former portfolio companies as well as the addition of Newtek Bank subsequent to the January 6, 2023 acquisition of NBNYC.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September 30, 2023 were $1.4 billion, an increase of $381.5 million, or 38.2%, compared to total assets of $1.0 billion at December 31,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Loans</w:t>
      </w:r>
    </w:p>
    <w:tbl>
      <w:tblPr>
        <w:tblW w:w="10205" w:type="dxa"/>
        <w:jc w:val="left"/>
        <w:tblInd w:w="0" w:type="dxa"/>
        <w:tblLayout w:type="fixed"/>
        <w:tblCellMar>
          <w:top w:w="28" w:type="dxa"/>
          <w:left w:w="28" w:type="dxa"/>
          <w:bottom w:w="28" w:type="dxa"/>
          <w:right w:w="28" w:type="dxa"/>
        </w:tblCellMar>
      </w:tblPr>
      <w:tblGrid>
        <w:gridCol w:w="1901"/>
        <w:gridCol w:w="1590"/>
        <w:gridCol w:w="1598"/>
        <w:gridCol w:w="298"/>
        <w:gridCol w:w="1192"/>
        <w:gridCol w:w="154"/>
        <w:gridCol w:w="109"/>
        <w:gridCol w:w="109"/>
        <w:gridCol w:w="109"/>
        <w:gridCol w:w="292"/>
        <w:gridCol w:w="1166"/>
        <w:gridCol w:w="151"/>
        <w:gridCol w:w="109"/>
        <w:gridCol w:w="109"/>
        <w:gridCol w:w="109"/>
        <w:gridCol w:w="211"/>
        <w:gridCol w:w="841"/>
        <w:gridCol w:w="157"/>
      </w:tblGrid>
      <w:tr>
        <w:trPr/>
        <w:tc>
          <w:tcPr>
            <w:tcW w:w="190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LCM</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Loans</w:t>
            </w:r>
          </w:p>
        </w:tc>
        <w:tc>
          <w:tcPr>
            <w:tcW w:w="2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884,629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524,439</w:t>
            </w: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360,190</w:t>
            </w:r>
            <w:r>
              <w:rPr>
                <w:color w:val="000000"/>
              </w:rPr>
              <w:t>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at fair value increased $51.3 million during the nine months ended September 30, 2023, while loans held for sale, at LCM increased $48.5 million during the same period. The overall increase was primarily the result of the consolidation of entities that were previously controlled portfolio companies that hold loans, as well as new loan originations, during the first nine months of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 consists of NSBF 7(a) loans and was $493.0 million at September 30, 2023 compared to $505.3 million at December 31, 2022. As discussed above, as of January 6, 2023, the Company operates as a financial holding company. Prior to that, we operated as a regulated BDC. As a result of the required accounting methodology changes, we prospectively adjusted the treatment of certain loans originated by NSBF between the held for investment and held for sale categories, resulting in the increase from December 31, 2022 to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consists of Newtek Bank loans acquired as part of the Acquisition as well as new originations in 2023 which contributed to a net increase of $280.9 million in loans.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Goodwill and Intangibles</w:t>
      </w:r>
    </w:p>
    <w:p>
      <w:pPr>
        <w:pStyle w:val="TextBody"/>
        <w:bidi w:val="0"/>
        <w:spacing w:before="0" w:after="0"/>
        <w:jc w:val="left"/>
        <w:rPr/>
      </w:pPr>
      <w:r>
        <w:rPr/>
      </w:r>
    </w:p>
    <w:tbl>
      <w:tblPr>
        <w:tblW w:w="6110" w:type="dxa"/>
        <w:jc w:val="left"/>
        <w:tblInd w:w="0" w:type="dxa"/>
        <w:tblLayout w:type="fixed"/>
        <w:tblCellMar>
          <w:top w:w="28" w:type="dxa"/>
          <w:left w:w="28" w:type="dxa"/>
          <w:bottom w:w="28" w:type="dxa"/>
          <w:right w:w="28" w:type="dxa"/>
        </w:tblCellMar>
      </w:tblPr>
      <w:tblGrid>
        <w:gridCol w:w="662"/>
        <w:gridCol w:w="583"/>
        <w:gridCol w:w="585"/>
        <w:gridCol w:w="211"/>
        <w:gridCol w:w="721"/>
        <w:gridCol w:w="109"/>
        <w:gridCol w:w="109"/>
        <w:gridCol w:w="109"/>
        <w:gridCol w:w="109"/>
        <w:gridCol w:w="337"/>
        <w:gridCol w:w="986"/>
        <w:gridCol w:w="176"/>
        <w:gridCol w:w="109"/>
        <w:gridCol w:w="109"/>
        <w:gridCol w:w="109"/>
        <w:gridCol w:w="211"/>
        <w:gridCol w:w="72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 acquisition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segment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goodwill and intangibles as of December 31, 2022 prior to the Acquisition. The $27.2 million increase in goodwill and intangible assets consists of $2.1 million relating to the Acquisition of Newtek Bank itself, as well as $15.0 million and $10.0 million, respectively, from the payments and technology segments due to the consolidation of previously unconsolidated portfolio companies that include goodwill and intangibles, such as customer lists, due to the Company’s reorganization related to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Settlement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 receivables increased $64.0 million compared to December 31, 2022.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at September 30, 2023 were $1.2 billion, an increase of $529.8 million, or 85.0%, compared to total liabilities of $623.5 million at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 were $432.6 million at September 30, 2023, consisting of $20.3 million in non-interest bearing deposits and $412.2 million in interest bearing deposits. The Company did not have any deposits as of December 31, 2022 prior to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Borrowings</w:t>
      </w:r>
    </w:p>
    <w:tbl>
      <w:tblPr>
        <w:tblW w:w="8399" w:type="dxa"/>
        <w:jc w:val="left"/>
        <w:tblInd w:w="0" w:type="dxa"/>
        <w:tblLayout w:type="fixed"/>
        <w:tblCellMar>
          <w:top w:w="28" w:type="dxa"/>
          <w:left w:w="28" w:type="dxa"/>
          <w:bottom w:w="28" w:type="dxa"/>
          <w:right w:w="28" w:type="dxa"/>
        </w:tblCellMar>
      </w:tblPr>
      <w:tblGrid>
        <w:gridCol w:w="1272"/>
        <w:gridCol w:w="1118"/>
        <w:gridCol w:w="1120"/>
        <w:gridCol w:w="284"/>
        <w:gridCol w:w="1114"/>
        <w:gridCol w:w="147"/>
        <w:gridCol w:w="109"/>
        <w:gridCol w:w="109"/>
        <w:gridCol w:w="109"/>
        <w:gridCol w:w="276"/>
        <w:gridCol w:w="1081"/>
        <w:gridCol w:w="142"/>
        <w:gridCol w:w="109"/>
        <w:gridCol w:w="109"/>
        <w:gridCol w:w="109"/>
        <w:gridCol w:w="211"/>
        <w:gridCol w:w="82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Borrowings Outstanding</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Lines of Credit:</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guaranteed</w:t>
            </w:r>
            <w:r>
              <w:rPr>
                <w:rFonts w:ascii="Times New Roman;sans-serif" w:hAnsi="Times New Roman;sans-serif"/>
                <w:b w:val="false"/>
                <w:color w:val="000000"/>
                <w:sz w:val="13"/>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unguaranteed</w:t>
            </w:r>
            <w:r>
              <w:rPr>
                <w:rFonts w:ascii="Times New Roman;sans-serif" w:hAnsi="Times New Roman;sans-serif"/>
                <w:b w:val="false"/>
                <w:color w:val="000000"/>
                <w:sz w:val="13"/>
              </w:rPr>
              <w:t>1</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One</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Bank Borrowings</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Lines of Credit</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due 2024, 2025, 2026, and 2028</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 Notes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2024, 2025, 2026, and 2028 Notes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Payable - Securitization Trusts</w:t>
            </w:r>
            <w:r>
              <w:rPr>
                <w:rFonts w:ascii="Times New Roman;sans-serif" w:hAnsi="Times New Roman;sans-serif"/>
                <w:b w:val="false"/>
                <w:color w:val="000000"/>
                <w:sz w:val="13"/>
              </w:rPr>
              <w:t>2</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combined commitments of the guaranteed and unguaranteed lines of credit were $150.0 million at September 30, 2023 and December 31, 2022.</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Net of deferred financing costs. Negative borrowings outstanding are the result of the facilities being paid down to zero principal balance as of September 30, 2023 while the associated deferred financing costs remain.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were $648.7 million at September 30, 2023 compared to $539.3 million at December 31, 2022. This increase was primarily due to an additional $34.5 million of notes payable-securitization trusts including the 2023 securitization, consolidating $60.7 million of bank borrowings from newly consolidating entities, $49.3 million of newly issued 2025 8.125% Notes, and $38.4 million of newly issued 2028 Notes. These increases were partially offset by a $50.1 million reduction on our Capital One lines of credit, and the elimination in consolidation of a prior year related party note payable.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Deferred Taxes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conversion to a financial holding company during the first quarter of 2023, the $19.2 million in deferred tax liabilities as of December 31, 2022 stemming from the Company’s valuation of its former portfolio companies through unrealized gains and losses were removed. The balance of deferred tax assets and liabilities was reestablished based on the combination of unrealized gains and losses incurred on all consolidating entities, the estimated taxes due on taxable income, and the tax benefit of the prior year net operating losses carried over from consolidating entities now that the Company is a corporate taxpayer.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Comparison of the nine months ended September 30,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 Company reported net income of $28.55 million, or $1.10 per basic and diluted share, compared to net income of $34.53 million, or $1.43 per basic and diluted share, for the nine months ended September 30,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was attributable to the following items:</w:t>
      </w:r>
    </w:p>
    <w:p>
      <w:pPr>
        <w:pStyle w:val="TextBody"/>
        <w:bidi w:val="0"/>
        <w:spacing w:before="0" w:after="0"/>
        <w:jc w:val="left"/>
        <w:rPr/>
      </w:pPr>
      <w:r>
        <w:rPr/>
      </w:r>
    </w:p>
    <w:tbl>
      <w:tblPr>
        <w:tblW w:w="8530" w:type="dxa"/>
        <w:jc w:val="left"/>
        <w:tblInd w:w="0" w:type="dxa"/>
        <w:tblLayout w:type="fixed"/>
        <w:tblCellMar>
          <w:top w:w="28" w:type="dxa"/>
          <w:left w:w="28" w:type="dxa"/>
          <w:bottom w:w="28" w:type="dxa"/>
          <w:right w:w="28" w:type="dxa"/>
        </w:tblCellMar>
      </w:tblPr>
      <w:tblGrid>
        <w:gridCol w:w="1530"/>
        <w:gridCol w:w="1347"/>
        <w:gridCol w:w="1352"/>
        <w:gridCol w:w="109"/>
        <w:gridCol w:w="109"/>
        <w:gridCol w:w="109"/>
        <w:gridCol w:w="227"/>
        <w:gridCol w:w="776"/>
        <w:gridCol w:w="117"/>
        <w:gridCol w:w="117"/>
        <w:gridCol w:w="117"/>
        <w:gridCol w:w="117"/>
        <w:gridCol w:w="227"/>
        <w:gridCol w:w="776"/>
        <w:gridCol w:w="117"/>
        <w:gridCol w:w="109"/>
        <w:gridCol w:w="109"/>
        <w:gridCol w:w="109"/>
        <w:gridCol w:w="211"/>
        <w:gridCol w:w="691"/>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before="0" w:after="0"/>
        <w:jc w:val="left"/>
        <w:rPr/>
      </w:pPr>
      <w:r>
        <w:rPr/>
      </w:r>
    </w:p>
    <w:tbl>
      <w:tblPr>
        <w:tblW w:w="8454" w:type="dxa"/>
        <w:jc w:val="left"/>
        <w:tblInd w:w="0" w:type="dxa"/>
        <w:tblLayout w:type="fixed"/>
        <w:tblCellMar>
          <w:top w:w="28" w:type="dxa"/>
          <w:left w:w="28" w:type="dxa"/>
          <w:bottom w:w="28" w:type="dxa"/>
          <w:right w:w="28" w:type="dxa"/>
        </w:tblCellMar>
      </w:tblPr>
      <w:tblGrid>
        <w:gridCol w:w="1527"/>
        <w:gridCol w:w="1346"/>
        <w:gridCol w:w="1356"/>
        <w:gridCol w:w="109"/>
        <w:gridCol w:w="109"/>
        <w:gridCol w:w="109"/>
        <w:gridCol w:w="237"/>
        <w:gridCol w:w="812"/>
        <w:gridCol w:w="122"/>
        <w:gridCol w:w="122"/>
        <w:gridCol w:w="122"/>
        <w:gridCol w:w="122"/>
        <w:gridCol w:w="237"/>
        <w:gridCol w:w="694"/>
        <w:gridCol w:w="122"/>
        <w:gridCol w:w="109"/>
        <w:gridCol w:w="109"/>
        <w:gridCol w:w="109"/>
        <w:gridCol w:w="211"/>
        <w:gridCol w:w="61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pPr>
      <w:r>
        <w:rPr>
          <w:rFonts w:ascii="Times New Roman;sans-serif" w:hAnsi="Times New Roman;sans-serif"/>
          <w:b w:val="false"/>
          <w:i/>
          <w:color w:val="000000"/>
          <w:sz w:val="20"/>
        </w:rPr>
        <w:t>Loans and fees on loans:</w:t>
      </w:r>
      <w:r>
        <w:rPr>
          <w:color w:val="000000"/>
        </w:rPr>
        <w:t xml:space="preserve"> </w:t>
      </w:r>
      <w:r>
        <w:rPr>
          <w:rFonts w:ascii="Times New Roman;sans-serif" w:hAnsi="Times New Roman;sans-serif"/>
          <w:b w:val="false"/>
          <w:color w:val="000000"/>
          <w:sz w:val="20"/>
        </w:rPr>
        <w:t>The $36.4 million increase in interest income on the Company’s loan portfolio was attributable to an increase in interest rates as well as the average outstanding accrual portfolio of loans held for investment at fair value increasing to $687.2 million from $476.8 million for the nine months ended September 30, 2023 and 2022, respectively. The increase in the average outstanding accrual loan portfolio resulted from the origination of new SBA 7(a) loans period over period as well as the increase in our loan portfolio due to the Acquisition, coupled with an increase in our total commercial loan originations in the first three quarters of 2023, compared to the first three quarters of 2022.</w:t>
      </w:r>
    </w:p>
    <w:p>
      <w:pPr>
        <w:pStyle w:val="TextBody"/>
        <w:bidi w:val="0"/>
        <w:spacing w:lineRule="auto" w:line="288" w:before="240" w:after="283"/>
        <w:jc w:val="left"/>
        <w:rPr/>
      </w:pPr>
      <w:r>
        <w:rPr>
          <w:rFonts w:ascii="Times New Roman;sans-serif" w:hAnsi="Times New Roman;sans-serif"/>
          <w:b w:val="false"/>
          <w:i/>
          <w:color w:val="000000"/>
          <w:sz w:val="20"/>
        </w:rPr>
        <w:t>Other interest earning assets:</w:t>
      </w:r>
      <w:r>
        <w:rPr>
          <w:color w:val="000000"/>
        </w:rPr>
        <w:t xml:space="preserve"> </w:t>
      </w:r>
      <w:r>
        <w:rPr>
          <w:rFonts w:ascii="Times New Roman;sans-serif" w:hAnsi="Times New Roman;sans-serif"/>
          <w:b w:val="false"/>
          <w:color w:val="000000"/>
          <w:sz w:val="20"/>
        </w:rPr>
        <w:t>The $6.6 million increase in interest income from other interest earnings assets was attributable to rising interest rates on cash and due from banks as well as interest bearing deposits in banks, subsequent to the Acquisition that resulted in Newtek Bank earning interest on Federal Reserve Bank cash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interest expense by facility for the nine months ended September 30, 2023 and 2022: </w:t>
      </w:r>
    </w:p>
    <w:tbl>
      <w:tblPr>
        <w:tblW w:w="7932" w:type="dxa"/>
        <w:jc w:val="center"/>
        <w:tblInd w:w="0" w:type="dxa"/>
        <w:tblLayout w:type="fixed"/>
        <w:tblCellMar>
          <w:top w:w="28" w:type="dxa"/>
          <w:left w:w="28" w:type="dxa"/>
          <w:bottom w:w="28" w:type="dxa"/>
          <w:right w:w="28" w:type="dxa"/>
        </w:tblCellMar>
      </w:tblPr>
      <w:tblGrid>
        <w:gridCol w:w="1122"/>
        <w:gridCol w:w="989"/>
        <w:gridCol w:w="993"/>
        <w:gridCol w:w="313"/>
        <w:gridCol w:w="1070"/>
        <w:gridCol w:w="161"/>
        <w:gridCol w:w="109"/>
        <w:gridCol w:w="109"/>
        <w:gridCol w:w="109"/>
        <w:gridCol w:w="313"/>
        <w:gridCol w:w="1070"/>
        <w:gridCol w:w="161"/>
        <w:gridCol w:w="109"/>
        <w:gridCol w:w="109"/>
        <w:gridCol w:w="109"/>
        <w:gridCol w:w="211"/>
        <w:gridCol w:w="72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w:t>
            </w:r>
            <w:r>
              <w:rPr>
                <w:rFonts w:ascii="Times New Roman;sans-serif" w:hAnsi="Times New Roman;sans-serif"/>
                <w:b w:val="false"/>
                <w:color w:val="000000"/>
                <w:sz w:val="13"/>
              </w:rPr>
              <w:t>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2</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6.85% Notes</w:t>
            </w:r>
            <w:r>
              <w:rPr>
                <w:rFonts w:ascii="Times New Roman;sans-serif" w:hAnsi="Times New Roman;sans-serif"/>
                <w:b w:val="false"/>
                <w:color w:val="000000"/>
                <w:sz w:val="13"/>
              </w:rPr>
              <w:t>3</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8.125% Notes</w:t>
            </w:r>
            <w:r>
              <w:rPr>
                <w:rFonts w:ascii="Times New Roman;sans-serif" w:hAnsi="Times New Roman;sans-serif"/>
                <w:b w:val="false"/>
                <w:color w:val="000000"/>
                <w:sz w:val="13"/>
              </w:rPr>
              <w:t>4</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2028 Notes</w:t>
            </w:r>
            <w:r>
              <w:rPr>
                <w:rFonts w:ascii="Times New Roman;sans-serif" w:hAnsi="Times New Roman;sans-serif"/>
                <w:b w:val="false"/>
                <w:color w:val="000000"/>
                <w:sz w:val="13"/>
              </w:rPr>
              <w:t>5</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the interest-bearing deposit liabilities of NYNBC acquired on January 6, 2023, and the deposits added by Newtek Bank during the nine months ended September 30,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On December 29, 2021, the Company partially redeemed $40.0 million in aggregate principal amount of the $78.25 million principal amount of 2024 Notes outstanding at 100% of their principal amount ($25 per Note), plus the accrued and unpaid interest thereon from November 1, 2021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On May 2, 2022, the Company redeemed all $15.0 million in aggregate principal amount of the 2025 6.85% Notes at 100% of their principal amount ($25 per Note), plus the accrued and unpaid interest thereon from February 28, 2022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On January 23, 2023 the Company completed a private placement offering of $50.0 million aggregate principal amount of 8.125% notes due 2025. The Notes will mature on February 1, 2025. The Notes bear interest at a rate of 8.125% per year, payable semiannually on February 1 and August 1 each year, commencing on August 1,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 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period over period is primarily from additional interest expense on the Notes payable - Securitization Trusts of $10.8 million, Bank notes payable of $6.9 million, and 2025 8.125% Notes of $3.2 million related to an increase in the average outstanding balance and interest rates period over the period, as well as the consolidation of additional subsidiaries associated with the Company’s withdrawal of its election to be treated as a BDC, which added $60.7 million in additional borrowings to the Company’s balance sheet. The Company also completed a securitization in June 2023, resulting in an additional $98.0 million of borrowings as of September 30, 2023. Additionally, in conjunction with the Acquisition and transition to a financial holding company, the Company now holds deposit liabilities with interest-bearing deposits contributing to the increase in interest expense at September 30, 2023 of $10.7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Credit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there was a provision for loan credit losses of $7.3 million. There was no provision for credit losses for the same period in 2022 due to the change in accounting methodology related to the conversion to a financial holding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Interest Income and Margin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Average Balances and Yields. </w:t>
      </w:r>
      <w:r>
        <w:rPr>
          <w:rFonts w:ascii="Times New Roman;sans-serif" w:hAnsi="Times New Roman;sans-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8"/>
        <w:gridCol w:w="1641"/>
        <w:gridCol w:w="1646"/>
        <w:gridCol w:w="233"/>
        <w:gridCol w:w="1085"/>
        <w:gridCol w:w="120"/>
        <w:gridCol w:w="118"/>
        <w:gridCol w:w="118"/>
        <w:gridCol w:w="118"/>
        <w:gridCol w:w="230"/>
        <w:gridCol w:w="791"/>
        <w:gridCol w:w="118"/>
        <w:gridCol w:w="118"/>
        <w:gridCol w:w="118"/>
        <w:gridCol w:w="118"/>
        <w:gridCol w:w="375"/>
        <w:gridCol w:w="368"/>
        <w:gridCol w:w="962"/>
      </w:tblGrid>
      <w:tr>
        <w:trPr/>
        <w:tc>
          <w:tcPr>
            <w:tcW w:w="192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w:t>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Balance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Yield / Rate</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Interest-earning assets:</w:t>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5"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9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1,061,202 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 on loans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Interest-bearing liabilities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9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9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676,778 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9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9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9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9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bidi w:val="0"/>
        <w:spacing w:before="0" w:after="0"/>
        <w:jc w:val="left"/>
        <w:rPr/>
      </w:pPr>
      <w:r>
        <w:rPr/>
      </w:r>
    </w:p>
    <w:p>
      <w:pPr>
        <w:pStyle w:val="TextBody"/>
        <w:bidi w:val="0"/>
        <w:spacing w:before="0" w:after="0"/>
        <w:jc w:val="left"/>
        <w:rPr/>
      </w:pPr>
      <w:r>
        <w:rPr/>
      </w:r>
    </w:p>
    <w:tbl>
      <w:tblPr>
        <w:tblW w:w="7313" w:type="dxa"/>
        <w:jc w:val="left"/>
        <w:tblInd w:w="0" w:type="dxa"/>
        <w:tblLayout w:type="fixed"/>
        <w:tblCellMar>
          <w:top w:w="28" w:type="dxa"/>
          <w:left w:w="28" w:type="dxa"/>
          <w:bottom w:w="28" w:type="dxa"/>
          <w:right w:w="28" w:type="dxa"/>
        </w:tblCellMar>
      </w:tblPr>
      <w:tblGrid>
        <w:gridCol w:w="1209"/>
        <w:gridCol w:w="1065"/>
        <w:gridCol w:w="1070"/>
        <w:gridCol w:w="227"/>
        <w:gridCol w:w="777"/>
        <w:gridCol w:w="117"/>
        <w:gridCol w:w="117"/>
        <w:gridCol w:w="117"/>
        <w:gridCol w:w="117"/>
        <w:gridCol w:w="227"/>
        <w:gridCol w:w="745"/>
        <w:gridCol w:w="117"/>
        <w:gridCol w:w="117"/>
        <w:gridCol w:w="117"/>
        <w:gridCol w:w="117"/>
        <w:gridCol w:w="227"/>
        <w:gridCol w:w="664"/>
        <w:gridCol w:w="166"/>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vs. 2022</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(Decrease) Due to</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Rate</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Volume</w:t>
            </w:r>
            <w:r>
              <w:rPr>
                <w:rFonts w:ascii="Times New Roman;sans-serif" w:hAnsi="Times New Roman;sans-serif"/>
                <w:b w:val="false"/>
                <w:color w:val="000000"/>
                <w:sz w:val="13"/>
              </w:rPr>
              <w:t>1</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income and expense associated with the Acquisition of NBNYC on January 6, 2023, and the associated withdrawal of the election to be treated as a BDC.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Noninterest Income</w:t>
      </w:r>
    </w:p>
    <w:tbl>
      <w:tblPr>
        <w:tblW w:w="10205" w:type="dxa"/>
        <w:jc w:val="left"/>
        <w:tblInd w:w="0" w:type="dxa"/>
        <w:tblLayout w:type="fixed"/>
        <w:tblCellMar>
          <w:top w:w="28" w:type="dxa"/>
          <w:left w:w="28" w:type="dxa"/>
          <w:bottom w:w="28" w:type="dxa"/>
          <w:right w:w="28" w:type="dxa"/>
        </w:tblCellMar>
      </w:tblPr>
      <w:tblGrid>
        <w:gridCol w:w="1427"/>
        <w:gridCol w:w="1228"/>
        <w:gridCol w:w="1233"/>
        <w:gridCol w:w="242"/>
        <w:gridCol w:w="950"/>
        <w:gridCol w:w="125"/>
        <w:gridCol w:w="125"/>
        <w:gridCol w:w="125"/>
        <w:gridCol w:w="125"/>
        <w:gridCol w:w="242"/>
        <w:gridCol w:w="829"/>
        <w:gridCol w:w="125"/>
        <w:gridCol w:w="109"/>
        <w:gridCol w:w="109"/>
        <w:gridCol w:w="109"/>
        <w:gridCol w:w="284"/>
        <w:gridCol w:w="1069"/>
        <w:gridCol w:w="147"/>
        <w:gridCol w:w="147"/>
        <w:gridCol w:w="147"/>
        <w:gridCol w:w="147"/>
        <w:gridCol w:w="340"/>
        <w:gridCol w:w="342"/>
        <w:gridCol w:w="479"/>
      </w:tblGrid>
      <w:tr>
        <w:trPr/>
        <w:tc>
          <w:tcPr>
            <w:tcW w:w="14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3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 net of amortization</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under the fair value option</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Dividend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dividend income was mainly dependent on the earnings of our joint ventures. On January 6, 2023, the Company completed the previously announced Acquisition and converted to a financial holding company. See NOTE 1—DESCRIPTION OF BUSINESS AND BASIS OF PRESENTATION. The controlled portfolio companies have become consolidating subsidiaries of the Company in 2023 and therefore, under the new organizational structure, their profits and losses are consolidated within the statement of operations instead of in the form of dividend income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Loan Servicing Asset Revaluation</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loan servicing asset revaluation is due to the increase in the total portfolio of investments for which we earn servicing income period over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Income, Net of Amortization</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servicing income was related to an increase of $247.2 million in the average total loan portfolio for which we earn servicing income period over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Gains on Sales of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 for the nine months ended September 30, 2023 and 2022 were $32.5 million and $50.0 million, respectively.</w:t>
      </w:r>
    </w:p>
    <w:p>
      <w:pPr>
        <w:pStyle w:val="TextBody"/>
        <w:bidi w:val="0"/>
        <w:spacing w:before="0" w:after="0"/>
        <w:jc w:val="left"/>
        <w:rPr/>
      </w:pPr>
      <w:r>
        <w:rPr/>
      </w:r>
    </w:p>
    <w:tbl>
      <w:tblPr>
        <w:tblW w:w="7495" w:type="dxa"/>
        <w:jc w:val="center"/>
        <w:tblInd w:w="0" w:type="dxa"/>
        <w:tblLayout w:type="fixed"/>
        <w:tblCellMar>
          <w:top w:w="28" w:type="dxa"/>
          <w:left w:w="28" w:type="dxa"/>
          <w:bottom w:w="28" w:type="dxa"/>
          <w:right w:w="28" w:type="dxa"/>
        </w:tblCellMar>
      </w:tblPr>
      <w:tblGrid>
        <w:gridCol w:w="1462"/>
        <w:gridCol w:w="1284"/>
        <w:gridCol w:w="1288"/>
        <w:gridCol w:w="313"/>
        <w:gridCol w:w="1070"/>
        <w:gridCol w:w="161"/>
        <w:gridCol w:w="109"/>
        <w:gridCol w:w="109"/>
        <w:gridCol w:w="109"/>
        <w:gridCol w:w="309"/>
        <w:gridCol w:w="1056"/>
        <w:gridCol w:w="225"/>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recognized on sale of SBA loans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recognized on sale of SBA loans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tbl>
      <w:tblPr>
        <w:tblW w:w="9752" w:type="dxa"/>
        <w:jc w:val="left"/>
        <w:tblInd w:w="0" w:type="dxa"/>
        <w:tblLayout w:type="fixed"/>
        <w:tblCellMar>
          <w:top w:w="28" w:type="dxa"/>
          <w:left w:w="28" w:type="dxa"/>
          <w:bottom w:w="28" w:type="dxa"/>
          <w:right w:w="28" w:type="dxa"/>
        </w:tblCellMar>
      </w:tblPr>
      <w:tblGrid>
        <w:gridCol w:w="1569"/>
        <w:gridCol w:w="1380"/>
        <w:gridCol w:w="1385"/>
        <w:gridCol w:w="308"/>
        <w:gridCol w:w="308"/>
        <w:gridCol w:w="291"/>
        <w:gridCol w:w="109"/>
        <w:gridCol w:w="109"/>
        <w:gridCol w:w="109"/>
        <w:gridCol w:w="211"/>
        <w:gridCol w:w="826"/>
        <w:gridCol w:w="271"/>
        <w:gridCol w:w="109"/>
        <w:gridCol w:w="109"/>
        <w:gridCol w:w="109"/>
        <w:gridCol w:w="289"/>
        <w:gridCol w:w="289"/>
        <w:gridCol w:w="291"/>
        <w:gridCol w:w="109"/>
        <w:gridCol w:w="109"/>
        <w:gridCol w:w="109"/>
        <w:gridCol w:w="211"/>
        <w:gridCol w:w="826"/>
        <w:gridCol w:w="316"/>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8"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 originated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loans sold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sale price as a percent of principal balance</w:t>
            </w:r>
            <w:r>
              <w:rPr>
                <w:rFonts w:ascii="Times New Roman;sans-serif" w:hAnsi="Times New Roman;sans-serif"/>
                <w:b w:val="false"/>
                <w:color w:val="000000"/>
                <w:sz w:val="13"/>
              </w:rPr>
              <w:t>1</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Realized gains greater than 110.00% must be split 50/50 with the SBA in accordance with SBA regulations. The realized gains recognized above reflect amounts net of split with the SBA.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 average sale price as a percent of principal balance was 110.17% compared to 110.02% for the prior period. The modest increase in sales prices in 2023 resulted from an improved yield profile of the SBA 7(a) loans in comparison to other short term government guaranteed investment alternatives. The reduction in overall net gains on sales of loans resulted from lower volumes of sales compared to the prior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Gain (Loss) on Loans Accounted for under the Fair Value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loans accounted for under the fair value option amounted to $12.6 million and $(12.4) million for the nine months ended September 30, 2023 and 2022, respectively.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6"/>
        <w:gridCol w:w="1648"/>
        <w:gridCol w:w="1653"/>
        <w:gridCol w:w="332"/>
        <w:gridCol w:w="1137"/>
        <w:gridCol w:w="171"/>
        <w:gridCol w:w="109"/>
        <w:gridCol w:w="109"/>
        <w:gridCol w:w="109"/>
        <w:gridCol w:w="312"/>
        <w:gridCol w:w="1171"/>
        <w:gridCol w:w="160"/>
        <w:gridCol w:w="109"/>
        <w:gridCol w:w="109"/>
        <w:gridCol w:w="109"/>
        <w:gridCol w:w="211"/>
        <w:gridCol w:w="721"/>
        <w:gridCol w:w="159"/>
      </w:tblGrid>
      <w:tr>
        <w:trPr/>
        <w:tc>
          <w:tcPr>
            <w:tcW w:w="187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Loans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Loans</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504 and Non-SBA Loans</w:t>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 relates to guaranteed portions of SBA loans made which the Company sells into a secondary market. Unrealized appreciation of SBA guaranteed investments represents the fair value adjustment of guaranteed portions of loans which have not yet been sold. Unrealized depreciation represents the reversal of unrealized appreciation when the guaranteed portions of the SBA 7(a) loans are sold. The amount of the unrealized appreciation (depreciation) is determined by the quantity of guaranteed loans held for sale at quarter end as well as the change in secondary market pricing conditions. During the nine months ended September 30, 2023, there was an increase in the gain-on-sale pricing as compared to the prior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Technology and IT Support Income and Electronic Payment Processing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noninterest income for the nine months ended September 30, 2023 includes technology and IT support income, as well as electronic payment processing income the Company generated in the ordinary course of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Noninterest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2022, other income related primarily to legal, packaging, prepayment, and late fees earned from SBA 7(a) loans. The increase was related to an increase in legal, prepayment and packaging fees earned as a result of the higher volume of SBA 7(a) loans originated of 1,236 loans compared to 931 loans for the nine months ended September 30,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Non-Interest Expense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1"/>
        <w:gridCol w:w="1211"/>
        <w:gridCol w:w="1215"/>
        <w:gridCol w:w="242"/>
        <w:gridCol w:w="953"/>
        <w:gridCol w:w="125"/>
        <w:gridCol w:w="125"/>
        <w:gridCol w:w="125"/>
        <w:gridCol w:w="125"/>
        <w:gridCol w:w="242"/>
        <w:gridCol w:w="832"/>
        <w:gridCol w:w="125"/>
        <w:gridCol w:w="109"/>
        <w:gridCol w:w="109"/>
        <w:gridCol w:w="109"/>
        <w:gridCol w:w="297"/>
        <w:gridCol w:w="1017"/>
        <w:gridCol w:w="153"/>
        <w:gridCol w:w="153"/>
        <w:gridCol w:w="153"/>
        <w:gridCol w:w="153"/>
        <w:gridCol w:w="383"/>
        <w:gridCol w:w="383"/>
        <w:gridCol w:w="465"/>
      </w:tblGrid>
      <w:tr>
        <w:trPr/>
        <w:tc>
          <w:tcPr>
            <w:tcW w:w="140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3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salaries and benefits was primarily attributable to the change in reporting associated with the Acquisition and the withdrawal of the election for the Company to be treated as a BDC on January 6, 2023. As such, the salaries and benefits of entities that were not previously consolidated are now included in the Company’s expense for the nine months ended September 30,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Technology Services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noninterest expense for the nine months ended September 30, 2023 includes technology services expenses that the Company incurred in the ordinary course of business. Expenses for the nine months ended September 30, 2023 consists of expenses associated with web hosting and IT support of $10.0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Electronic Payment Processing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noninterest expense for the nine months ended September 30, 2023 includes electronic payment processing expenses the Company incurred in the ordinary course of business. Expenses for the nine months ended September 30, 2023 consists of electronic payment processing costs of $14.2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Professional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professional fees period over period is primarily attributable to the addition of the newly consolidated subsidiaries and entities due to the withdrawal of the election to be treated as a BDC, which amounted to $3.5 million for the nine months ended September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Loan Origination and Maintenance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and loan processing expenses during the nine months ended September 30, 2023 was $9.8 million compared to $21.9 million for the nine months ended September 30, 2022. The decrease was due to the consolidation of the affiliated servicing company during the year, resulting in the elimination of the intercompany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General and Administrative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other general and administrative costs of $8.2 million is primarily due to the Acquisition, as $10.2 million in additional expense is included in the current year from the additional entities now being consolidated after the withdrawal of the BDC election, partially offset by the elimination of intercompany expenses between the newly consolidated entities and those previously reported as a BDC.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Segment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reportable segments Banking, Technology, NSBF, and Payments. A description of each segment and the methodologies used to measure financial performance is described in NOTE 20—SEGMENTS in the accompanying Notes to the Unaudited Condensed Consolidated Financial Statements. Net income (loss) by operating segment is presented below:</w:t>
      </w:r>
    </w:p>
    <w:p>
      <w:pPr>
        <w:pStyle w:val="TextBody"/>
        <w:bidi w:val="0"/>
        <w:spacing w:before="0" w:after="0"/>
        <w:jc w:val="left"/>
        <w:rPr/>
      </w:pPr>
      <w:r>
        <w:rPr/>
      </w:r>
    </w:p>
    <w:tbl>
      <w:tblPr>
        <w:tblW w:w="6461"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772"/>
        <w:gridCol w:w="2639"/>
        <w:gridCol w:w="56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21,619 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(16,278)</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28,545 </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The banking segment includes Newtek Bank as well as its consolidated subsidiary SBL. The financial results include the origination and servicing of SBA 504 loans, C&amp;I loans, CRE loans and ABL loans. In addition, the bank offers depository services. The results include $11.1 million of net interest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Technology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The segment contributed $23.9 million of noninterest income and $21.8 million of noninterest expense. As a result of commitments made to the Federal Reserve, the Company will divest or otherwise terminate the activities conducted by EWS and NTS, including its subsidiary SIDCO, within two years of becoming a financial holding company, subject to any extension of the two-year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Relates to NSBF’s legacy portfolio of SBA 7(a) loans held outside the bank. During the nine months ended September 30, 2023, NSBF originated $157.4 million in SBA 7(a) loans. The results include $18.6 million of net interest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Payments includes NMS, POS and Mobil Money and contributed $9.5 million to consolidated net income. Within those results are $35.0 million of noninterest income resulting from marketing credit and debit card processing services, check approval services, processing equipment, and software. The net income also included $24.0 million of noninterest expense.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xml:space="preserve">- Represents operations not considered to be reportable segments and/or general operating expenses of the Company, and includes the parent company, other non-bank subsidiaries including Newtek Insurance and Newtek Payroll, non-bank lending including our joint ventures, and elimination adjustments to reconcile the results of the operating segments to the unaudited condensed consolidated financial statements prepared in conformity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Comparison of the three months ended September 30, 2023 and 2022</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Company reported net income of $10.0 million, or $0.38 per basic and diluted share, compared to net income of $11.4 million, or $0.47 per basic and diluted share, for the three months ended September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was attributable to the following items:</w:t>
      </w:r>
    </w:p>
    <w:p>
      <w:pPr>
        <w:pStyle w:val="TextBody"/>
        <w:bidi w:val="0"/>
        <w:spacing w:before="0" w:after="0"/>
        <w:jc w:val="left"/>
        <w:rPr/>
      </w:pPr>
      <w:r>
        <w:rPr/>
      </w:r>
    </w:p>
    <w:tbl>
      <w:tblPr>
        <w:tblW w:w="8622" w:type="dxa"/>
        <w:jc w:val="left"/>
        <w:tblInd w:w="0" w:type="dxa"/>
        <w:tblLayout w:type="fixed"/>
        <w:tblCellMar>
          <w:top w:w="28" w:type="dxa"/>
          <w:left w:w="28" w:type="dxa"/>
          <w:bottom w:w="28" w:type="dxa"/>
          <w:right w:w="28" w:type="dxa"/>
        </w:tblCellMar>
      </w:tblPr>
      <w:tblGrid>
        <w:gridCol w:w="1530"/>
        <w:gridCol w:w="1347"/>
        <w:gridCol w:w="1352"/>
        <w:gridCol w:w="109"/>
        <w:gridCol w:w="109"/>
        <w:gridCol w:w="109"/>
        <w:gridCol w:w="245"/>
        <w:gridCol w:w="718"/>
        <w:gridCol w:w="127"/>
        <w:gridCol w:w="127"/>
        <w:gridCol w:w="127"/>
        <w:gridCol w:w="127"/>
        <w:gridCol w:w="245"/>
        <w:gridCol w:w="840"/>
        <w:gridCol w:w="127"/>
        <w:gridCol w:w="109"/>
        <w:gridCol w:w="109"/>
        <w:gridCol w:w="109"/>
        <w:gridCol w:w="211"/>
        <w:gridCol w:w="691"/>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before="0" w:after="0"/>
        <w:jc w:val="left"/>
        <w:rPr/>
      </w:pPr>
      <w:r>
        <w:rPr/>
      </w:r>
    </w:p>
    <w:tbl>
      <w:tblPr>
        <w:tblW w:w="8547" w:type="dxa"/>
        <w:jc w:val="left"/>
        <w:tblInd w:w="0" w:type="dxa"/>
        <w:tblLayout w:type="fixed"/>
        <w:tblCellMar>
          <w:top w:w="28" w:type="dxa"/>
          <w:left w:w="28" w:type="dxa"/>
          <w:bottom w:w="28" w:type="dxa"/>
          <w:right w:w="28" w:type="dxa"/>
        </w:tblCellMar>
      </w:tblPr>
      <w:tblGrid>
        <w:gridCol w:w="1527"/>
        <w:gridCol w:w="1346"/>
        <w:gridCol w:w="1356"/>
        <w:gridCol w:w="109"/>
        <w:gridCol w:w="109"/>
        <w:gridCol w:w="109"/>
        <w:gridCol w:w="257"/>
        <w:gridCol w:w="752"/>
        <w:gridCol w:w="133"/>
        <w:gridCol w:w="133"/>
        <w:gridCol w:w="133"/>
        <w:gridCol w:w="133"/>
        <w:gridCol w:w="257"/>
        <w:gridCol w:w="752"/>
        <w:gridCol w:w="133"/>
        <w:gridCol w:w="109"/>
        <w:gridCol w:w="109"/>
        <w:gridCol w:w="109"/>
        <w:gridCol w:w="211"/>
        <w:gridCol w:w="61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pPr>
      <w:r>
        <w:rPr>
          <w:rFonts w:ascii="Times New Roman;sans-serif" w:hAnsi="Times New Roman;sans-serif"/>
          <w:b w:val="false"/>
          <w:i/>
          <w:color w:val="000000"/>
          <w:sz w:val="20"/>
        </w:rPr>
        <w:t xml:space="preserve">Loans and fees on loans: </w:t>
      </w:r>
      <w:r>
        <w:rPr>
          <w:rFonts w:ascii="Times New Roman;sans-serif" w:hAnsi="Times New Roman;sans-serif"/>
          <w:b w:val="false"/>
          <w:color w:val="000000"/>
          <w:sz w:val="20"/>
        </w:rPr>
        <w:t>The $14.4 million increase in interest income was attributable to an increase in interest rates as well as the average outstanding accrual portfolio on loans held for investment at fair value increasing to $788.2 million from $472.0 million for the three months ended September 30, 2023 and 2022, respectively. The increase in the average outstanding accrual loan portfolio resulted from the origination of new SBA 7(A) loans period over period, as well as the increase in our loan portfolio due to the Acquisition, coupled with an increase in our total commercial loan originations in the third quarter of 2023, compared to the third quarter of 2022.</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i/>
          <w:color w:val="000000"/>
          <w:sz w:val="20"/>
        </w:rPr>
        <w:t xml:space="preserve">Other interest earning assets: </w:t>
      </w:r>
      <w:r>
        <w:rPr>
          <w:rFonts w:ascii="Times New Roman;sans-serif" w:hAnsi="Times New Roman;sans-serif"/>
          <w:b w:val="false"/>
          <w:color w:val="000000"/>
          <w:sz w:val="20"/>
        </w:rPr>
        <w:t>The $3.1 million increase in interest income from other interest earnings assets was attributable to rising interest rates on cash and due from banks as well as interest bearing deposits in banks, subsequent to the Acquisition that resulted in Newtek Bank earning interest on Federal Reserve Bank cash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interest expense by facility for the three months ended September 30, 2023 and 2022: </w:t>
      </w:r>
    </w:p>
    <w:tbl>
      <w:tblPr>
        <w:tblW w:w="10205" w:type="dxa"/>
        <w:jc w:val="center"/>
        <w:tblInd w:w="0" w:type="dxa"/>
        <w:tblLayout w:type="fixed"/>
        <w:tblCellMar>
          <w:top w:w="28" w:type="dxa"/>
          <w:left w:w="28" w:type="dxa"/>
          <w:bottom w:w="28" w:type="dxa"/>
          <w:right w:w="28" w:type="dxa"/>
        </w:tblCellMar>
      </w:tblPr>
      <w:tblGrid>
        <w:gridCol w:w="1040"/>
        <w:gridCol w:w="910"/>
        <w:gridCol w:w="913"/>
        <w:gridCol w:w="568"/>
        <w:gridCol w:w="1944"/>
        <w:gridCol w:w="293"/>
        <w:gridCol w:w="109"/>
        <w:gridCol w:w="109"/>
        <w:gridCol w:w="109"/>
        <w:gridCol w:w="629"/>
        <w:gridCol w:w="1838"/>
        <w:gridCol w:w="324"/>
        <w:gridCol w:w="109"/>
        <w:gridCol w:w="109"/>
        <w:gridCol w:w="109"/>
        <w:gridCol w:w="211"/>
        <w:gridCol w:w="721"/>
        <w:gridCol w:w="160"/>
      </w:tblGrid>
      <w:tr>
        <w:trPr/>
        <w:tc>
          <w:tcPr>
            <w:tcW w:w="10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w:t>
            </w:r>
            <w:r>
              <w:rPr>
                <w:rFonts w:ascii="Times New Roman;sans-serif" w:hAnsi="Times New Roman;sans-serif"/>
                <w:b w:val="false"/>
                <w:color w:val="000000"/>
                <w:sz w:val="13"/>
              </w:rPr>
              <w:t>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2</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6.85% Notes</w:t>
            </w:r>
            <w:r>
              <w:rPr>
                <w:rFonts w:ascii="Times New Roman;sans-serif" w:hAnsi="Times New Roman;sans-serif"/>
                <w:b w:val="false"/>
                <w:color w:val="000000"/>
                <w:sz w:val="13"/>
              </w:rPr>
              <w:t>3</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8.125% Notes</w:t>
            </w:r>
            <w:r>
              <w:rPr>
                <w:rFonts w:ascii="Times New Roman;sans-serif" w:hAnsi="Times New Roman;sans-serif"/>
                <w:b w:val="false"/>
                <w:color w:val="000000"/>
                <w:sz w:val="13"/>
              </w:rPr>
              <w:t>4</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2028 Notes</w:t>
            </w:r>
            <w:r>
              <w:rPr>
                <w:rFonts w:ascii="Times New Roman;sans-serif" w:hAnsi="Times New Roman;sans-serif"/>
                <w:b w:val="false"/>
                <w:color w:val="000000"/>
                <w:sz w:val="13"/>
              </w:rPr>
              <w:t>5</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2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2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With the Acquisition, the Company acquired the interest-bearing deposit liabilities of NBNYC. The Company has continued growing the deposits during the three months ended September 30,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On December 29, 2021, the Company partially redeemed $40.0 million in aggregate principal amount of the $78.25 million principal amount of 2024 Notes outstanding at 100% of their principal amount ($25 per Note), plus the accrued and unpaid interest thereon from November 1, 2021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On May 2, 2022, the Company redeemed all $15.0 million in aggregate principal amount of the 2025 6.85% Notes at 100% of their principal amount ($25 per Note), plus the accrued and unpaid interest thereon from February 28, 2022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On January 23, 2023 the Company completed a private placement offering of $50.0 million aggregate principal amount of 8.125% notes due 2025. The Notes will mature on February 1, 2025. The Notes bear interest at a rate of 8.125% per year, payable semiannually on February 1 and August 1 each year, commencing on August 1,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 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period over period is primarily from additional interest expense on the Notes payable - Securitization Trusts of $4.1 million, Bank notes payable of $1.0 million, and 2025 8.125% Notes of $1.2 million related to an increase in the average outstanding balance and interest rates period over the period, as well as the consolidation of additional subsidiaries associated with the Company’s withdrawal of its election to be treated as a BDC, which added $60.7 million in borrowings to the Company’s balance sheet. The Company also completed a securitization in June 2023, resulting in an additional $98.0 million of borrowings as of September 30, 2023. Additionally, in conjunction with the Acquisition and transition to a financial holding company, the Company now holds deposit liabilities with interest-bearing deposits contributing to the increase in interest expense at September 30, 2023 of $5.2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2022, there was a provision for loan credit losses of $3.4 million. There was no provision for credit losses for the same period in 2022 due to the change in accounting methodology related to the conversion to a financial holding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Interest Income and Margin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Average Balances and Yields. </w:t>
      </w:r>
      <w:r>
        <w:rPr>
          <w:rFonts w:ascii="Times New Roman;sans-serif" w:hAnsi="Times New Roman;sans-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4"/>
        <w:gridCol w:w="1648"/>
        <w:gridCol w:w="1652"/>
        <w:gridCol w:w="239"/>
        <w:gridCol w:w="1107"/>
        <w:gridCol w:w="123"/>
        <w:gridCol w:w="123"/>
        <w:gridCol w:w="123"/>
        <w:gridCol w:w="123"/>
        <w:gridCol w:w="239"/>
        <w:gridCol w:w="698"/>
        <w:gridCol w:w="123"/>
        <w:gridCol w:w="123"/>
        <w:gridCol w:w="123"/>
        <w:gridCol w:w="123"/>
        <w:gridCol w:w="375"/>
        <w:gridCol w:w="368"/>
        <w:gridCol w:w="961"/>
      </w:tblGrid>
      <w:tr>
        <w:trPr/>
        <w:tc>
          <w:tcPr>
            <w:tcW w:w="193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Balance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Yield / Rate</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Interest-earning 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1,183,931 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 on loans</w:t>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Interest-bearing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1,144,734 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103.42 </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bidi w:val="0"/>
        <w:spacing w:before="0" w:after="0"/>
        <w:jc w:val="left"/>
        <w:rPr/>
      </w:pPr>
      <w:r>
        <w:rPr/>
      </w:r>
    </w:p>
    <w:p>
      <w:pPr>
        <w:pStyle w:val="TextBody"/>
        <w:bidi w:val="0"/>
        <w:spacing w:before="0" w:after="0"/>
        <w:jc w:val="left"/>
        <w:rPr/>
      </w:pPr>
      <w:r>
        <w:rPr/>
      </w:r>
    </w:p>
    <w:tbl>
      <w:tblPr>
        <w:tblW w:w="7357" w:type="dxa"/>
        <w:jc w:val="left"/>
        <w:tblInd w:w="0" w:type="dxa"/>
        <w:tblLayout w:type="fixed"/>
        <w:tblCellMar>
          <w:top w:w="28" w:type="dxa"/>
          <w:left w:w="28" w:type="dxa"/>
          <w:bottom w:w="28" w:type="dxa"/>
          <w:right w:w="28" w:type="dxa"/>
        </w:tblCellMar>
      </w:tblPr>
      <w:tblGrid>
        <w:gridCol w:w="1209"/>
        <w:gridCol w:w="1065"/>
        <w:gridCol w:w="1070"/>
        <w:gridCol w:w="236"/>
        <w:gridCol w:w="691"/>
        <w:gridCol w:w="122"/>
        <w:gridCol w:w="122"/>
        <w:gridCol w:w="122"/>
        <w:gridCol w:w="122"/>
        <w:gridCol w:w="236"/>
        <w:gridCol w:w="775"/>
        <w:gridCol w:w="122"/>
        <w:gridCol w:w="122"/>
        <w:gridCol w:w="122"/>
        <w:gridCol w:w="122"/>
        <w:gridCol w:w="236"/>
        <w:gridCol w:w="691"/>
        <w:gridCol w:w="172"/>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vs. 2022</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(Decrease) Due to</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Rate</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Volume</w:t>
            </w:r>
            <w:r>
              <w:rPr>
                <w:rFonts w:ascii="Times New Roman;sans-serif" w:hAnsi="Times New Roman;sans-serif"/>
                <w:b w:val="false"/>
                <w:color w:val="000000"/>
                <w:sz w:val="13"/>
              </w:rPr>
              <w:t>1</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income and expense associated with the Acquisition of NBNYC on January 6, 2023, and the associated withdrawal of the election to be treated as a BDC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bl>
      <w:tblPr>
        <w:tblW w:w="10205" w:type="dxa"/>
        <w:jc w:val="left"/>
        <w:tblInd w:w="0" w:type="dxa"/>
        <w:tblLayout w:type="fixed"/>
        <w:tblCellMar>
          <w:top w:w="28" w:type="dxa"/>
          <w:left w:w="28" w:type="dxa"/>
          <w:bottom w:w="28" w:type="dxa"/>
          <w:right w:w="28" w:type="dxa"/>
        </w:tblCellMar>
      </w:tblPr>
      <w:tblGrid>
        <w:gridCol w:w="1454"/>
        <w:gridCol w:w="1259"/>
        <w:gridCol w:w="1264"/>
        <w:gridCol w:w="254"/>
        <w:gridCol w:w="870"/>
        <w:gridCol w:w="131"/>
        <w:gridCol w:w="131"/>
        <w:gridCol w:w="131"/>
        <w:gridCol w:w="131"/>
        <w:gridCol w:w="254"/>
        <w:gridCol w:w="870"/>
        <w:gridCol w:w="131"/>
        <w:gridCol w:w="109"/>
        <w:gridCol w:w="109"/>
        <w:gridCol w:w="109"/>
        <w:gridCol w:w="287"/>
        <w:gridCol w:w="982"/>
        <w:gridCol w:w="148"/>
        <w:gridCol w:w="148"/>
        <w:gridCol w:w="148"/>
        <w:gridCol w:w="148"/>
        <w:gridCol w:w="341"/>
        <w:gridCol w:w="343"/>
        <w:gridCol w:w="453"/>
      </w:tblGrid>
      <w:tr>
        <w:trPr/>
        <w:tc>
          <w:tcPr>
            <w:tcW w:w="145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2023/2022 Increase/(Decrease)</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 net of amortization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under the fair value option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Dividend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2022, dividend income was mainly dependent on the earnings of our joint ventures. On January 6, 2023, the Company completed the previously announced Acquisition and converted to a financial holding company. See NOTE 1—DESCRIPTION OF BUSINESS AND BASIS OF PRESENTATION. The controlled portfolio companies have become consolidated subsidiaries of the Company in 2023 and therefore, under the new organizational structure, their profits and losses are consolidated within the statement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Loan Servicing Asset Revaluation</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loan servicing asset revaluation is due to the runoff of the servicing asset since NSBF is no longer originating loans during its wind-down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Income, Net of Amortization</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servicing income was related to an increase of $198.8 million in the average total loan portfolio for which we earn servicing income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Gains on Sales of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 for the three months ended September 30, 2023 and 2023 were $12.7 million and $14.8 million, respectively.</w:t>
      </w:r>
    </w:p>
    <w:p>
      <w:pPr>
        <w:pStyle w:val="TextBody"/>
        <w:bidi w:val="0"/>
        <w:spacing w:before="0" w:after="0"/>
        <w:jc w:val="left"/>
        <w:rPr/>
      </w:pPr>
      <w:r>
        <w:rPr/>
      </w:r>
    </w:p>
    <w:tbl>
      <w:tblPr>
        <w:tblW w:w="7495" w:type="dxa"/>
        <w:jc w:val="center"/>
        <w:tblInd w:w="0" w:type="dxa"/>
        <w:tblLayout w:type="fixed"/>
        <w:tblCellMar>
          <w:top w:w="28" w:type="dxa"/>
          <w:left w:w="28" w:type="dxa"/>
          <w:bottom w:w="28" w:type="dxa"/>
          <w:right w:w="28" w:type="dxa"/>
        </w:tblCellMar>
      </w:tblPr>
      <w:tblGrid>
        <w:gridCol w:w="1462"/>
        <w:gridCol w:w="1284"/>
        <w:gridCol w:w="1288"/>
        <w:gridCol w:w="313"/>
        <w:gridCol w:w="1070"/>
        <w:gridCol w:w="161"/>
        <w:gridCol w:w="109"/>
        <w:gridCol w:w="109"/>
        <w:gridCol w:w="109"/>
        <w:gridCol w:w="309"/>
        <w:gridCol w:w="1056"/>
        <w:gridCol w:w="225"/>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recognized on sale of SBA loans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recognized on sale of SBA loans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tbl>
      <w:tblPr>
        <w:tblW w:w="9714" w:type="dxa"/>
        <w:jc w:val="left"/>
        <w:tblInd w:w="0" w:type="dxa"/>
        <w:tblLayout w:type="fixed"/>
        <w:tblCellMar>
          <w:top w:w="28" w:type="dxa"/>
          <w:left w:w="28" w:type="dxa"/>
          <w:bottom w:w="28" w:type="dxa"/>
          <w:right w:w="28" w:type="dxa"/>
        </w:tblCellMar>
      </w:tblPr>
      <w:tblGrid>
        <w:gridCol w:w="1569"/>
        <w:gridCol w:w="1380"/>
        <w:gridCol w:w="1385"/>
        <w:gridCol w:w="289"/>
        <w:gridCol w:w="289"/>
        <w:gridCol w:w="291"/>
        <w:gridCol w:w="109"/>
        <w:gridCol w:w="109"/>
        <w:gridCol w:w="109"/>
        <w:gridCol w:w="211"/>
        <w:gridCol w:w="826"/>
        <w:gridCol w:w="271"/>
        <w:gridCol w:w="109"/>
        <w:gridCol w:w="109"/>
        <w:gridCol w:w="109"/>
        <w:gridCol w:w="289"/>
        <w:gridCol w:w="289"/>
        <w:gridCol w:w="291"/>
        <w:gridCol w:w="109"/>
        <w:gridCol w:w="109"/>
        <w:gridCol w:w="109"/>
        <w:gridCol w:w="211"/>
        <w:gridCol w:w="826"/>
        <w:gridCol w:w="316"/>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0"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Amount</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 originated</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loans sold</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sale price as a percent of principal balance</w:t>
            </w:r>
            <w:r>
              <w:rPr>
                <w:rFonts w:ascii="Times New Roman;sans-serif" w:hAnsi="Times New Roman;sans-serif"/>
                <w:b w:val="false"/>
                <w:color w:val="000000"/>
                <w:sz w:val="13"/>
              </w:rPr>
              <w:t>1</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Realized gains greater than 110.00% must be split 50/50 with the SBA in accordance with SBA regulations. The realized gains recognized above reflect amounts net of split with the SBA.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average sale price as a percent of principal balance was 109.73% compared to 109.46% for the prior period. The modest increase in sales prices in 2023 resulted from an improved yield profile of the SBA 7(a) loans in comparison to other short term government guaranteed investment alternatives. The reduction in overall net gains on sales of loans resulted from lower volumes of sales compared to the prior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wind-down of NSBF’s operations, NSBF will be required to continue to own its SBA 7(a) loans and PPP Loans in its SBA loan portfolio to maturity, liquidation, charge-off, or (subject to SBA’s prior written approval), sale or transfer. In addition, SBL will continue to service and liquidate NSBF’s SBA Loan Portfolio, including processing forgiveness and loan reviews for PPP Loans, pursuant to an SBA approved lender service provider agreement.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Gain (Loss) on Loans Accounted for Under the Fair Value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loans accounted for under the fair value option amounted to $2.8 million and $(3.9) million for the three months ended September 30, 2023 and 2022, respectively.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9"/>
        <w:gridCol w:w="1677"/>
        <w:gridCol w:w="1683"/>
        <w:gridCol w:w="369"/>
        <w:gridCol w:w="1084"/>
        <w:gridCol w:w="193"/>
        <w:gridCol w:w="109"/>
        <w:gridCol w:w="109"/>
        <w:gridCol w:w="109"/>
        <w:gridCol w:w="345"/>
        <w:gridCol w:w="1125"/>
        <w:gridCol w:w="177"/>
        <w:gridCol w:w="109"/>
        <w:gridCol w:w="109"/>
        <w:gridCol w:w="109"/>
        <w:gridCol w:w="211"/>
        <w:gridCol w:w="616"/>
        <w:gridCol w:w="162"/>
      </w:tblGrid>
      <w:tr>
        <w:trPr/>
        <w:tc>
          <w:tcPr>
            <w:tcW w:w="19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Change</w:t>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Loans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Loans</w:t>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504 and Non-SBA Loans</w:t>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 relates to guaranteed portions of SBA loans made which the Company sells into a secondary market. Unrealized appreciation of SBA guaranteed investments represents the fair value adjustment of guaranteed portions of loans which have not yet been sold. Unrealized depreciation represents the reversal of unrealized appreciation when the guaranteed portions of the SBA 7(a) loans are sold. The amount of the unrealized appreciation (depreciation) is determined by the quantity of guaranteed loans held for sale at quarter end as well as the change in secondary market pricing conditions. During the three months ended September 30, 2023, there was an increase in the gain-on-sale pricing as compared to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and IT Support Income and Electronic Payment Processing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other income for the three months ended September 30, 2023 includes technology and IT support as well as electronic payment processing income the Company generated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Noninterest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other income related primarily to legal, packaging, prepayment, and late fees earned from SBA 7(a) loans. The increase was related to an increase in legal, prepayment and packaging fees earned as a result of the higher volume of SBA 7(a) loans originated of 515 loans compared to 355 loans for the three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1"/>
        <w:gridCol w:w="1104"/>
        <w:gridCol w:w="1107"/>
        <w:gridCol w:w="288"/>
        <w:gridCol w:w="987"/>
        <w:gridCol w:w="148"/>
        <w:gridCol w:w="148"/>
        <w:gridCol w:w="148"/>
        <w:gridCol w:w="148"/>
        <w:gridCol w:w="288"/>
        <w:gridCol w:w="987"/>
        <w:gridCol w:w="148"/>
        <w:gridCol w:w="109"/>
        <w:gridCol w:w="109"/>
        <w:gridCol w:w="109"/>
        <w:gridCol w:w="286"/>
        <w:gridCol w:w="980"/>
        <w:gridCol w:w="148"/>
        <w:gridCol w:w="148"/>
        <w:gridCol w:w="148"/>
        <w:gridCol w:w="148"/>
        <w:gridCol w:w="383"/>
        <w:gridCol w:w="383"/>
        <w:gridCol w:w="462"/>
      </w:tblGrid>
      <w:tr>
        <w:trPr/>
        <w:tc>
          <w:tcPr>
            <w:tcW w:w="129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3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salaries and benefits was primarily attributable to the change in reporting associated with the Acquisition and the withdrawal of the election for the Company to be treated as a BDC on January 6, 2023. As such, the salaries and benefits of entities that were not previously consolidated are now included in the Company’s expense for the three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Services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noninterest expense for the three months ended September 30, 2023 includes technology services expenses the Company incurred in the ordinary course of business. Expenses for the three months ended September 30, 2023 consists of expenses associated with web hosting and IT support of $2.7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Electronic Payment Processing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noninterest expense for the three months ended September 30, 2023 includes electronic payment processing expenses the Company incurred in the ordinary course of business. Expenses for the three months ended September 30, 2023 consists of electronic payment processing costs of $4.8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Professional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professional fees period over period is attributable to the addition of the newly consolidated subsidiaries and entities due to the withdrawal of the election to be treated as a BDC, which amounted to $1.3 million for the three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Origination and Loan Processing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and loan processing expenses during the three months ended September 30, 2023 was $3.4 million compared to $8.3 million for the three months ended September 30, 2023. The change was due to the consolidation of the affiliated servicing company during the year, resulting in the elimination of the intercompany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General and Administrative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other general and administrative costs of $2.5 million is primarily due to the Acquisition, as $3.4 million in additional expense is included in the current quarter from the additional entities now being consolidated after the withdrawal of the BDC election, partially offset by the elimination of intercompany expenses between the newly consolidated entities and those previously reported as a BDC.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Segment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reportable segments Banking, Technology, NSBF, and Payments. A description of each segment and the methodologies used to measure financial performance is described in NOTE 20—SEGMENTS in the accompanying Notes to the Unaudited Condensed Consolidated Financial Statements. Net income (loss) by operating segment is presented below:</w:t>
      </w:r>
    </w:p>
    <w:p>
      <w:pPr>
        <w:pStyle w:val="TextBody"/>
        <w:bidi w:val="0"/>
        <w:spacing w:before="0" w:after="0"/>
        <w:jc w:val="left"/>
        <w:rPr/>
      </w:pPr>
      <w:r>
        <w:rPr/>
      </w:r>
    </w:p>
    <w:tbl>
      <w:tblPr>
        <w:tblW w:w="6507"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863"/>
        <w:gridCol w:w="2522"/>
        <w:gridCol w:w="635"/>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The banking segment includes Newtek Bank as well as its consolidated subsidiary SBL. The financial results include the origination and servicing of SBA 504 loans, SBA 7(a) loans, C&amp;I loans, CRE loans and ABL loans. In addition, the bank offers depository services. The results include $5.1 million of net interest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Technology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The segment contributed $7.4 million of noninterest income and $6.6 million of noninterest expense. As a result of commitments made to the Federal Reserve, the Company will divest or otherwise terminate the activities conducted by EWS and NTS, including its subsidiary SIDCO, within two years of becoming a financial holding company, subject to any extension of the two-year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Relates to NSBF’s portfolio of SBA 7(a) loans held outside the bank. During the three months ended September 30, 2023, NSBF originated $2.8 million in SBA 7(a) loans. The results include $5.9 million of net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Payments includes POS and Mobil Money and contributed $4.0 million to consolidated net income. Within those results are $12.2 million of noninterest income resulting from marketing credit and debit card processing services, check approval services, processing equipment, and software. The net income also included $7.8 million of noninterest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xml:space="preserve">- Represents operations not considered to be reportable segments and/or general operating expenses of the Company, and includes the parent company, other non-bank subsidiaries including Newtek Insurance and Newtek Payroll, non-bank lending including our joint ventures, and elimination adjustments to reconcile the results of the operating segments to the unaudited condensed consolidated financial statements prepared in conformity with GAAP.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and capital resources are derived from our Capital One Facility, Notes payable - related parties, 2024 Notes, 2025 5.00% Notes, 2025 8.125% Notes, 2026 Notes, 2028 Notes, securitization transactions and cash flows from operations, including investment sales and repayments, and income earned. In the nine months ended September 30, 2023, our primary use of funds from operations included originations of loans and payments of fees and other operating expenses we incurred. We may raise additional equity or debt capital through both registered offerings off a shelf registration, including “at-the-market”, or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Public Offerings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ATM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2020, the Company entered into the 2020 ATM Equity Distribution Agreement. On July 20, 2022, the Company entered into Amendment No. 1 to the 2020 ATM Equity Distribution Agreement. The 2020 ATM Equity Distribution Agreement, as amended, provided that the Company could offer and sell up to 6,400,000 shares of common stock from time to time through the placement agents. From inception through December 31, 2022, we sold 3,069,754 shares of our common stock at a weighted average price of $23.02 per share. Proceeds, net of offering costs and expenses were $70.6 million. The Company paid the placement agents $1.4 million in compensation. The ATM program was suspended as of January 6, 2023. On January 27, 2023, the Company submitted a Form S-3 with the SEC in order to commence the process of re-establishing an effective shelf registration statement. The registration statement on Form S-3 was declared effective by the SEC on July 27, 2023. The Company may, subject to market conditions, re-engage in an equity ATM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2028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Company intends to use the net proceeds from the sale of the Notes for general corporate purposes. The 2028 Notes bear interest at a rate of 8.00% per year payable quarterly on March 1, June 1, September 1 and December 1 of each year, commencing on December 1, 2023, and trade on the Nasdaq Global Market under the trading symbol “NEWTI.” At September 30, 2023, the Company was in compliance with all covenants related to the 2028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February 1, 2026 and may be redeemed in whole or in part at any time or from time to time at the Company’s option on or after February 1, 2022, upon not less than 30 days nor more than 60 days written notice by mail prior to the date fixed for redemption thereof, at a redemption price equal to the following amounts, plus accrued and unpaid interest to, but excluding, the redemption date: (1) 100% of the principal amount of the 2026 Notes to be redeemed plus (2) the sum of the present value of the scheduled payments of interest (exclusive of accrued and unpaid interest to the date of redemption) on the 2026 Notes to be redeemed from the redemption date until February 1, 2023, discounted to the redemption date on a semi-annual basis (assuming a 360-day year consisting of twelve 30-day months) using the applicable Treasury Rate plus 50 basis points; provided, however, that if the Company redeems any 2026 Notes on or after February 1, 2023 (the date falling three years prior to the maturity date of the 2026 Notes), the redemption price for the 2026 Notes will be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September 30, 2023, the Company was in compliance with all covenants related to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2024 Notes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The 2024 Notes are the Company’s direct unsecured obligations and rank: (i) </w:t>
      </w:r>
      <w:r>
        <w:rPr>
          <w:rFonts w:ascii="Times New Roman;sans-serif" w:hAnsi="Times New Roman;sans-serif"/>
          <w:b w:val="false"/>
          <w:i/>
          <w:color w:val="000000"/>
          <w:sz w:val="20"/>
        </w:rPr>
        <w:t>pari passu</w:t>
      </w:r>
      <w:r>
        <w:rPr>
          <w:color w:val="000000"/>
        </w:rPr>
        <w:t> </w:t>
      </w:r>
      <w:r>
        <w:rPr>
          <w:rFonts w:ascii="Times New Roman;sans-serif" w:hAnsi="Times New Roman;sans-serif"/>
          <w:b w:val="false"/>
          <w:color w:val="000000"/>
          <w:sz w:val="20"/>
        </w:rPr>
        <w:t>with the Company’s other outstanding and future unsecured indebtedness; (ii) senior to any of the Company’s future indebtedness that expressly provides it is subordinated to the 2024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2024 Notes will mature on August 1, 2024 and may be redeemed in whole or in part at the Company’s option at any time or from time to time on or after August 1, 2021, at a redemption price of 100% of the outstanding principal amount thereof plus accrued and unpaid interest payments otherwise payable for the then-current quarterly interest period accrued to but not including the date fixed for redemption. The 2024 Notes bear interest at a rate of 5.75% per year payable quarterly on February 1, May 1, August 1, and November 1 of each year, commencing on November 1, 2019, and trade on the Nasdaq Global Market under the trading symbol “NEWTL.” At September 30, 2023, the Company was in compliance with all covenants related to the 2024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As of September 30, 2023, the outstanding principal balance of the 2024 Notes was $38.25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Each supplemental indenture (except for the Tenth Supplemental Indenture)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Notes and the Trustee if the Company should no longer be subject to the reporting requirements under the Exchange Act. These covenants are subject to important limitations and exceptions that are described in the Base Indenture, as supplemented by each supplemental indenture thereto. These covenants currently apply to the 2024 and 2026 Notes. At September 30, 2023, the Company was in compliance with all covenants related to the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2025 Notes (Private Placement)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 </w:t>
      </w:r>
    </w:p>
    <w:p>
      <w:pPr>
        <w:pStyle w:val="TextBody"/>
        <w:bidi w:val="0"/>
        <w:spacing w:before="0" w:after="0"/>
        <w:jc w:val="both"/>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Company intends to use the net proceeds from the sale of the notes to fund investments in debt and equity in accordance with its investment objectives and strategies. The 2025 5.00% Notes are the Company’s direct unsecured obligations and rank: (i)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Company intends to use the net proceeds from the sale of the Notes for general corporate purposes, including payment of expenses incurred in connection with the issuance of the notes and other working capital purposes. The Notes will mature on February 1, 2025. The Notes bear interest at a rate of 8.125% per year payable semiannually on February 1 and August 1 each year, commencing on August 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 One Facility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2017, NSBF amended its Capital One facility to increase the facility from $50.0 million to $100.0 million and reduce the interest rate. The facility was amended again in June 2018 and the portion of the facility collateralized by the government guaranteed portion of SBA 7(a) loans, was reduced to Prime minus 0.75% (previously Prime minus 0.25%). The interest rate on the portion of the facility, collateralized by the non-guaranteed portion of SBA 7(a) loans, was reduced to Prime plus 0.25% (previously Prime plus 0.75%). The facility provides for a 55% advance rate on the non-guaranteed portions of the SBA 7(a) loans NSBF originates, and a 90% advance rate on the guaranteed portions of SBA 7(a) loans NSBF originates. In addition, the amendment extended the date on which the facility will convert to a term loan from May 16, 2017 to May 11, 2020 and extended the maturity date of the facility to May 11, 2022. In June 2019, the facility was increased from $100.0 million to $150.0 million. On May 7, 2020, NSBF amended its existing line of credit with Capital One to, among other things, extend the maturity date on which the credit facility will convert into a term loan for a period of three years to May 7, 2023, with the term loan maturing on May 7, 2025. On February 28, 2023, NSBF entered into a Limited Waiver Agreement with the lenders under the Capital One facility pursuant to which the lenders waived the event of default under the facility relating to NSBF’s net income for the quarter ended on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was $3.6 million and $2.2 million outstanding under the guaranteed and unguaranteed lines of credit, respectively. At September 30, 2023, we were in full compliance with all applicable loan covenants. On October 2, 2023, the Company paid off and terminated the Capital One facility for both guaranteed and unguaranteed loans. Refer to NOTE 21—SUBSEQUENT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Securitization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LIBOR plus 1.92% across both classes. Generally, in the event that the one-month LIBOR or Prime Rate becomes unavailable or otherwise unpublished, NSBF will select as a replacement a comparable alternative in accordance with the terms of the 2021-1 securitization transaction documents.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LIBOR plus 1.83% across both classes. Generally, in the event that the one-month LIBOR or Prime Rate becomes unavailable or otherwise unpublished, NSBF will select as a replacement a comparable alternative in accordance with the terms of the 2019-1 securitization transaction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Generally, in the event that the one-month LIBOR or Prime Rate becomes unavailable or otherwise unpublished, NSBF will select as a replacement a comparable alternative index over which it has no direct control and which is readily verifiable, in accordance with the terms of the 2018-1 securitization transaction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The Class A and Class B notes bear interest at a rate of 1 month LIBOR plus 2.0% and 3.0%, respectively. Generally, in the event that the one-month LIBOR or Prime Rate becomes unavailable or otherwise unpublished, NSBF will select as a replacement a comparable alternative index over which it has no direct control and which is readily verifiable, in accordance with the terms of the 2017-1 securitization transaction documents.. On February 27, 2023, the 2017-1 Trust was terminated as a result of NSBF purchasing the 2017-1 Trust assets, with the 2017-1 Trust’s noteholders receiving the redemption price.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and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Company’s unused sources of liquidity consisted of $137.3 million of interest bearing deposits in banks, $52.1 million available through undrawn availability in revolvers and credit facilities; and $15.6 million in unrestricted cash.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of $70.7 million as of September 30, 2023 is primarily held by NSBF. The majority, or $53.9 million of restricted cash, includes reserves in the event payments are insufficient to cover interest and/or principal with respect to securitizations and loan principal and interest collected which are due to loan participants.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generated and used cash as follows:</w:t>
      </w:r>
    </w:p>
    <w:tbl>
      <w:tblPr>
        <w:tblW w:w="10205" w:type="dxa"/>
        <w:jc w:val="left"/>
        <w:tblInd w:w="0" w:type="dxa"/>
        <w:tblLayout w:type="fixed"/>
        <w:tblCellMar>
          <w:top w:w="28" w:type="dxa"/>
          <w:left w:w="28" w:type="dxa"/>
          <w:bottom w:w="28" w:type="dxa"/>
          <w:right w:w="28" w:type="dxa"/>
        </w:tblCellMar>
      </w:tblPr>
      <w:tblGrid>
        <w:gridCol w:w="1557"/>
        <w:gridCol w:w="1334"/>
        <w:gridCol w:w="1339"/>
        <w:gridCol w:w="484"/>
        <w:gridCol w:w="2065"/>
        <w:gridCol w:w="249"/>
        <w:gridCol w:w="109"/>
        <w:gridCol w:w="109"/>
        <w:gridCol w:w="109"/>
        <w:gridCol w:w="474"/>
        <w:gridCol w:w="2023"/>
        <w:gridCol w:w="353"/>
      </w:tblGrid>
      <w:tr>
        <w:trPr/>
        <w:tc>
          <w:tcPr>
            <w:tcW w:w="155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(116,690)</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(127,593)</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315,488 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restricted cash</w:t>
            </w:r>
          </w:p>
        </w:tc>
        <w:tc>
          <w:tcPr>
            <w:tcW w:w="2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75,781 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(104,728)</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cash—beginning of period (Note 2)</w:t>
            </w:r>
          </w:p>
        </w:tc>
        <w:tc>
          <w:tcPr>
            <w:tcW w:w="2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cash from controlled investments</w:t>
            </w:r>
          </w:p>
        </w:tc>
        <w:tc>
          <w:tcPr>
            <w:tcW w:w="2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cash—end of period (Note 2)</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223,693 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82,132 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operating activities used cash of $116.7 million, consisting primarily of (i) $533.0 million of loans held for sale; (ii) a $14.4 million decrease in due to participants which arises when loan payments are received in the current period but not processed in time to have funds remitted to the participant during the current period; the amount varies depending on payment volume and timing at quarter end; (iii) a $64.0 million increase in broker receivables which arise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and (iv) $14.6 million in contributions to non-consolidating joint ventures. These uses of cash were offset by (i) $533.1 million of proceeds from the sale of loans and (ii) $8.2 million of principal payments received from loans held for sale.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investing activities primarily comprised $28.1 million used to purchase available-for-sale securities and $116.0 million in the net increase in loans held for investment, at cost, partially offset by a $12.3 million in the net decrease in loans held for investment, at fair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$315.5 million consisting primarily of a (i) $19.5 million issuance of preferred stock, (ii) $295.5 million net increase in deposits; (iii) $103.9 million of issuances of securitization trusts; (iv) $50.0 million of issuances of the 2025 8.125% Notes and (v) $40.0 million of issuances of the 2028 8.00% Notes. These sources of cash were offset by (i) $68.9 million of principal payments related to securitization notes payable and $105.7 million of net payments under our bank notes payable.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association with the Acquisition of NBNYC on January 6, 2023 and subsequent election to withdraw the Company’s status as a BDC, the newly consolidated entities’ cash was added to the balance sheet of the Company for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obligations and commitments as of September 30, 2023:</w:t>
      </w:r>
    </w:p>
    <w:tbl>
      <w:tblPr>
        <w:tblW w:w="10765" w:type="dxa"/>
        <w:jc w:val="center"/>
        <w:tblInd w:w="0" w:type="dxa"/>
        <w:tblLayout w:type="fixed"/>
        <w:tblCellMar>
          <w:top w:w="28" w:type="dxa"/>
          <w:left w:w="28" w:type="dxa"/>
          <w:bottom w:w="28" w:type="dxa"/>
          <w:right w:w="28" w:type="dxa"/>
        </w:tblCellMar>
      </w:tblPr>
      <w:tblGrid>
        <w:gridCol w:w="619"/>
        <w:gridCol w:w="320"/>
        <w:gridCol w:w="322"/>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notes payable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Securitization notes payable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Notes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2026 Notes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115,000 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2028 Notes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Amounts represent principal only and are not shown net of unamortized debt issuance costs. See NOTE 11—BORROWINGS.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maintenance of appropriate levels of capital is a management priority and is monitored on a regular basis. The Company’s principal goals related to the maintenance of capital are the following: to provide adequate capital to support the Company’s risk profile consistent with the risk appetite approved by the Board of Directors; to provide financial flexibility to support future growth and client needs; comply with relevant laws, regulations, and supervisory guidance; to achieve optimal ratings for the Company and its subsidiaries; and to provide a competitive return to shareholders. Management regularly monitors the capital position of the Company on both a consolidated and bank level basis. Risk-based capital ratios, which include Tier 1 Capital, Total Capital and Common Equity Tier 1 Capital, are calculated based on regulatory guidance related to the measurement of capital and risk-weighted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amounts and ratios for NewtekOne, Inc. as of September 30, 2023 are presented in the table below:</w:t>
      </w:r>
    </w:p>
    <w:tbl>
      <w:tblPr>
        <w:tblW w:w="10205" w:type="dxa"/>
        <w:jc w:val="left"/>
        <w:tblInd w:w="0" w:type="dxa"/>
        <w:tblLayout w:type="fixed"/>
        <w:tblCellMar>
          <w:top w:w="28" w:type="dxa"/>
          <w:left w:w="28" w:type="dxa"/>
          <w:bottom w:w="28" w:type="dxa"/>
          <w:right w:w="28" w:type="dxa"/>
        </w:tblCellMar>
      </w:tblPr>
      <w:tblGrid>
        <w:gridCol w:w="1050"/>
        <w:gridCol w:w="818"/>
        <w:gridCol w:w="823"/>
        <w:gridCol w:w="211"/>
        <w:gridCol w:w="826"/>
        <w:gridCol w:w="109"/>
        <w:gridCol w:w="109"/>
        <w:gridCol w:w="109"/>
        <w:gridCol w:w="109"/>
        <w:gridCol w:w="255"/>
        <w:gridCol w:w="256"/>
        <w:gridCol w:w="285"/>
        <w:gridCol w:w="109"/>
        <w:gridCol w:w="109"/>
        <w:gridCol w:w="109"/>
        <w:gridCol w:w="244"/>
        <w:gridCol w:w="835"/>
        <w:gridCol w:w="126"/>
        <w:gridCol w:w="126"/>
        <w:gridCol w:w="126"/>
        <w:gridCol w:w="126"/>
        <w:gridCol w:w="221"/>
        <w:gridCol w:w="185"/>
        <w:gridCol w:w="314"/>
        <w:gridCol w:w="109"/>
        <w:gridCol w:w="109"/>
        <w:gridCol w:w="109"/>
        <w:gridCol w:w="312"/>
        <w:gridCol w:w="271"/>
        <w:gridCol w:w="224"/>
        <w:gridCol w:w="224"/>
        <w:gridCol w:w="224"/>
        <w:gridCol w:w="224"/>
        <w:gridCol w:w="256"/>
        <w:gridCol w:w="224"/>
        <w:gridCol w:w="329"/>
      </w:tblGrid>
      <w:tr>
        <w:trPr/>
        <w:tc>
          <w:tcPr>
            <w:tcW w:w="10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For Capital Adequacy Purposes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Consideration as Well-Capitalized</w:t>
            </w:r>
          </w:p>
        </w:tc>
      </w:tr>
      <w:tr>
        <w:trPr/>
        <w:tc>
          <w:tcPr>
            <w:tcW w:w="2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NewtekOne, Inc. - September 30, 2023</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Average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Exclusive of the capital conservation buffer of 2.5% of risk-weighted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amounts and ratios for Newtek Bank as of September 30, 2023 are presented in the table below. As of September 30, 2023, Newtek Bank was categorized as “well-capitalized” under the prompt corrective action measures and met the capital conservation buffer requirements.</w:t>
      </w:r>
    </w:p>
    <w:tbl>
      <w:tblPr>
        <w:tblW w:w="10205" w:type="dxa"/>
        <w:jc w:val="left"/>
        <w:tblInd w:w="0" w:type="dxa"/>
        <w:tblLayout w:type="fixed"/>
        <w:tblCellMar>
          <w:top w:w="28" w:type="dxa"/>
          <w:left w:w="28" w:type="dxa"/>
          <w:bottom w:w="28" w:type="dxa"/>
          <w:right w:w="28" w:type="dxa"/>
        </w:tblCellMar>
      </w:tblPr>
      <w:tblGrid>
        <w:gridCol w:w="1000"/>
        <w:gridCol w:w="763"/>
        <w:gridCol w:w="767"/>
        <w:gridCol w:w="211"/>
        <w:gridCol w:w="721"/>
        <w:gridCol w:w="109"/>
        <w:gridCol w:w="109"/>
        <w:gridCol w:w="109"/>
        <w:gridCol w:w="109"/>
        <w:gridCol w:w="255"/>
        <w:gridCol w:w="256"/>
        <w:gridCol w:w="285"/>
        <w:gridCol w:w="109"/>
        <w:gridCol w:w="109"/>
        <w:gridCol w:w="109"/>
        <w:gridCol w:w="240"/>
        <w:gridCol w:w="822"/>
        <w:gridCol w:w="124"/>
        <w:gridCol w:w="124"/>
        <w:gridCol w:w="124"/>
        <w:gridCol w:w="124"/>
        <w:gridCol w:w="221"/>
        <w:gridCol w:w="185"/>
        <w:gridCol w:w="308"/>
        <w:gridCol w:w="109"/>
        <w:gridCol w:w="109"/>
        <w:gridCol w:w="109"/>
        <w:gridCol w:w="259"/>
        <w:gridCol w:w="886"/>
        <w:gridCol w:w="133"/>
        <w:gridCol w:w="133"/>
        <w:gridCol w:w="133"/>
        <w:gridCol w:w="133"/>
        <w:gridCol w:w="278"/>
        <w:gridCol w:w="233"/>
        <w:gridCol w:w="397"/>
      </w:tblGrid>
      <w:tr>
        <w:trPr/>
        <w:tc>
          <w:tcPr>
            <w:tcW w:w="100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For Capital Adequacy Purposes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Consideration as Well-Capitalized</w:t>
            </w:r>
          </w:p>
        </w:tc>
      </w:tr>
      <w:tr>
        <w:trPr/>
        <w:tc>
          <w:tcPr>
            <w:tcW w:w="2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Newtek Bank - September 30,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Average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Exclusive of the capital conservation buffer of 2.5% of risk-weighted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we valued instruments for which market quotations are readily available at their market quotations. However, a readily available market value did not exist for many of the instruments in our portfolio, and we valued these instruments at fair value as determined in good faith by our management under our valuation policy and process. We may have sought pricing information with respect to certain of our instruments from pricing services or brokers or dealers in order to value such instruments. We also employed independent third party valuation firms for certain of our instruments for which there is not a readily available market value.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our instruments that do not have a readily available market value, the fair value of the instruments may differ significantly from the values that would have been used had a readily available market value existed for such instruments and may differ materially from values that may ultimately be received or settled.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gives the highest priority (Level 1) to quoted prices in active markets for identical assets or liabilities and gives the lowest priority to unobservable inputs (Level 3). The levels of the fair value hierarchy are as follows:</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671"/>
        <w:gridCol w:w="2671"/>
        <w:gridCol w:w="378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derivative contracts and loans held-for-sale.</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assets, warrant liabilities, joint ventures, guaranteed loans held at fair value, and highly structured or long-term derivative contracts.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subject to market risk. Market risk is the potential for changes in the value due to market changes. Market risk is directly impacted by the volatility and liquidity in the markets in which the investments are traded.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market environment and other events that may occur over the lives of the investments may cause the gains or losses ultimately realized on these investments to be materially different than the valuations currently assigned. For the fiscal year ended December 31, 2022, we determined the fair value of each individual investment and recorded changes in fair value as unrealized appreciation or depreciation. For the fiscal year ended December 31, 2022, our investment portfolio is carried on the consolidated statements of assets and liabilities at fair value with any adjustments to fair value recognized as "Net unrealized appreciation (depreciation)" on the consolidated statements of operations until the investment is realized, usually upon exit, resulting in any gain or loss being recognized as a "Net realized gains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portfolio as of September 30, 2023 and December 31, 2022 approximates fair value as of those dates based on the markets in which we operate and other conditions in existence on those reporting dates.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reports both realized and unrealized gains and losses relating to the fair value adjustments on the legacy NSBF SBA 7(a)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allowance for credit losses consists of the allowance for credit losses and the reserve for unfunded commitments. As a result of the Company’s Acquisition the adoption of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Servicing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the Company accounted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Recognition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PPP that began in the second quarter of 2020, the SBA reimbursed the Company for originating loans. Such SBA reimbursements are included as interest income on PPP loans. Such fees are accounted for under ASC-310 Receivables and deferred until the loan was sold to one of our Participants. Income earned in connection with the PPP should not be viewed as recurring. NSBF funded the balance of its PPP loans by the end of July 2021. NSBF has redeployed the resources used to generate PPP loans to the origination of SBA 7(a)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we received a variety of fees from borrowers in the ordinary course of conducting our business, including packaging fees, legal fees, late fees and prepayment fees. All other income was recorded when earned.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2023, distributions of earnings from our joint ventures were evaluated to determine if the distribution is income, return of capital or realized gain.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Following our conversion to a financial holding company, we generate income in the form of interest, servicing and other fee income on the loans we and Newtek Bank originate. In addition, our portfolio companies have become consolidating subsidiaries of NewtekOne in 2023 and therefore, under the new organizational structure, their income is consolidated within the statement of operations going forward along with our joint ventures. With the inclusion of NMS, NIA, PMT, and NTS, we anticipate reporting Technology and IT Support Income and Electronic Payment Processing Income, as well as insurance commissions income and payroll processing income within Other Noninterest Income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computed based upon the differences between the financial statement and income tax basis of assets and liabilities using the enacted tax rates in effect for the year. These differences stem from net unrealized gains and losses generated by the Company, on the book value of intangible assets held by the Company, and on the total NOL balance carried forward from prior years. If available evidence suggests that it is more likely than not that some portion or all of the deferred tax assets or liabilities will not be realized, a valuation allowance is required to reduce the deferred tax assets or liabilities to the amount that is more likely than not to be realized. Such deferred tax liabilities recorded on the statement of financial condition were a deferred tax asset, net of $8.7 million at September 30, 2023 and a deferred tax liability, net of $19.2 million at December 31, 2022, respectively. The change in deferred tax assets and liabilities is included as a component of income tax expense (benefit) in the consolidated statements of operations as a financial holding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and state income tax returns prior to fiscal year 2019 are generally closed, and management continually evaluates expiring statutes of limitations, audits, proposed settlements, changes in tax law and new authoritative rulings.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and 2022, no U.S. federal excise taxes were due.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Formerly, as a RIC ending with the Company’s December 31, 2022 fiscal year end, the Company was not subject to corporate level income tax. Beginning with the January 1, 2023 fiscal year, the Company no longer qualifies as a RIC and will be subject to corporate level income tax. See NOTE 19—INCOME TAXES</w:t>
      </w:r>
      <w:r>
        <w:rPr>
          <w:rFonts w:ascii="Times New Roman;sans-serif" w:hAnsi="Times New Roman;sans-serif"/>
          <w:b/>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Beginning in 2023, the Company applies accounting standards applicable to our current status as a financial holding company.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FASB issued ASU No. 2022-03, “Fair Value Measurement (Topic 820),” which clarifies the guidance in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does not expect any material impact from adopting ASU No. 2022-03 on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off balance sheet arrangements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 2023, the Company paid off and terminated NSBF’s Capital One line of credit for both guaranteed and unguaranteed SBA 7(a) loans. The Company recognized $0.3 million of loss on extinguishment of debt in association with the payoff and termination.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the Company issued a 30-day notice of it’s termination of the DRIP.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the principal types of risk in our investing activities to be fluctuations in interest rates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 primarily lends, and Newtek Bank will primarily lend, at an interest rate of prime, which resets on a calendar quarterly basis, plus a fixed margin. The Capital One revolver lines are on a prime plus or minus a fixed factor basis and the securitization notes are at prime or 1 month LIBOR, plus a fixed margin, whichever is less. As a result, the Company believes it has matched its cost of funds to its interest income in its financing activities. However, because of the differential between the amount lent and the smaller amount financed, a significant change in market interest rates will have a material effect on our income. In periods of sharply rising interest rates, our cost of funds will increase at a slower rate than the interest income earned on the loans we have originated; this should improve our net investment income, holding all other factors constant. However, a reduction in interest rates will result in the Company experiencing a reduction in investment income; that is, its interest income will decline more quickly than interest expense resulting in a net reduction of benefit to investment income. On June 30, 2022, SBA published final rules, effective August 1, 2022, revising various regulations governing the SBA’s business loan programs. As part of these rule changes, the SBA amended 13 CFR 1201.214(d), to require the use of loan amounts as the basis upon which the variable interest rate is set on SBA 7(a) loans, instead of loan maturities. To implement this change, SBA revised 13 CFR 1201.214(d) to reflect the maximum variable interest rates for all SBA 7(a) loans, as follows: (1) For all 7(a) loans of $50,000 and less, the interest rate shall not exceed six and a half (6.5) percentage points over the base rate; (2) For all 7(a) loans of more than $50,000 and up to and including $250,000, the maximum interest rate shall not exceed six (6.0) percentage points over the base rate; (3) For all 7(a) loans of more than $250,000 and up to and including $350,000, the maximum interest rate shall not exceed four and a half (4.5) percentage points over the base rate; and (4) For all 7(a) loans of more than $350,000, the maximum interest rate shall not exceed three (3.0) percentage points over the base rate. The Company is evaluating these rule changes and the potential impacts.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NewtekOne depends on the availability of secondary market purchasers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could negatively impact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invested cash (includes cash and cash equivalents and restricted cash) of approximately $223.7 million is subject to changes in the Federal Funds rate set by the Federal Open Market Committee. We do not purchase or hold derivative financial instruments for trading purposes. All of our transactions are conducted in U.S. dollars and we do not have any foreign currency or foreign exchange risk. We do not trade commodities or have any commodity price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placed our demand deposits, cash investments and their equivalents with high credit-quality financial institutions. As of September 30, 2023, cash deposits in excess of insured amounts totaled approximately $63.4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Management of interest rate risk is carried out primarily through strategies involving available-for-sale securities, loan and lease portfolio, and available funding 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Changes in EVE and NII. The table below sets forth, as of September 30, 2023,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tbl>
      <w:tblPr>
        <w:tblW w:w="10205" w:type="dxa"/>
        <w:jc w:val="center"/>
        <w:tblInd w:w="0" w:type="dxa"/>
        <w:tblLayout w:type="fixed"/>
        <w:tblCellMar>
          <w:top w:w="28" w:type="dxa"/>
          <w:left w:w="28" w:type="dxa"/>
          <w:bottom w:w="28" w:type="dxa"/>
          <w:right w:w="28" w:type="dxa"/>
        </w:tblCellMar>
      </w:tblPr>
      <w:tblGrid>
        <w:gridCol w:w="605"/>
        <w:gridCol w:w="531"/>
        <w:gridCol w:w="534"/>
        <w:gridCol w:w="109"/>
        <w:gridCol w:w="109"/>
        <w:gridCol w:w="109"/>
        <w:gridCol w:w="833"/>
        <w:gridCol w:w="808"/>
        <w:gridCol w:w="741"/>
        <w:gridCol w:w="313"/>
        <w:gridCol w:w="313"/>
        <w:gridCol w:w="313"/>
        <w:gridCol w:w="833"/>
        <w:gridCol w:w="808"/>
        <w:gridCol w:w="741"/>
        <w:gridCol w:w="109"/>
        <w:gridCol w:w="109"/>
        <w:gridCol w:w="109"/>
        <w:gridCol w:w="636"/>
        <w:gridCol w:w="636"/>
        <w:gridCol w:w="906"/>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Basis Point ("bp") 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Increase/Decrease in 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Percentage Change in EVE</w:t>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 Months Beginning September 30, 2023</w:t>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 Months Beginning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of September 30, 2023</w:t>
            </w:r>
          </w:p>
        </w:tc>
      </w:tr>
      <w:tr>
        <w:trPr/>
        <w:tc>
          <w:tcPr>
            <w:tcW w:w="1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EVE analysis shows that the Company would theoretically modestly lose market value in a rising rate environment. The EVE change results from asset sensitivity in the servicing asset and the fixed-rate loan portfolio in a rising rate scenario.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end of the period covered by this report), we, including our Chief Executive Officer and Chief Accounting Officer, evaluated the effectiveness of the design and operation of our disclosure controls and procedures (as defined in Rule 13a-15(e) of the Exchange Act). Based on that evaluation, our management, including our Chief Executive Officer and Chief Accounting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Accounting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Changes in Internal Controls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not been any change in our internal controls over financial reporting (as defined in Rule 13a-15(f) under the Exchange Act) that occurred during the period covered by this report that has materially affected, or is reasonably likely to materially affect, our internal controls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13—COMMITMENTS AND CONTINGENCIES” within the accompanying Notes to the Unaudited Condensed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As of September 30, 2023, the Company had accrued a reserve of $0.5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a litigation brought by the Federal Trade Commission (the “FTC”) in October 2012, NMS voluntarily entered into, and is presently operating under, a permanent injunction with respect to certain of its business practices.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Part I, “Item 1A. Risk Factors” in our Annual Report on Form 10-K for the fiscal year ended December 31, 2022, filed on March 15, 2023 and in Part II, “Item 1A. Risk Factors” in our Quarterly Report on Form 10-Q for the quarterly period ended June 30, 2023, filed on August 7 ,2023, which could materially affect our business, financial condition and/or operating results. The risks described in our Annual Report on Form 10-K and in our Quarterly Reports on Form 10-Q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2022 except as set forth below and in our Quarterly Report on Form 10-Q for the quarterly period ended June 30, 2023:</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to the SBA Section 7(a) Program can negatively impact our SBA 7(a) loan origination volume.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SBA Section 7 (a) Program, including recent revisions to SBA Standard Operating Procedure SOP 50 10 7.1 (“SOP 7.1”), shifted to the SBA a PLP lender’s delegated authority in making determinations of a borrower’s satisfaction of certain eligibility requirements to participate in the Section 7(a) Program. Potential impacts of the SOP 7.1 revisions remain unclear, including the SBA’s ability to demonstrate that it can timely and appropriately make these eligibility determinations; and therefore, there can be no assurance that these and future SOP revisions will not negatively impact, among other things, the volume of SBA 7(a) loans originated by PLP lenders, including Newtek Bank, which could have an adverse impact on the Company’s business, financial condition and/or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issued shares of common stock that are not subject to the registration requirements of the Securities Act in connection with the DRIP. During the nine months ended September 30, 2023 and September 30, 2022, we issued 15,700 and 50,500 shares of common stock, respectively, valued at $0.2 million and $0.9 million, respectively to shareholders in connection with the DRIP.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and September 30, 2022 we issued 5,500 and 20,900 shares valued at $0.1 million and $0.3 million, respectively to shareholders in connection with the DRIP.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the Company provided 30 days’ notice of the termination of the DRIP.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issue shares of common stock that are not subject to the registration requirements of the Securities Act in connection with dividends on unvested restricted stock awards. During the three months ended September 30, 2023 and September 30, 2022, we issued an additional 4,700 and 21,670 shares, respectively, valued at $0.06 million and $0.4 million, respectively, related to dividends on unvested restricted stock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July 5, 2023 (the “Grant Date”), the Compensation, Corporate Governance and Nominating Committee of the Board granted M. Scott Price, the Company’s Chief Financial Officer, a restricted stock award of 18,645 shares of the Company’s common stock (the “Restricted Stock Award”) pursuant to the 2023 Stock Incentive Plan. The Restricted Stock Award will fully vest 36 months from the first day after the Grant Date that is the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of a calendar month (i.e. July 15, 2023), subject to Mr. Price’s continuing employment with the Company. In the event that Mr. Price is terminated by the Company without cause, resigns for good reason or his employment terminates due to death or disability, pursuant to the terms of Mr. Price’s employment agreement with the Company, all of Mr. Price’s outstanding equity awards, including the Restricted Stock Award, would accelerate and vest in full.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description of Mr. Price’s Restricted Stock Award is not complete and is qualified in its entirety by reference to Mr. Price’s employment agreement (as amended by amendment No. 1 thereto), each of which is filed as Exhibits 10.1 and 10.2 to this Quarterly Report on Form 10-Q, and the Form of Restricted Stock Award Agreement pursuant to the 2023 Stock Incentive Plan, filed as Exhibit 10.3 to this Quarterly Report on Form 10-Q.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Trading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16, 2023, Salvatore Mulia, a Director of the Company, entered into a written plan for the sale of an aggregate 9,000 shares of common stock. The plan is intended to satisfy the affirmative defense conditions of Rule 10b5-1(c) under the Exchange Act. The plan commenced on September 21, 2023 and terminates on September 22,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73"/>
        <w:gridCol w:w="2636"/>
        <w:gridCol w:w="37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Articles of Incorporation of Newtek (Incorporate by reference to Exhibit A to Newtek’s Pre-Effective Amendment No. 3 to its Registration Statement on Form N-2, No. 333-191499, filed November 3, 2014.)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Bylaws of Newtek (Incorporated by reference to Exhibit 2 to Newtek’s Registration Statement on Form N-14, No. 333-195998, filed September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 xml:space="preserve">Articles of Amendment to the Amended and Restated Articles of Incorporation of NewtekOne, Inc. (Incorporated by reference to Exhibit 99.1 to Newtek’s Current Report on Form 8-K, filed January 17, 2023).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9">
              <w:r>
                <w:rPr>
                  <w:rStyle w:val="InternetLink"/>
                  <w:rFonts w:ascii="Times New Roman;sans-serif" w:hAnsi="Times New Roman;sans-serif"/>
                  <w:b w:val="false"/>
                  <w:color w:val="0000FF"/>
                  <w:sz w:val="20"/>
                  <w:u w:val="single"/>
                </w:rPr>
                <w:t>Amended Bylaws of NewtekOne, Inc. (Incorporated by reference to Exhibit 99.1 of Newtek’s Current Report on Form 8-K, filed January 24,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Articles Supplementary to the Amended and Restated Articles of Incorporation of NewtekOne, Inc (Incorporated by reference to Exhibit 3.1 to Newtek’s Current Report on Form 8-K filed February 7, 2023</w:t>
              </w:r>
            </w:hyperlink>
            <w:r>
              <w:rPr>
                <w:rFonts w:ascii="Times New Roman;sans-serif" w:hAnsi="Times New Roman;sans-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Investor Rights Agreement among Newtek, Patriot Financial Partners IV, L.P. and Patriot Financial Partners Parallel IV, L.P. dated as of February 3, 2023 (Incorporated by reference to Exhibit 10.1 to Newtek’s Current Report on Form 8-K filed February 7,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Registration Rights Agreement among Newtek, Patriot Financial Partners IV, L.P. and Patriot Financial Partners Parallel IV, L.P. dated as of February 3, 2023 (Incorporated by reference to Exhibit 10.2 to Newtek’s Current Report on Form 8-K filed February 7,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Base Indenture, dated as of August 31, 2023, between NewtekOne, Inc. and U.S. Bank Trust Company, National Association, as trustee (incorporated by reference to Exhibit 4.1 to NewtekOne, Inc.’s Form 8-K filed on August 31,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80"/>
                  <w:sz w:val="20"/>
                  <w:u w:val="single"/>
                </w:rPr>
                <w:t>4</w:t>
              </w:r>
            </w:hyperlink>
            <w:hyperlink r:id="rId19">
              <w:r>
                <w:rPr>
                  <w:rStyle w:val="InternetLink"/>
                  <w:rFonts w:ascii="Times New Roman;sans-serif" w:hAnsi="Times New Roman;sans-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First Supplemental Indenture, dated as of August 31, 2023, between NewtekOne, Inc. and U.S. Bank Trust Company, National Association, as trustee (incorporated by reference to Exhibit 4.2 to NewtekOne, Inc.’s Form 8-K filed on August 31,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80"/>
                  <w:sz w:val="20"/>
                  <w:u w:val="single"/>
                </w:rPr>
                <w:t>4</w:t>
              </w:r>
            </w:hyperlink>
            <w:hyperlink r:id="rId22">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8.00% Fixed Rate Senior Notes due 2028 (included in Exhibit 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riceemploymentagreemen.htm">
              <w:r>
                <w:rPr>
                  <w:rStyle w:val="InternetLink"/>
                  <w:rFonts w:ascii="Times New Roman;sans-serif" w:hAnsi="Times New Roman;sans-serif"/>
                  <w:b w:val="false"/>
                  <w:color w:val="000080"/>
                  <w:sz w:val="20"/>
                  <w:u w:val="single"/>
                </w:rPr>
                <w:t>1</w:t>
              </w:r>
            </w:hyperlink>
            <w:hyperlink w:anchor="spriceemploymentagreemen.htm">
              <w:r>
                <w:rPr>
                  <w:rStyle w:val="InternetLink"/>
                  <w:rFonts w:ascii="Times New Roman;sans-serif" w:hAnsi="Times New Roman;sans-serif"/>
                  <w:b w:val="false"/>
                  <w:color w:val="000080"/>
                  <w:sz w:val="20"/>
                  <w:u w:val="single"/>
                </w:rPr>
                <w:t>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riceemploymentagreemen.htm">
              <w:r>
                <w:rPr>
                  <w:rStyle w:val="InternetLink"/>
                  <w:rFonts w:ascii="Times New Roman;sans-serif" w:hAnsi="Times New Roman;sans-serif"/>
                  <w:b w:val="false"/>
                  <w:color w:val="000080"/>
                  <w:sz w:val="20"/>
                  <w:u w:val="single"/>
                </w:rPr>
                <w:t>Employment Agreement by and between Newtek</w:t>
              </w:r>
            </w:hyperlink>
            <w:hyperlink w:anchor="spriceemploymentagreemen.htm">
              <w:r>
                <w:rPr>
                  <w:rStyle w:val="InternetLink"/>
                  <w:rFonts w:ascii="Times New Roman;sans-serif" w:hAnsi="Times New Roman;sans-serif"/>
                  <w:b w:val="false"/>
                  <w:color w:val="000080"/>
                  <w:sz w:val="20"/>
                  <w:u w:val="single"/>
                </w:rPr>
                <w:t>One</w:t>
              </w:r>
            </w:hyperlink>
            <w:hyperlink w:anchor="spriceemploymentagreemen.htm">
              <w:r>
                <w:rPr>
                  <w:rStyle w:val="InternetLink"/>
                  <w:rFonts w:ascii="Times New Roman;sans-serif" w:hAnsi="Times New Roman;sans-serif"/>
                  <w:b w:val="false"/>
                  <w:color w:val="000080"/>
                  <w:sz w:val="20"/>
                  <w:u w:val="single"/>
                </w:rPr>
                <w:t>, Inc</w:t>
              </w:r>
            </w:hyperlink>
            <w:hyperlink w:anchor="spriceemploymentagreemen.htm">
              <w:r>
                <w:rPr>
                  <w:rStyle w:val="InternetLink"/>
                  <w:rFonts w:ascii="Times New Roman;sans-serif" w:hAnsi="Times New Roman;sans-serif"/>
                  <w:b w:val="false"/>
                  <w:color w:val="000080"/>
                  <w:sz w:val="20"/>
                  <w:u w:val="single"/>
                </w:rPr>
                <w:t>., Newtek Bank N.A., and M. Scott Price dated as of May 16, 2023,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ottprice-amendmenttoem.htm">
              <w:r>
                <w:rPr>
                  <w:rStyle w:val="InternetLink"/>
                  <w:rFonts w:ascii="Times New Roman;sans-serif" w:hAnsi="Times New Roman;sans-serif"/>
                  <w:b w:val="false"/>
                  <w:color w:val="000080"/>
                  <w:sz w:val="20"/>
                  <w:u w:val="single"/>
                </w:rPr>
                <w:t>1</w:t>
              </w:r>
            </w:hyperlink>
            <w:hyperlink w:anchor="scottprice-amendmenttoem.htm">
              <w:r>
                <w:rPr>
                  <w:rStyle w:val="InternetLink"/>
                  <w:rFonts w:ascii="Times New Roman;sans-serif" w:hAnsi="Times New Roman;sans-serif"/>
                  <w:b w:val="false"/>
                  <w:color w:val="000080"/>
                  <w:sz w:val="20"/>
                  <w:u w:val="single"/>
                </w:rPr>
                <w:t>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cottprice-amendmenttoem.htm">
              <w:r>
                <w:rPr>
                  <w:rStyle w:val="InternetLink"/>
                  <w:rFonts w:ascii="Times New Roman;sans-serif" w:hAnsi="Times New Roman;sans-serif"/>
                  <w:b w:val="false"/>
                  <w:color w:val="000080"/>
                  <w:sz w:val="20"/>
                  <w:u w:val="single"/>
                </w:rPr>
                <w:t xml:space="preserve">Amendment to </w:t>
              </w:r>
            </w:hyperlink>
            <w:hyperlink w:anchor="scottprice-amendmenttoem.htm">
              <w:r>
                <w:rPr>
                  <w:rStyle w:val="InternetLink"/>
                  <w:rFonts w:ascii="Times New Roman;sans-serif" w:hAnsi="Times New Roman;sans-serif"/>
                  <w:b w:val="false"/>
                  <w:color w:val="000080"/>
                  <w:sz w:val="20"/>
                  <w:u w:val="single"/>
                </w:rPr>
                <w:t>E</w:t>
              </w:r>
            </w:hyperlink>
            <w:hyperlink w:anchor="scottprice-amendmenttoem.htm">
              <w:r>
                <w:rPr>
                  <w:rStyle w:val="InternetLink"/>
                  <w:rFonts w:ascii="Times New Roman;sans-serif" w:hAnsi="Times New Roman;sans-serif"/>
                  <w:b w:val="false"/>
                  <w:color w:val="000080"/>
                  <w:sz w:val="20"/>
                  <w:u w:val="single"/>
                </w:rPr>
                <w:t xml:space="preserve">mployment Agreement by and between NewtekOne, Inc., Newtek Bank N.A., and M. Scott Price dated as of </w:t>
              </w:r>
            </w:hyperlink>
            <w:hyperlink w:anchor="scottprice-amendmenttoem.htm">
              <w:r>
                <w:rPr>
                  <w:rStyle w:val="InternetLink"/>
                  <w:rFonts w:ascii="Times New Roman;sans-serif" w:hAnsi="Times New Roman;sans-serif"/>
                  <w:b w:val="false"/>
                  <w:color w:val="000080"/>
                  <w:sz w:val="20"/>
                  <w:u w:val="single"/>
                </w:rPr>
                <w:t>July</w:t>
              </w:r>
            </w:hyperlink>
            <w:hyperlink w:anchor="scottprice-amendmenttoem.htm">
              <w:r>
                <w:rPr>
                  <w:rStyle w:val="InternetLink"/>
                  <w:rFonts w:ascii="Times New Roman;sans-serif" w:hAnsi="Times New Roman;sans-serif"/>
                  <w:b w:val="false"/>
                  <w:color w:val="000080"/>
                  <w:sz w:val="20"/>
                  <w:u w:val="single"/>
                </w:rPr>
                <w:t xml:space="preserve"> 1</w:t>
              </w:r>
            </w:hyperlink>
            <w:hyperlink w:anchor="scottprice-amendmenttoem.htm">
              <w:r>
                <w:rPr>
                  <w:rStyle w:val="InternetLink"/>
                  <w:rFonts w:ascii="Times New Roman;sans-serif" w:hAnsi="Times New Roman;sans-serif"/>
                  <w:b w:val="false"/>
                  <w:color w:val="000080"/>
                  <w:sz w:val="20"/>
                  <w:u w:val="single"/>
                </w:rPr>
                <w:t>, 2023,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grantagreement-.htm">
              <w:r>
                <w:rPr>
                  <w:rStyle w:val="InternetLink"/>
                  <w:rFonts w:ascii="Times New Roman;sans-serif" w:hAnsi="Times New Roman;sans-serif"/>
                  <w:b w:val="false"/>
                  <w:color w:val="000080"/>
                  <w:sz w:val="20"/>
                  <w:u w:val="single"/>
                </w:rPr>
                <w:t>1</w:t>
              </w:r>
            </w:hyperlink>
            <w:hyperlink w:anchor="newtekonegrantagreement-.htm">
              <w:r>
                <w:rPr>
                  <w:rStyle w:val="InternetLink"/>
                  <w:rFonts w:ascii="Times New Roman;sans-serif" w:hAnsi="Times New Roman;sans-serif"/>
                  <w:b w:val="false"/>
                  <w:color w:val="000080"/>
                  <w:sz w:val="20"/>
                  <w:u w:val="single"/>
                </w:rPr>
                <w:t>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grantagreement-.htm">
              <w:r>
                <w:rPr>
                  <w:rStyle w:val="InternetLink"/>
                  <w:rFonts w:ascii="Times New Roman;sans-serif" w:hAnsi="Times New Roman;sans-serif"/>
                  <w:b w:val="false"/>
                  <w:color w:val="000080"/>
                  <w:sz w:val="20"/>
                  <w:u w:val="single"/>
                </w:rPr>
                <w:t>For</w:t>
              </w:r>
            </w:hyperlink>
            <w:hyperlink w:anchor="newtekonegrantagreement-.htm">
              <w:r>
                <w:rPr>
                  <w:rStyle w:val="InternetLink"/>
                  <w:rFonts w:ascii="Times New Roman;sans-serif" w:hAnsi="Times New Roman;sans-serif"/>
                  <w:b w:val="false"/>
                  <w:color w:val="000080"/>
                  <w:sz w:val="20"/>
                  <w:u w:val="single"/>
                </w:rPr>
                <w:t>m</w:t>
              </w:r>
            </w:hyperlink>
            <w:hyperlink w:anchor="newtekonegrantagreement-.htm">
              <w:r>
                <w:rPr>
                  <w:rStyle w:val="InternetLink"/>
                  <w:rFonts w:ascii="Times New Roman;sans-serif" w:hAnsi="Times New Roman;sans-serif"/>
                  <w:b w:val="false"/>
                  <w:color w:val="000080"/>
                  <w:sz w:val="20"/>
                  <w:u w:val="single"/>
                </w:rPr>
                <w:t xml:space="preserve"> of Restricted Stock Award</w:t>
              </w:r>
            </w:hyperlink>
            <w:hyperlink w:anchor="newtekonegrantagreement-.htm">
              <w:r>
                <w:rPr>
                  <w:rStyle w:val="InternetLink"/>
                  <w:rFonts w:ascii="Times New Roman;sans-serif" w:hAnsi="Times New Roman;sans-serif"/>
                  <w:b w:val="false"/>
                  <w:color w:val="000080"/>
                  <w:sz w:val="20"/>
                  <w:u w:val="single"/>
                </w:rPr>
                <w:t xml:space="preserve"> Agreement - </w:t>
              </w:r>
            </w:hyperlink>
            <w:hyperlink w:anchor="newtekonegrantagreement-.htm">
              <w:r>
                <w:rPr>
                  <w:rStyle w:val="InternetLink"/>
                  <w:rFonts w:ascii="Times New Roman;sans-serif" w:hAnsi="Times New Roman;sans-serif"/>
                  <w:b w:val="false"/>
                  <w:color w:val="000080"/>
                  <w:sz w:val="20"/>
                  <w:u w:val="single"/>
                </w:rPr>
                <w:t>2</w:t>
              </w:r>
            </w:hyperlink>
            <w:hyperlink w:anchor="newtekonegrantagreement-.htm">
              <w:r>
                <w:rPr>
                  <w:rStyle w:val="InternetLink"/>
                  <w:rFonts w:ascii="Times New Roman;sans-serif" w:hAnsi="Times New Roman;sans-serif"/>
                  <w:b w:val="false"/>
                  <w:color w:val="000080"/>
                  <w:sz w:val="20"/>
                  <w:u w:val="single"/>
                </w:rPr>
                <w:t>023 Stock Incentive Plan</w:t>
              </w:r>
            </w:hyperlink>
            <w:hyperlink w:anchor="newtekonegrantagreement-.htm">
              <w:r>
                <w:rPr>
                  <w:rStyle w:val="InternetLink"/>
                  <w:rFonts w:ascii="Times New Roman;sans-serif" w:hAnsi="Times New Roman;sans-serif"/>
                  <w:b w:val="false"/>
                  <w:color w:val="000080"/>
                  <w:sz w:val="20"/>
                  <w:u w:val="single"/>
                </w:rPr>
                <w:t>,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11.htm">
              <w:r>
                <w:rPr>
                  <w:rStyle w:val="InternetLink"/>
                  <w:rFonts w:ascii="Times New Roman;sans-serif" w:hAnsi="Times New Roman;sans-serif"/>
                  <w:b w:val="false"/>
                  <w:color w:val="0000FF"/>
                  <w:sz w:val="20"/>
                  <w:u w:val="single"/>
                </w:rPr>
                <w:t>Certification by Principal Executive Officer required by Rules 13a-14 and 15d-14(a)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12.htm">
              <w:r>
                <w:rPr>
                  <w:rStyle w:val="InternetLink"/>
                  <w:rFonts w:ascii="Times New Roman;sans-serif" w:hAnsi="Times New Roman;sans-serif"/>
                  <w:b w:val="false"/>
                  <w:color w:val="0000FF"/>
                  <w:sz w:val="20"/>
                  <w:u w:val="single"/>
                </w:rPr>
                <w:t>Certification by Principal Financial Officer required by Rules 13a-14 and 15d-14(a)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21.htm">
              <w:r>
                <w:rPr>
                  <w:rStyle w:val="InternetLink"/>
                  <w:rFonts w:ascii="Times New Roman;sans-serif" w:hAnsi="Times New Roman;sans-serif"/>
                  <w:b w:val="false"/>
                  <w:color w:val="0000FF"/>
                  <w:sz w:val="20"/>
                  <w:u w:val="single"/>
                </w:rPr>
                <w:t>Certification by Principal Executive pursuant to 18 U.S.C. Section 1350, as adopted pursuant to Section 906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93023xexh322.htm">
              <w:r>
                <w:rPr>
                  <w:rStyle w:val="InternetLink"/>
                  <w:rFonts w:ascii="Times New Roman;sans-serif" w:hAnsi="Times New Roman;sans-serif"/>
                  <w:b w:val="false"/>
                  <w:color w:val="0000FF"/>
                  <w:sz w:val="20"/>
                  <w:u w:val="single"/>
                </w:rPr>
                <w:t>Certification by Principal Financial Officer pursuant to 18 U.S.C. Section 1350, as adopted pursuant to Section 906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Data Files Pursuant to Rule 405 of Regulation S-T: (i) the Consolidated Balance Sheets as of September 30, 2023 and December 31, 2022; (ii) the Consolidated Statements of Operations for the three and nine months ended September 30, 2023 and 2022; (iii) the Consolidated Statements of Changes in Stockholders Equity for the three and nine months ended September 30, 2023 and 2022; (iv) the Consolidated Statements of Cash Flows for the nine months ended September 30, 2023 and 2022; and (v) the Notes to the Consolidated Financial Statements.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28da120f06a460da0c5a4f180b31626_16">
        <w:r>
          <w:rPr>
            <w:rStyle w:val="InternetLink"/>
            <w:rFonts w:ascii="Times New Roman;sans-serif" w:hAnsi="Times New Roman;sans-serif"/>
            <w:b/>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682" w:type="dxa"/>
        <w:jc w:val="left"/>
        <w:tblInd w:w="0" w:type="dxa"/>
        <w:tblLayout w:type="fixed"/>
        <w:tblCellMar>
          <w:top w:w="28" w:type="dxa"/>
          <w:left w:w="28" w:type="dxa"/>
          <w:bottom w:w="28" w:type="dxa"/>
          <w:right w:w="28" w:type="dxa"/>
        </w:tblCellMar>
      </w:tblPr>
      <w:tblGrid>
        <w:gridCol w:w="759"/>
        <w:gridCol w:w="668"/>
        <w:gridCol w:w="672"/>
        <w:gridCol w:w="301"/>
        <w:gridCol w:w="301"/>
        <w:gridCol w:w="301"/>
        <w:gridCol w:w="1369"/>
        <w:gridCol w:w="1369"/>
        <w:gridCol w:w="194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NEWTEKONE,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B</w:t>
            </w:r>
            <w:r>
              <w:rPr>
                <w:rFonts w:ascii="Times New Roman;sans-serif" w:hAnsi="Times New Roman;sans-serif"/>
                <w:b w:val="false"/>
                <w:color w:val="000000"/>
                <w:sz w:val="16"/>
              </w:rPr>
              <w:t>ARRY</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color w:val="000000"/>
                <w:sz w:val="16"/>
              </w:rPr>
              <w:t>LOANE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Executive Officer, President and Chairman of the Board</w:t>
              <w:b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L</w:t>
            </w:r>
            <w:r>
              <w:rPr>
                <w:rFonts w:ascii="Times New Roman;sans-serif" w:hAnsi="Times New Roman;sans-serif"/>
                <w:b w:val="false"/>
                <w:color w:val="000000"/>
                <w:sz w:val="16"/>
              </w:rPr>
              <w:t>EGER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Accounting Officer</w:t>
              <w:br/>
              <w:t>(Principal Financial Officer and Principal Accounting Officer)</w:t>
            </w:r>
          </w:p>
        </w:tc>
      </w:tr>
    </w:tbl>
    <w:p>
      <w:pPr>
        <w:pStyle w:val="TextBody"/>
        <w:bidi w:val="0"/>
        <w:spacing w:before="140" w:after="283"/>
        <w:jc w:val="left"/>
        <w:rPr/>
      </w:pPr>
      <w:r>
        <w:rPr/>
      </w:r>
    </w:p>
    <w:p>
      <w:pPr>
        <w:pStyle w:val="TextBody"/>
        <w:bidi w:val="0"/>
        <w:spacing w:before="240" w:after="283"/>
        <w:jc w:val="left"/>
        <w:rPr/>
      </w:pPr>
      <w:r>
        <w:rPr/>
      </w:r>
    </w:p>
    <w:p>
      <w:pPr>
        <w:pStyle w:val="TextBody"/>
        <w:bidi w:val="0"/>
        <w:spacing w:before="0" w:after="0"/>
        <w:jc w:val="center"/>
        <w:rPr/>
      </w:pPr>
      <w:bookmarkStart w:id="0" w:name="spriceemploymentagreemen.htm"/>
      <w:bookmarkStart w:id="1" w:name="ksspriceemploymentagreemen"/>
      <w:bookmarkEnd w:id="0"/>
      <w:bookmarkEnd w:id="1"/>
      <w:r>
        <w:rPr/>
        <w:drawing>
          <wp:inline distT="0" distB="0" distL="0" distR="0">
            <wp:extent cx="10048875" cy="13001625"/>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jc w:val="center"/>
        <w:rPr>
          <w:color w:val="FFFFFF"/>
          <w:sz w:val="2"/>
        </w:rPr>
      </w:pPr>
      <w:r>
        <w:rPr>
          <w:color w:val="FFFFFF"/>
          <w:sz w:val="2"/>
        </w:rPr>
        <w:t xml:space="preserve">NEWTEKONE, INC. _____________________________ EMPLOYMENT AGREEMENT WITH M. SCOTT PRICE _____________________________ PREAMBLE. This EMPLOYMENT AGREEMENT (the “Agreement”) is entered into as of the 16th day of May 2023 (the “Effective Date”), by and between NEWTEKONE, INC. (the “Company”), NEWTEK BANK, NATIONAL ASSOCIATION (the “Bank”) and M. SCOTT PRICE (the “Executive”). WHEREAS, the Executive is to be employed as the Chief Financial Officer of the Company and the Bank; and WHEREAS, the parties desire by this writing to set forth the employment relationship of the Company, the Bank and the Executive as of the Effective Date. NOW, THEREFORE, it is AGREED as follows: 1. Defined Terms When used anywhere in the Agreement, the following terms shall have the meaning set forth herein. (a) “Board” shall mean the Board of Directors of the Company. (b) “Change in Control” shall mean any one of the following events: (i) the acquisition of ownership, holding or power to vote more than 25% of the Company’s voting shares by any person or persons acting as a “group” (within the meaning of Section 13(d) of the Securities Exchange Act of 1934), (ii) the acquisition of the ability to control the election of a majority of the Board by any person or persons acting as a “group” (within the meaning of Section 13(d) of the Securities Exchange Act of 1934), (iii) the acquisition of a controlling influence over the management or policies of the Company by any person or by persons acting as a “group” (within the meaning of Section 13(d) of the Securities Exchange Act of 1934), or (iv) during any period of two consecutive years, individuals (the “Continuing Directors”) who at the beginning of such period constitute the Board (the “Existing Board”) cease for any reason to constitute at least two- thirds thereof, provided that any individual whose election or nomination for election as a member of the Existing Board was approved by a vote of at least two-thirds of the Continuing Directors then in office shall be considered a Continuing Director. For purposes of defining Change in Control, the term “person” refers to an individual or a corporation, partnership, trust, association, joint venture, pool, syndicate, sole proprietorship, unincorporated organization or any other form of entity not specifically listed herein. Notwithstanding the foregoing, a Change in Control as defined in this Section 1(b) shall not be treated as a Change in Control for purposes of this Agreement unless it constitutes a “change in control event” within the meaning of Section 1.409A- 3(i)(5) of the Treasury Regulations promulgated under section 409A of the Internal Revenue Code of 1986, as amended (the “Code”) (the “Treasury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“Common Stock” shall mean shares of the Company’s common stock, par value $0.02 per share. (d) “Good Reason” shall mean any of the following events, which has not been consented to in advance by the Executive in writing during the term of the Agreement: (i) a material reduction in the Executive’s Annual Base Compensation as the same may be increased from time to time; (ii) the failure by the Company and the Bank to continue to provide the Executive with compensation and benefits provided for on the Effective Date, as the same may be increased from time to time, or with benefits substantially similar to those provided to him under any of the Executive benefit plans in which the Executive now or hereafter becomes a participant, or the taking of any action by the Company and/or the Bank which would directly or indirectly reduce any of such benefits or deprive the Executive of any material fringe benefit enjoyed by him; (iii) the assignment to the Executive of duties and responsibilities that constitute a material diminution from those associated with his position on the Effective Date; (iv) the requirement that the Executive move his personal residence, or perform his principal executive functions, in any location outside of Birmingham, AL; or (v) a material diminution or reduction in the Executive’s responsibilities or authority (including reporting responsibilities) in connection with his employment with the Company and the Bank. (e) “Just Cause” shall mean the Executive’s willful misconduct, breach of fiduciary duty involving personal profit, intentional failure to perform stated duties, conviction for a felony, or material breach of any provision of this Agreement. No act, or failure to act, on the Executive’s part shall be considered “willful” unless Executive has acted, or failed to act, with an absence of good faith and without a reasonable belief that Executive’s action or failure to act was in the best interests of the Company and the Bank. 2. Employment. The Executive is employed as Chief Financial Officer of the Company and the Bank. The Executive shall render such administrative and management services for the Company and the Bank and their subsidiaries as are customarily performed by persons situated in a similar executive capacity and consistent with the duties of a Chief Financial Officer as set forth in the Bylaws of the Company and the Bank. The Executive shall report to the Chief Executive Officer of the Company and the Bank and shall work out of his home office in Birmingham, Alabama. The Executive shall also promote, by entertainment or otherwise, as and to the extent permitted by law, the business of the Company and its subsidiaries. The Executive’s other duties shall be such as the Chief Executive Officer or Board of the Company or board of directors of the Bank may from time to time reasonably direct, including normal duties as an officer of the Company and the Bank. 3. Annual Base Compensation. The Company agrees to pay the Executive during the term of this Agreement a salary at the rate of $400,000 per annum, payable in cash not less frequently than monthly. 4. Cash Bonuses and Incentive Compensation. The Chief Executive Officer shall determine the Executive’s right to receive cash bonuses. Cash bonuses shall be awarded annually based upon the Executive’s and the Company’s annual performance pursuant to the Company’s policy. Executive shall receive a guaranteed minimum prorated cash bonus for the year ending 2023 in the amount of $133,333.33, payable March 15, 2024, on the condition that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remains employed by the Company and the Bank through the payment date. The Executive shall be eligible for awards under the Company’s 2023 Stock Incentive Plan (“Plan”), subject to the Plan being declared effective. 5. Other Benefits. (a) Participation in Retirement, Medical and Other Plans. The Executive shall participate in any plan that the Company maintains for the benefit of its employees if the plan relates to (i) pension, profit-sharing, or other retirement benefits, (ii) medical insurance or the reimbursement of medical or dependent care expenses, or (iii) other group benefits, including disability and life insurance plans. (b) Executive Benefits; Expenses. The Executive shall participate in any fringe benefits which are or may become available to the Company’s senior management executives, including for example incentive compensation plans, club memberships, and any other benefits which are commensurate with the responsibilities and functions to be performed by the Executive under this Agreement. The Executive shall be reimbursed for all reasonable out-of-pocket business expenses which he shall incur in connection with his services under this Agreement, including CPA licensing fees, and attendance at professional conferences (subject to Chief Executive Officer prior written approval), upon substantiation of such expenses in accordance with the policies of the Company. 6. Term. The Company and the Bank hereby employ the Executive, and the Executive hereby accepts such employment, subject to the terms and conditions of this Agreement, for the period commencing on the Effective Date and ending on May 15, 2024 or such earlier date as is determined in accordance with Section 11 (the “Term”).” 7. Loyalty; Noncompetition. (a) During the period of Executive’s employment hereunder and except for illnesses, reasonable vacation periods, and reasonable leaves of absence, the Executive shall devote substantially all of Executive’s full business time, attention, skill, and efforts to the faithful performance of Executive’s duties hereunder; provided, however, from time to time, Executive may serve on the boards of directors of, and hold any other offices or positions in, companies or organizations, at the request of the Company or which will not present in the opinion of the Board of the Company and board of directors of the Bank any conflict of interest with the Company, the Bank or any of their subsidiaries, nor unfavorably affect the performance of Executive’s duties pursuant to this Agreement, nor violate any applicable statute or regulation. During the Term of Executive’s employment under this Agreement, the Executive shall not engage in any business or activity contrary to the business affairs or interests of the Company, the Bank or their subsidiaries. (b) In the performance of Executive’s duties pursuant to this Agreement. the Bank’s interests are not to be subordinated to the interests of the Company in a way as to jeopardize the safety and soundness of the Bank. (c) Nothing contained in this Paragraph 7 shall be deemed to prevent or limit the Executive’s right to invest in the capital stock or other securities of any business dissimilar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from that of the Company or the Bank or, solely as a passive or minority investor, in any business, provided such investment does not: (i) constitute a conflict of interest, (ii) violate laws or regulations applicable to the Company or the Bank, including, or (iii) violate any rules or polices promulgated by the Board or the board of directors of the Bank. 8. Standards. The Executive shall perform his duties under this Agreement in accordance with such reasonable standards as the Chief Executive Officer may establish from time to time. The Company will provide Executive with the working facilities and staff customary for similar executives and necessary for him to perform his duties. 9. Paid Time Off. At such reasonable times according to Company policy the Executive shall be entitled, without loss of pay, to absent himself voluntarily from the performance of his employment under this Agreement, all such voluntary absences to count as paid time off; provided that: (a) The Executive shall be entitled to annual paid time off in accordance with the policies that the Company periodically establishes for senior management Executives of the Company. (b) The Executive shall not receive any additional compensation from the Company on account of his failure to take paid time off, and the Executive shall not accumulate unused paid time off from one fiscal year to the next, except in either case to the extent authorized by the Chief Executive Officer. (c) In addition, the Executive shall be entitled to an annual sick leave benefit as established by the Company. 10. Indemnification. The Company and the Bank shall, to the extent permitted by the Company’s and the Bank’s respective bylaws, indemnify and hold harmless Executive from any and all loss, expense, or liability that he may incur due to his services for the Company and the Bank as an officer and or a director of the Company, the Bank or any of their subsidiaries (including any liability Executive may ever incur as the result of severance benefits Executive collects pursuant to Sections 11 or 13), during the full Term of this Agreement and shall at all times maintain adequate insurance for such purposes. 11. Termination and Termination Pay. Subject to Section 13 hereof, the Executive’s employment hereunder may be terminated under the following circumstances: (a) Just Cause. The Chief Executive Officer may, based on a good faith determination and only after giving the Executive written notice and a reasonable opportunity to cure, immediately terminate the Executive’s employment at any time, for Just Cause. The Executive shall have no right to receive compensation or other benefits for any period after termination for Just Cause. (b) Without Just Cause. The Chief Executive Officer may, by written notice to the Executive, immediately terminate Executive’s employment for a reason other than Just Cause. In such event, the Executive shall be entitled to a total severance payment equal to one (1) times the Executive’s Annual Base Compensation in effect at the time of termination (the “Severance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Payment”). The Severance Payment shall be paid in equal installments over a twelve (12) month period following the Executive’s termination of employment, payable in accordance with the Company’s regularly scheduled payroll (the “Installment Payments”). Each Installment Payment shall be treated as a separate payment for purposes of Treasury Regulations Section 1.409A- 2(b)(2)(iii). (c) Resignation by Executive with Good Reason. The Executive may at any time immediately terminate employment for Good Reason, in which case the Executive shall be entitled to receive the Severance Payment payable in the same manner and on the same basis as provided for under Section 11(b) herein upon a termination without Just Cause. In addition, the Executive will be entitled to health, life, disability and other benefits which the Executive would have been eligible to participate in through the expiration of the Term based on the benefit levels substantially equal to those that the Company provided for the Executive at the date of termination of employment, subject to any restrictions as may be required under Code Section 409A. (d) Resignation by Executive without Good Reason. The Executive may voluntarily terminate employment with the Company and the Bank during the term of this Agreement, upon at least 60 days’ prior written notice to the Chief Executive Officer, in which case the Executive shall receive only his compensation, vested rights, and Executive benefits up to the date of Executive’s last day of employment. (e) Death, or Disability. If the Executive’s employment terminates during the Term of this Agreement due to Executive’s death or a disability that results in Executive’s collection of any long-term disability benefits, the Executive (or the beneficiaries of Executive’s estate) shall be entitled to receive the compensation and benefits that the Executive would otherwise have become entitled to receive pursuant to subsection (d) hereof upon a resignation without Good Reason. (f) Acceleration of Equity Awards. All: (i) outstanding and unvested options to purchase Common Stock granted to Executive under any equity plan of the Company, (ii) unvested shares of restricted Common Stock awarded to the Executive under any equity plan of the Company, and (iii) other equity and equity equivalent awards then held by the Executive, shall be accelerated in full, and thereafter all such options, shares of restricted Common Stock and other equity awards shall be immediately vested and exercisable for such period of time as provided for by the specific agreements governing each such award, upon Executive’s termination pursuant to Sections 11(b), (c) or (e) hereof. 12. No Mitigation. 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13. Change in Control. Notwithstanding any provision in this Agreement to the contrary, if Executive’s employment is terminated following a Change of Control: (i) by the Company or its successor in interest for any reason other than Just Cause, or (ii) by the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for Good Reason, the Executive shall be paid the Severance Payment in a lump sum within thirty (30) days of Executive’s termination of employment. 14. Covenants. (a) Definitions. For purposes of this Agreement: (i) Restrictive Period. The term “Restrictive Period” shall mean the period beginning on the Effective Date and ending two (2) years after the termination of the Executive’s employment hereunder. (ii) Covered Customer. The term “Covered Customer” shall mean (A) during the Term, any customer, merchant, independent sales agency (ISA), independent sales organization (ISO), alliance partner, referral partner or any intermediary of the Company or its subsidiaries and (B) after the Term, as of the end of the Term, a Covered Customer of the Company or its subsidiaries within the prior three years. (iii) Covered Business. The term “Covered Business” shall mean (A) during the term, any business in which the Company is engaged and (B) after the Term, any business in which the Company was engaged as of the end of the Term. (iv) Covered State. The term “Covered State” shall mean (A) during the Term, any state in the United States and (B) after the Term, any state (1) in which, as of the end of the Term, the Company was engaged in business or (2) with respect to which the Company, as of the end of the Term, had expended material expense and/or efforts in connection with preparing to do business therein. (b) Non-Interference. The Executive covenants and agrees that Executive will not at any time during the Restrictive Period for whatever reason, whether for Executive’s own account or for the account of any other person, firm, corporation or other business organization: (i) interfere with contractual relationships between the Company or its subsidiaries and any of their Covered Customers or employees; (ii) hire, or solicit for hire, any person who is employed by the Company or its subsidiaries, without the express written consent of the Company; or (iii) other than on behalf of the Company or its subsidiaries, solicit any Covered Customer in connection with the engagement, by any person or entity, in any Covered Business in any Covered State. (c) Confidentiality. The Executive will not, at any time whether during or after his termination of employment, (i) disclose to anyone, without proper authorization from the Company, or (ii) use, for his or another’s benefit, any confidential or proprietary information of the Company or any subsidiary of the Company, which may include trade secrets, business plans or outlooks, financial data, marketing or sales programs, customer lists, brand formulations, training and operations manuals, products or price strategies, mergers, acquisitions, and/or Company personnel issues. (d) Blue Pencil; Equitable Relief. The provisions contained in this Section 14 as to the time periods, scope of activities, persons or entities affected, and territories restricted shall be deemed divisible so that if any provision contained in this Section is determined to be invalid or unenforceable, such provision shall be deemed modified so as to be valid and enforceable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full extent lawfully permitted. The Executive acknowledges that the provisions of this Section 14 are reasonable and necessary for the protection of the Company and that the Company will be irrevocably damaged if such covenants are not specifically enforced. Accordingly, the Executive agrees that if he breaches or threatens to breach any of the covenants contained in this Section 14, the Company will be entitled (i) to damages sufficient to compensate the Company for any harm to the Company caused thereby and (ii) to specific performance and injunctive relief for the purpose of preventing the breach or threatened breach thereof without bond or other security or a showing that monetary damages will not provide an adequate remedy, in addition to any other relief to which the Company may be entitled under this Agreement. 15. Reimbursement for Litigation Expenses. In the event that any dispute arises between the Executive and the Company as to the terms or interpretation of this Agreement, whether instituted by formal legal proceedings or otherwise, including any action that the Executive takes to enforce the terms of this Agreement or to defend against any action taken by the Company, the Executive shall be reimbursed for all costs and expenses, including reasonable attorneys’ fees, arising from such dispute, proceedings or actions, provided that the Executive shall obtain a final judgement by a court of competent jurisdiction in favor of the Executive. Such reimbursement shall be paid within ten (10) days of Executive’s furnishing to the Company written evidence, which may be in the form, among other things, of a cancelled check or receipt, of any costs or expenses incurred by the Executive. 16. Successors and Assigns. (a) This Agreement shall inure to the benefit of and be binding upon any corporate or other successor of the Company which shall acquire, directly or indirectly, by merger, consolidation, purchase or otherwise, all or substantially all of the assets or stock of the Company. (b) Since the Company is contracting for the unique and personal skills of the Executive, the Executive shall be precluded from assigning or delegating his rights or duties hereunder without first obtaining the written consent of the Company. 17. Corporate Authority. Company and the Bank represent and warrant that the execution and delivery of this Agreement by it has been duly and properly authorized by the Board and the board of directors of the Bank and that when so executed and delivered this Agreement shall constitute the lawful and binding obligation of the Company and the Bank. 18. Amendments; Waiver. No amendments or additions to this Agreement or waiver of any provision of this Agreement shall be binding unless made in writing and signed by all of the parties, except as herein otherwise specifically provided. 19. Applicable Law. Except to the extent preempted by Federal law, the laws of the State of New York shall govern this Agreement in all respects, whether as to its validity, construction, capacity, performance or otherwise. 20. Severability. The provisions of this Agreement shall be deemed severable, and the invalidity or unenforceability of any provision shall not affect the validity or enforceability of the other provisions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21. Entire Agreement. This Agreement, together with any understanding or modifications thereof as agreed to in writing by the parties, shall constitute the entire agreement between the parties hereto with respect to the matters addressed and shall supercede all previous agreements with respect to such matters. 22. Tax Matters. All payments or benefits provided under this Agreement are subject to any applicable employment or tax withholdings or deductions. In addition, the parties hereby agree that it is their intention that all payments or benefits provided under this Agreement be exempt from, or if not so exempt, comply with, Code Section 409A and this Agreement shall be interpreted accordingly. Notwithstanding anything in this Agreement to the contrary, if any payments or benefits made or provided under the Agreement are considered deferred compensation subject to Code Section 409A payable on account of Employee’s separation from service (but that do not meet an exemption under Code Section 409A, including without limitation the short term deferral or the separation pay plan exemption), such payments or benefits shall be paid no earlier than the date that is six (6) months following Employee’s separation from service (or, if earlier, the date of death) to the extent required by Code Section 409A. 23. Counterparts. This Agreement may be executed in any number of counterparts, each of which will be deemed an original, and all of which together will constitute one and the same instrument. This Agreement will become binding when one or more counterparts hereof, individually or taken together, will bear the signatures of all of the parties reflected hereon as the signatories. Photographic, faxed or PDF copies of such signed counterparts may be used in lieu of the originals for any purpose. 24. Federal Deposit Insurance Act Compliance. Anything in this Agreement to the contrary notwithstanding, the Company and the Bank will not be obligated to make any payment hereunder that would be prohibited as a “golden parachute payment” or “indemnification payment” under Section 18(k) of the Federal Deposit Insurance Act.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 WITNESS WHEREOF, the parties have executed this Agreement on the day and year first hereinabove written. NEWTEKONE, INC. By: Barry Sloane, Chief Executive Officer NEWTEK BANK, N.A. By: Barry Sloane, Chief Executive Officer EXECUTIVE By: M. Scott Price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scottprice-amendmenttoem.htm"/>
      <w:bookmarkStart w:id="3" w:name="ksscottpriceamendmenttoem"/>
      <w:bookmarkEnd w:id="2"/>
      <w:bookmarkEnd w:id="3"/>
      <w:r>
        <w:rPr/>
        <w:drawing>
          <wp:inline distT="0" distB="0" distL="0" distR="0">
            <wp:extent cx="10048875" cy="13001625"/>
            <wp:effectExtent l="0" t="0" r="0" b="0"/>
            <wp:docPr id="1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AMENDMENT TO EMPLOYMENT AGREEMENT This AMENDMENT TO EMPLOYMENT AGREEMENT (“Amendment”) is entered into on July 7, 2023 and is effective as of July 1, 2023 (the “Amendment Effective Date”), by and between NewtekOne, Inc. (the “Company”), Newtek Bank, National Association (the “Bank”) and M. Scott Price (the “Executive”). WHEREAS, the Company, the Bank and Executive entered into an Employment Agreement dated as of May 16, 2023, pursuant to which the Executive is employed by the Company and the Bank as Chief Financial Officer (the “Employment Agreement”); WHEREAS, Section 18 of the Employment Agreement allows the Company, the Bank and Executive to amend the Employment Agreement; and WHEREAS, Company, Bank and Executive desire to amend the Employment Agreement. NOW THEREFORE, in consideration of the mutual promises contained herein and other good and valuable consideration, the receipt and sufficiency of which are hereby acknowledged, the Company, Bank and Executive agree to amend the Employment Agreement, as follows: 1. Section 3 is deleted in its entirety and replaced with the following: Annual Base Compensation. The Company agrees to pay the Executive a salary at the rate of $400,000 per annum from the Effective Date through June 30, 2023, and $433,000 per annum through the balance of the term of the Agreement, payable in cash not less frequently than monthly. This Amendment shall be effective as of the Amendment Effective Date. This Amendment shall be interpreted and enforced in accordance with the laws governing the Agreement, and the parties hereto agree to resolve any issues arising from this Amendment in accordance with the terms of the Employment Agreement. This Amendment may be executed in one or more counterparts, each of which shall be deemed an original, and all of which shall constitute one and the same Amendment and shall become effective when one or more counterparts have been signed by each of the parties hereto and delivered to the other parties hereto; it being understood and agreed that all parties hereto need not sign the same counterpart. The delivery by facsimile or by electronic delivery in PDF format of this Amendment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Amendment. Except as specifically amended by this Amendment, the terms and conditions of the Employment Agreement shall remain in full force and effect as written. In the event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conflict between this Amendment and the Employment Agreement, the provisions of this Amendment shall control for all purposes. The Employment Agreement, as amended by this Amendment, constitutes the entire agreement and understanding between the Company and the Executive concerning the subject matter hereof and supersedes all oral communication and prior writings with respect thereto. No further amendment, modification or waiver in respect of the matters contemplated by this Amendment will be effective unless made in accordance with the terms of the Employment Agreement. IN WITNESS WHEREOF, the parties hereto have executed or have caused this Amendment to be duly executed in counterparts all as of the day and year first above written.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to Employment Agreement] NEWTEKONE, INC. By: Barry Sloane Chief Executive Officer NEWTEK BANK, N.A. By: Barry Sloane Chief Executive Officer EXECUTIVE By: ___________________________ M. Scott Price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newtekonegrantagreement-.htm"/>
      <w:bookmarkStart w:id="5" w:name="ksnewtekonegrantagreement"/>
      <w:bookmarkEnd w:id="4"/>
      <w:bookmarkEnd w:id="5"/>
      <w:r>
        <w:rPr/>
        <w:drawing>
          <wp:inline distT="0" distB="0" distL="0" distR="0">
            <wp:extent cx="10048875" cy="13001625"/>
            <wp:effectExtent l="0" t="0" r="0" b="0"/>
            <wp:docPr id="1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2023 STOCK INCENTIVE PLAN RESTRICTED STOCK AWARD AGREEMENT NewtekOne, Inc. (the “Company”) hereby grants to [*] (the “Participant”), an award (the “Award”) of restricted shares of Company Common Stock, par value $0.02 per share (the “Restricted Stock”) subject to the fulfillment of the vesting conditions and other conditions set forth in this Restricted Stock Award Agreement (the “Award Agreement”) and the attached: (i) Company 2023 Stock Incentive Plan (the “Plan”) and (ii) Plan Prospectus. This Award is granted under and governed by the Plan and is subject to all of the terms and conditions contained in the Plan and the Award Agreement. Subject to the provisions of the Plan and this Award Agreement, the principal features of this Award are as follows: Grant Number: [*] No. of Shares of Restricted Stock [*] Subject to Award: Award Date: [*] Vesting Commencement Date: The first day after the Award Date that is the 15th day of a calendar month. Vesting: [*] year[s] following the Vesting Commencement Date (the “Vesting Date”). Dividends: During the period beginning with the Vesting Commencement Date and continuing until the Award is Vested, to the extent declared by the Company’s Board of Directors, Participant will be entitled to receive on the dividend payment dates dividends on the Restricted Stock in the form of shares of Common Stock which will be subject to the same restrictions, risk of forfeiture and vesting as the Restricted Stock. You do not have to accept the Award. If you wish to decline your Award, you should promptly notify the Corporate Secretary (Michael A. Schwartz or his successor) of your decision in writing at mschwartz@newtekone.com. As provided in the Plan and in this Award Agreement, this Award may terminate before the scheduled vest date of the Award. For example, if Participant’s employment relationship with the Company or a subsidiary thereof has been terminated prior to the date this Award vests, this Award will terminate. Important additional information on vesting and forfeiture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Restricted Stock covered by this Award, including those due to changes in employment, is contained in the Plan. IN WITNESS WHEREOF, the Company and the Participant have executed this Award Agreement to be effective as of the Award Date. Dated: [*] NEWTEKONE, INC. By: ______________________________ Barry Sloane, CEO PARTICIPANT By: _____________________________ [*] I, Participant, understand that this Award is (i) subject to all of the terms and conditions of this Award Agreement and of the Plan, (ii) not considered salary, nor is it a promise for future grants under the Plan, (iii) not a term or condition of my employment with the Company (or one of its Subsidiaries), and (iv) made at the sole discretion of the Company.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Barry Sloane, certify that: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NewtekOne, Inc. (the “registrant”).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484" w:type="dxa"/>
        <w:jc w:val="left"/>
        <w:tblInd w:w="0" w:type="dxa"/>
        <w:tblLayout w:type="fixed"/>
        <w:tblCellMar>
          <w:top w:w="28" w:type="dxa"/>
          <w:left w:w="28" w:type="dxa"/>
          <w:bottom w:w="28" w:type="dxa"/>
          <w:right w:w="28" w:type="dxa"/>
        </w:tblCellMar>
      </w:tblPr>
      <w:tblGrid>
        <w:gridCol w:w="759"/>
        <w:gridCol w:w="668"/>
        <w:gridCol w:w="672"/>
        <w:gridCol w:w="698"/>
        <w:gridCol w:w="698"/>
        <w:gridCol w:w="98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SLOANE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bidi w:val="0"/>
        <w:spacing w:before="1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Nicholas Leger, certify that: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NewtekOne, Inc. (the “registrant”).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649" w:type="dxa"/>
        <w:jc w:val="left"/>
        <w:tblInd w:w="0" w:type="dxa"/>
        <w:tblLayout w:type="fixed"/>
        <w:tblCellMar>
          <w:top w:w="28" w:type="dxa"/>
          <w:left w:w="28" w:type="dxa"/>
          <w:bottom w:w="28" w:type="dxa"/>
          <w:right w:w="28" w:type="dxa"/>
        </w:tblCellMar>
      </w:tblPr>
      <w:tblGrid>
        <w:gridCol w:w="759"/>
        <w:gridCol w:w="668"/>
        <w:gridCol w:w="672"/>
        <w:gridCol w:w="747"/>
        <w:gridCol w:w="747"/>
        <w:gridCol w:w="105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LEGER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bidi w:val="0"/>
        <w:spacing w:before="1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September 30, 2023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4484" w:type="dxa"/>
        <w:jc w:val="left"/>
        <w:tblInd w:w="0" w:type="dxa"/>
        <w:tblLayout w:type="fixed"/>
        <w:tblCellMar>
          <w:top w:w="28" w:type="dxa"/>
          <w:left w:w="28" w:type="dxa"/>
          <w:bottom w:w="28" w:type="dxa"/>
          <w:right w:w="28" w:type="dxa"/>
        </w:tblCellMar>
      </w:tblPr>
      <w:tblGrid>
        <w:gridCol w:w="759"/>
        <w:gridCol w:w="668"/>
        <w:gridCol w:w="672"/>
        <w:gridCol w:w="698"/>
        <w:gridCol w:w="698"/>
        <w:gridCol w:w="98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SLOANE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bidi w:val="0"/>
        <w:spacing w:before="1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September 30, 2023 (the “Report”) of NewtekOne, Inc. (the “Company”), as filed with the Securities and Exchange Commission on the date hereof, I, Nicholas Leger, as Principal Financial Officer of the Company, hereby certify pursuant to 18 U.S.C. §1350, as adopted pursuant to §906 of the Sarbanes-Oxley Act of 2002, that, to the best of my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4649" w:type="dxa"/>
        <w:jc w:val="left"/>
        <w:tblInd w:w="0" w:type="dxa"/>
        <w:tblLayout w:type="fixed"/>
        <w:tblCellMar>
          <w:top w:w="28" w:type="dxa"/>
          <w:left w:w="28" w:type="dxa"/>
          <w:bottom w:w="28" w:type="dxa"/>
          <w:right w:w="28" w:type="dxa"/>
        </w:tblCellMar>
      </w:tblPr>
      <w:tblGrid>
        <w:gridCol w:w="759"/>
        <w:gridCol w:w="668"/>
        <w:gridCol w:w="672"/>
        <w:gridCol w:w="747"/>
        <w:gridCol w:w="747"/>
        <w:gridCol w:w="105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LEGER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bidi w:val="0"/>
        <w:spacing w:before="14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7987/000119312514394101/d804521dn2a.htm" TargetMode="External"/><Relationship Id="rId3" Type="http://schemas.openxmlformats.org/officeDocument/2006/relationships/hyperlink" Target="https://www.sec.gov/Archives/edgar/data/1587987/000119312514394101/d804521dn2a.htm" TargetMode="External"/><Relationship Id="rId4" Type="http://schemas.openxmlformats.org/officeDocument/2006/relationships/hyperlink" Target="https://www.sec.gov/Archives/edgar/data/1587987/000119312514350298/d714199dex992.htm" TargetMode="External"/><Relationship Id="rId5" Type="http://schemas.openxmlformats.org/officeDocument/2006/relationships/hyperlink" Target="https://www.sec.gov/Archives/edgar/data/1587987/000119312514350298/d714199dex992.htm" TargetMode="External"/><Relationship Id="rId6" Type="http://schemas.openxmlformats.org/officeDocument/2006/relationships/hyperlink" Target="https://www.sec.gov/ix?doc=/Archives/edgar/data/0001587987/000158798723000014/newt-20230117.htm" TargetMode="External"/><Relationship Id="rId7" Type="http://schemas.openxmlformats.org/officeDocument/2006/relationships/hyperlink" Target="https://www.sec.gov/ix?doc=/Archives/edgar/data/0001587987/000158798723000014/newt-20230117.htm" TargetMode="External"/><Relationship Id="rId8" Type="http://schemas.openxmlformats.org/officeDocument/2006/relationships/hyperlink" Target="https://www.sec.gov/Archives/edgar/data/1587987/000158798723000021/bylaws-01132023.htm" TargetMode="External"/><Relationship Id="rId9" Type="http://schemas.openxmlformats.org/officeDocument/2006/relationships/hyperlink" Target="https://www.sec.gov/Archives/edgar/data/1587987/000158798723000021/bylaws-01132023.htm" TargetMode="External"/><Relationship Id="rId10" Type="http://schemas.openxmlformats.org/officeDocument/2006/relationships/hyperlink" Target="https://www.sec.gov/Archives/edgar/data/1587987/000158798723000047/articlessupplementaryser.htm" TargetMode="External"/><Relationship Id="rId11" Type="http://schemas.openxmlformats.org/officeDocument/2006/relationships/hyperlink" Target="https://www.sec.gov/Archives/edgar/data/1587987/000158798723000047/articlessupplementaryser.htm" TargetMode="External"/><Relationship Id="rId12" Type="http://schemas.openxmlformats.org/officeDocument/2006/relationships/hyperlink" Target="https://www.sec.gov/Archives/edgar/data/1587987/000158798723000047/investorrightsagreement-.htm" TargetMode="External"/><Relationship Id="rId13" Type="http://schemas.openxmlformats.org/officeDocument/2006/relationships/hyperlink" Target="https://www.sec.gov/Archives/edgar/data/1587987/000158798723000047/investorrightsagreement-.htm" TargetMode="External"/><Relationship Id="rId14" Type="http://schemas.openxmlformats.org/officeDocument/2006/relationships/hyperlink" Target="https://www.sec.gov/Archives/edgar/data/1587987/000158798723000047/registrationrightsagreem.htm" TargetMode="External"/><Relationship Id="rId15" Type="http://schemas.openxmlformats.org/officeDocument/2006/relationships/hyperlink" Target="https://www.sec.gov/Archives/edgar/data/1587987/000158798723000047/registrationrightsagreem.htm" TargetMode="External"/><Relationship Id="rId16" Type="http://schemas.openxmlformats.org/officeDocument/2006/relationships/hyperlink" Target="https://www.sec.gov/Archives/edgar/data/1587987/000158798723000205/ex41baseindenture.htm" TargetMode="External"/><Relationship Id="rId17" Type="http://schemas.openxmlformats.org/officeDocument/2006/relationships/hyperlink" Target="https://www.sec.gov/Archives/edgar/data/1587987/000158798723000205/ex41baseindenture.htm" TargetMode="External"/><Relationship Id="rId18" Type="http://schemas.openxmlformats.org/officeDocument/2006/relationships/hyperlink" Target="https://www.sec.gov/Archives/edgar/data/1587987/000158798723000205/ex42firstsupplementinden.htm" TargetMode="External"/><Relationship Id="rId19" Type="http://schemas.openxmlformats.org/officeDocument/2006/relationships/hyperlink" Target="https://www.sec.gov/Archives/edgar/data/1587987/000158798723000205/ex42firstsupplementinden.htm" TargetMode="External"/><Relationship Id="rId20" Type="http://schemas.openxmlformats.org/officeDocument/2006/relationships/hyperlink" Target="https://www.sec.gov/Archives/edgar/data/1587987/000158798723000205/ex42firstsupplementinden.htm" TargetMode="External"/><Relationship Id="rId21" Type="http://schemas.openxmlformats.org/officeDocument/2006/relationships/hyperlink" Target="https://www.sec.gov/Archives/edgar/data/1587987/000158798723000205/ex42firstsupplementinden.htm" TargetMode="External"/><Relationship Id="rId22" Type="http://schemas.openxmlformats.org/officeDocument/2006/relationships/hyperlink" Target="https://www.sec.gov/Archives/edgar/data/1587987/000158798723000205/ex42firstsupplementinden.htm" TargetMode="External"/><Relationship Id="rId23" Type="http://schemas.openxmlformats.org/officeDocument/2006/relationships/hyperlink" Target="https://www.sec.gov/Archives/edgar/data/1587987/000158798723000205/ex42firstsupplementinden.htm" TargetMode="External"/><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6.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55390</Words>
  <Characters>300848</Characters>
  <CharactersWithSpaces>353426</CharactersWithSpaces>
  <Paragraphs>6865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newtekonegrantagreement-</dc:title>
</cp:coreProperties>
</file>